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BDFE0" w14:textId="77777777" w:rsidR="0027262B" w:rsidRPr="00015B11" w:rsidRDefault="0027262B" w:rsidP="0027262B">
      <w:pPr>
        <w:widowControl w:val="0"/>
        <w:autoSpaceDE w:val="0"/>
        <w:autoSpaceDN w:val="0"/>
        <w:rPr>
          <w:b/>
          <w:bCs/>
          <w:lang w:eastAsia="ja-JP"/>
        </w:rPr>
      </w:pPr>
      <w:bookmarkStart w:id="0" w:name="_GoBack"/>
      <w:bookmarkEnd w:id="0"/>
      <w:r w:rsidRPr="00015B11">
        <w:rPr>
          <w:b/>
          <w:bCs/>
          <w:lang w:eastAsia="ja-JP"/>
        </w:rPr>
        <w:t>Supplementary Figure legends</w:t>
      </w:r>
    </w:p>
    <w:p w14:paraId="5CE84FB7" w14:textId="77777777" w:rsidR="0027262B" w:rsidRPr="00015B11" w:rsidRDefault="0027262B" w:rsidP="0027262B">
      <w:pPr>
        <w:widowControl w:val="0"/>
        <w:autoSpaceDE w:val="0"/>
        <w:autoSpaceDN w:val="0"/>
        <w:rPr>
          <w:b/>
          <w:bCs/>
          <w:lang w:eastAsia="ja-JP"/>
        </w:rPr>
      </w:pPr>
      <w:bookmarkStart w:id="1" w:name="_Hlk98938367"/>
      <w:r w:rsidRPr="00015B11">
        <w:rPr>
          <w:b/>
          <w:bCs/>
          <w:lang w:eastAsia="ja-JP"/>
        </w:rPr>
        <w:t>Supplementary Figure 1</w:t>
      </w:r>
    </w:p>
    <w:p w14:paraId="57471A49" w14:textId="77777777" w:rsidR="0027262B" w:rsidRPr="00015B11" w:rsidRDefault="0027262B" w:rsidP="0027262B">
      <w:pPr>
        <w:widowControl w:val="0"/>
        <w:autoSpaceDE w:val="0"/>
        <w:autoSpaceDN w:val="0"/>
        <w:rPr>
          <w:lang w:eastAsia="ja-JP"/>
        </w:rPr>
      </w:pPr>
      <w:r w:rsidRPr="00015B11">
        <w:rPr>
          <w:rFonts w:eastAsia="HGGothicM"/>
          <w:b/>
        </w:rPr>
        <w:t xml:space="preserve">Simulation of insoluble lansoprazole release from β-TCP scaffolds. </w:t>
      </w:r>
      <w:r w:rsidRPr="00015B11">
        <w:t xml:space="preserve">Cylindrical porous </w:t>
      </w:r>
      <w:r w:rsidRPr="00015B11">
        <w:rPr>
          <w:lang w:eastAsia="ja-JP"/>
        </w:rPr>
        <w:t>β-TCP test scaffolds were immersed in 3-ml of lansoprazole solution in DMSO (250 mM or 500 mM) for three minutes, followed by a rinse in 6-ml of PBS solution for one day once. The volume of the test samples was equal to that of the experimental materials. The prepared samples were immersed in 30-ml of PBS solution while stirring for one day, followed by the determination of lansoprazole concentrations in the PBS solution by ultraviolet-visible absorption spectroscopy (λmax=285.4 nm; Spectrophotometer U-3010, Hitachi High-Tech Science Corp., Tokyo, Japan)</w:t>
      </w:r>
      <w:r w:rsidRPr="00015B11">
        <w:t xml:space="preserve"> </w:t>
      </w:r>
      <w:r w:rsidRPr="00015B11">
        <w:fldChar w:fldCharType="begin"/>
      </w:r>
      <w:r w:rsidRPr="00015B11">
        <w:rPr>
          <w:lang w:eastAsia="ja-JP"/>
        </w:rPr>
        <w:instrText xml:space="preserve"> ADDIN EN.CITE &lt;EndNote&gt;&lt;Cite&gt;&lt;Author&gt;J. Al-Zehouri&lt;/Author&gt;&lt;Year&gt;2001&lt;/Year&gt;&lt;RecNum&gt;52&lt;/RecNum&gt;&lt;DisplayText&gt;[25]&lt;/DisplayText&gt;&lt;record&gt;&lt;rec-number&gt;52&lt;/rec-number&gt;&lt;foreign-keys&gt;&lt;key app="EN" db-id="9s0attsfi9dswceapa2v5wf9ae02wvdexf5t" timestamp="1648549587"&gt;52&lt;/key&gt;&lt;/foreign-keys&gt;&lt;ref-type name="Book Section"&gt;5&lt;/ref-type&gt;&lt;contributors&gt;&lt;authors&gt;&lt;author&gt;J. Al-Zehouri, H.I. El-Subbagh, and Abdullah A. Al-Badr &lt;/author&gt;&lt;/authors&gt;&lt;/contributors&gt;&lt;titles&gt;&lt;title&gt;Lansoprazole&lt;/title&gt;&lt;secondary-title&gt;Analytical Profiles of Drug Substances and Excipients&lt;/secondary-title&gt;&lt;/titles&gt;&lt;pages&gt;117-151&lt;/pages&gt;&lt;volume&gt;28&lt;/volume&gt;&lt;dates&gt;&lt;year&gt;2001&lt;/year&gt;&lt;/dates&gt;&lt;urls&gt;&lt;/urls&gt;&lt;/record&gt;&lt;/Cite&gt;&lt;/EndNote&gt;</w:instrText>
      </w:r>
      <w:r w:rsidRPr="00015B11">
        <w:fldChar w:fldCharType="separate"/>
      </w:r>
      <w:r w:rsidRPr="00015B11">
        <w:rPr>
          <w:noProof/>
          <w:lang w:eastAsia="ja-JP"/>
        </w:rPr>
        <w:t>[</w:t>
      </w:r>
      <w:hyperlink r:id="rId6" w:anchor="_ENREF_25" w:tooltip="J. Al-Zehouri, 2001 #52" w:history="1">
        <w:r w:rsidRPr="00015B11">
          <w:rPr>
            <w:rStyle w:val="Hyperlink"/>
            <w:noProof/>
            <w:color w:val="auto"/>
            <w:lang w:eastAsia="ja-JP"/>
          </w:rPr>
          <w:t>25</w:t>
        </w:r>
      </w:hyperlink>
      <w:r w:rsidRPr="00015B11">
        <w:rPr>
          <w:noProof/>
          <w:lang w:eastAsia="ja-JP"/>
        </w:rPr>
        <w:t>]</w:t>
      </w:r>
      <w:r w:rsidRPr="00015B11">
        <w:fldChar w:fldCharType="end"/>
      </w:r>
      <w:r w:rsidRPr="00015B11">
        <w:rPr>
          <w:lang w:eastAsia="ja-JP"/>
        </w:rPr>
        <w:t>. We changed the PBS solution every day and measured lansoprazole concentrations in the PBS solution at the time of the replacement for five successive days (</w:t>
      </w:r>
      <w:r w:rsidRPr="00015B11">
        <w:rPr>
          <w:i/>
          <w:iCs/>
          <w:lang w:eastAsia="ja-JP"/>
        </w:rPr>
        <w:t>n</w:t>
      </w:r>
      <w:r w:rsidRPr="00015B11">
        <w:rPr>
          <w:lang w:eastAsia="ja-JP"/>
        </w:rPr>
        <w:t xml:space="preserve"> = 1).</w:t>
      </w:r>
    </w:p>
    <w:bookmarkEnd w:id="1"/>
    <w:p w14:paraId="5DC8578E" w14:textId="77777777" w:rsidR="0027262B" w:rsidRPr="00015B11" w:rsidRDefault="0027262B" w:rsidP="0027262B">
      <w:pPr>
        <w:widowControl w:val="0"/>
        <w:autoSpaceDE w:val="0"/>
        <w:autoSpaceDN w:val="0"/>
      </w:pPr>
    </w:p>
    <w:p w14:paraId="69D3D825" w14:textId="77777777" w:rsidR="0027262B" w:rsidRPr="00015B11" w:rsidRDefault="0027262B" w:rsidP="0027262B">
      <w:pPr>
        <w:widowControl w:val="0"/>
        <w:autoSpaceDE w:val="0"/>
        <w:autoSpaceDN w:val="0"/>
        <w:rPr>
          <w:b/>
          <w:bCs/>
          <w:lang w:eastAsia="ja-JP"/>
        </w:rPr>
      </w:pPr>
      <w:r w:rsidRPr="00015B11">
        <w:rPr>
          <w:b/>
          <w:bCs/>
          <w:lang w:eastAsia="ja-JP"/>
        </w:rPr>
        <w:t>Supplementary Figure 2</w:t>
      </w:r>
    </w:p>
    <w:p w14:paraId="7F18036A" w14:textId="77777777" w:rsidR="0027262B" w:rsidRPr="00015B11" w:rsidRDefault="0027262B" w:rsidP="0027262B">
      <w:pPr>
        <w:rPr>
          <w:lang w:eastAsia="ja-JP"/>
        </w:rPr>
      </w:pPr>
      <w:r w:rsidRPr="00015B11">
        <w:rPr>
          <w:b/>
          <w:bCs/>
          <w:lang w:eastAsia="ja-JP"/>
        </w:rPr>
        <w:t xml:space="preserve">Radiographic, µ-CT, and histological images of lower amounts of insoluble lansoprazole-impregnated artificial bones embedded for four weeks in a rabbit cortical bone defect model. </w:t>
      </w:r>
      <w:r w:rsidRPr="00015B11">
        <w:rPr>
          <w:lang w:eastAsia="ja-JP"/>
        </w:rPr>
        <w:t xml:space="preserve">In contrast to the results regarding higher amounts of insoluble lansoprazole-impregnated artificial bones (Figure 1), radiolucent areas and </w:t>
      </w:r>
      <w:r w:rsidRPr="00015B11">
        <w:rPr>
          <w:lang w:eastAsia="ja-JP"/>
        </w:rPr>
        <w:lastRenderedPageBreak/>
        <w:t>fibrogranulomatous tissues surrounding the materials were not observed. Scale bars, 1 mm.</w:t>
      </w:r>
    </w:p>
    <w:p w14:paraId="57480300" w14:textId="77777777" w:rsidR="0027262B" w:rsidRPr="00015B11" w:rsidRDefault="0027262B" w:rsidP="0027262B">
      <w:pPr>
        <w:rPr>
          <w:lang w:eastAsia="ja-JP"/>
        </w:rPr>
      </w:pPr>
    </w:p>
    <w:p w14:paraId="00A7FCD5" w14:textId="77777777" w:rsidR="0027262B" w:rsidRPr="00015B11" w:rsidRDefault="0027262B" w:rsidP="0027262B">
      <w:pPr>
        <w:widowControl w:val="0"/>
        <w:autoSpaceDE w:val="0"/>
        <w:autoSpaceDN w:val="0"/>
        <w:rPr>
          <w:b/>
          <w:bCs/>
          <w:lang w:eastAsia="ja-JP"/>
        </w:rPr>
      </w:pPr>
      <w:r w:rsidRPr="00015B11">
        <w:rPr>
          <w:b/>
          <w:bCs/>
          <w:lang w:eastAsia="ja-JP"/>
        </w:rPr>
        <w:t>Supplementary Figure 3</w:t>
      </w:r>
    </w:p>
    <w:p w14:paraId="479B2516" w14:textId="0D8E3919" w:rsidR="0027262B" w:rsidRPr="00015B11" w:rsidRDefault="0027262B" w:rsidP="0027262B">
      <w:pPr>
        <w:widowControl w:val="0"/>
        <w:autoSpaceDE w:val="0"/>
        <w:autoSpaceDN w:val="0"/>
        <w:rPr>
          <w:lang w:eastAsia="ja-JP"/>
        </w:rPr>
      </w:pPr>
      <w:r w:rsidRPr="00015B11">
        <w:rPr>
          <w:b/>
          <w:bCs/>
          <w:lang w:eastAsia="ja-JP"/>
        </w:rPr>
        <w:t xml:space="preserve">Histomorphometric evaluation of lower amounts of insoluble lansoprazole-impregnated artificial bones embedded for four weeks in a rabbit cortical bone defect model. </w:t>
      </w:r>
      <w:r w:rsidRPr="00015B11">
        <w:rPr>
          <w:lang w:eastAsia="ja-JP"/>
        </w:rPr>
        <w:t>The percentage of new bone formation within the entire material (TBA/TMA ratio, left) and the specific area of the material embedded in the cortical bone area (PBA/PMA ratio, right). The mean and SD (</w:t>
      </w:r>
      <w:r w:rsidRPr="00015B11">
        <w:rPr>
          <w:bCs/>
          <w:i/>
        </w:rPr>
        <w:t xml:space="preserve">n </w:t>
      </w:r>
      <w:r w:rsidRPr="00015B11">
        <w:rPr>
          <w:bCs/>
        </w:rPr>
        <w:t>= 3</w:t>
      </w:r>
      <w:r w:rsidRPr="00015B11">
        <w:rPr>
          <w:lang w:eastAsia="ja-JP"/>
        </w:rPr>
        <w:t>) are indicated. *</w:t>
      </w:r>
      <w:r w:rsidRPr="00015B11">
        <w:rPr>
          <w:i/>
          <w:iCs/>
          <w:lang w:eastAsia="ja-JP"/>
        </w:rPr>
        <w:t xml:space="preserve">p </w:t>
      </w:r>
      <w:r w:rsidRPr="00015B11">
        <w:rPr>
          <w:lang w:eastAsia="ja-JP"/>
        </w:rPr>
        <w:t>&lt; 0.05 by the Jonckheere-Terpstra tread test over the indicated concentration range of insoluble lansoprazole solution.</w:t>
      </w:r>
    </w:p>
    <w:p w14:paraId="35FE200A" w14:textId="58F22149" w:rsidR="00ED415D" w:rsidRPr="00015B11" w:rsidRDefault="00ED415D" w:rsidP="0027262B">
      <w:pPr>
        <w:widowControl w:val="0"/>
        <w:autoSpaceDE w:val="0"/>
        <w:autoSpaceDN w:val="0"/>
        <w:rPr>
          <w:lang w:eastAsia="ja-JP"/>
        </w:rPr>
      </w:pPr>
    </w:p>
    <w:p w14:paraId="2B7629FD" w14:textId="77777777" w:rsidR="00ED415D" w:rsidRPr="00015B11" w:rsidRDefault="00ED415D" w:rsidP="00ED415D">
      <w:pPr>
        <w:widowControl w:val="0"/>
        <w:autoSpaceDE w:val="0"/>
        <w:autoSpaceDN w:val="0"/>
        <w:rPr>
          <w:b/>
          <w:bCs/>
          <w:lang w:eastAsia="ja-JP"/>
        </w:rPr>
      </w:pPr>
      <w:bookmarkStart w:id="2" w:name="_Hlk111898356"/>
      <w:r w:rsidRPr="00015B11">
        <w:rPr>
          <w:b/>
          <w:bCs/>
          <w:lang w:eastAsia="ja-JP"/>
        </w:rPr>
        <w:t>Supplementary Figure 4</w:t>
      </w:r>
    </w:p>
    <w:p w14:paraId="6F358BC0" w14:textId="3698D0E4" w:rsidR="00ED415D" w:rsidRPr="00015B11" w:rsidRDefault="00ED415D" w:rsidP="00ED415D">
      <w:pPr>
        <w:widowControl w:val="0"/>
        <w:autoSpaceDE w:val="0"/>
        <w:autoSpaceDN w:val="0"/>
        <w:rPr>
          <w:lang w:eastAsia="ja-JP"/>
        </w:rPr>
      </w:pPr>
      <w:r w:rsidRPr="00015B11">
        <w:rPr>
          <w:b/>
          <w:bCs/>
          <w:lang w:eastAsia="ja-JP"/>
        </w:rPr>
        <w:t xml:space="preserve">Magnified images of the corresponding tissue specimens </w:t>
      </w:r>
      <w:r w:rsidR="00BF128C" w:rsidRPr="00015B11">
        <w:rPr>
          <w:b/>
          <w:bCs/>
          <w:lang w:eastAsia="ja-JP"/>
        </w:rPr>
        <w:t>shown in</w:t>
      </w:r>
      <w:r w:rsidRPr="00015B11">
        <w:rPr>
          <w:b/>
          <w:bCs/>
          <w:lang w:eastAsia="ja-JP"/>
        </w:rPr>
        <w:t xml:space="preserve"> Figure 5. </w:t>
      </w:r>
      <w:r w:rsidRPr="00015B11">
        <w:rPr>
          <w:lang w:eastAsia="ja-JP"/>
        </w:rPr>
        <w:t>The magnified images show the interface between the host bones and the materials.</w:t>
      </w:r>
      <w:r w:rsidRPr="00015B11">
        <w:rPr>
          <w:b/>
          <w:bCs/>
          <w:lang w:eastAsia="ja-JP"/>
        </w:rPr>
        <w:t xml:space="preserve"> </w:t>
      </w:r>
      <w:r w:rsidRPr="00015B11">
        <w:rPr>
          <w:lang w:eastAsia="ja-JP"/>
        </w:rPr>
        <w:t xml:space="preserve">Note </w:t>
      </w:r>
      <w:bookmarkStart w:id="3" w:name="_Hlk111898457"/>
      <w:r w:rsidRPr="00015B11">
        <w:rPr>
          <w:lang w:eastAsia="ja-JP"/>
        </w:rPr>
        <w:t>no fibrogranulomatous tissue formation in the interfaces.</w:t>
      </w:r>
    </w:p>
    <w:bookmarkEnd w:id="2"/>
    <w:bookmarkEnd w:id="3"/>
    <w:p w14:paraId="5BF3CB8E" w14:textId="77777777" w:rsidR="00ED415D" w:rsidRPr="00015B11" w:rsidRDefault="00ED415D" w:rsidP="0027262B">
      <w:pPr>
        <w:widowControl w:val="0"/>
        <w:autoSpaceDE w:val="0"/>
        <w:autoSpaceDN w:val="0"/>
        <w:rPr>
          <w:lang w:eastAsia="ja-JP"/>
        </w:rPr>
      </w:pPr>
    </w:p>
    <w:sectPr w:rsidR="00ED415D" w:rsidRPr="00015B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1E15D" w14:textId="77777777" w:rsidR="00DA0E69" w:rsidRDefault="00DA0E69" w:rsidP="00DA0E69">
      <w:pPr>
        <w:spacing w:line="240" w:lineRule="auto"/>
      </w:pPr>
      <w:r>
        <w:separator/>
      </w:r>
    </w:p>
  </w:endnote>
  <w:endnote w:type="continuationSeparator" w:id="0">
    <w:p w14:paraId="5EB849AB" w14:textId="77777777" w:rsidR="00DA0E69" w:rsidRDefault="00DA0E69" w:rsidP="00DA0E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GothicM">
    <w:altName w:val="MS Gothic"/>
    <w:charset w:val="80"/>
    <w:family w:val="modern"/>
    <w:pitch w:val="fixed"/>
    <w:sig w:usb0="00000000" w:usb1="28C76CF8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55DEF2" w14:textId="77777777" w:rsidR="00DA0E69" w:rsidRDefault="00DA0E69" w:rsidP="00DA0E69">
      <w:pPr>
        <w:spacing w:line="240" w:lineRule="auto"/>
      </w:pPr>
      <w:r>
        <w:separator/>
      </w:r>
    </w:p>
  </w:footnote>
  <w:footnote w:type="continuationSeparator" w:id="0">
    <w:p w14:paraId="67E36010" w14:textId="77777777" w:rsidR="00DA0E69" w:rsidRDefault="00DA0E69" w:rsidP="00DA0E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2B"/>
    <w:rsid w:val="00015B11"/>
    <w:rsid w:val="001E7FC1"/>
    <w:rsid w:val="0027262B"/>
    <w:rsid w:val="00340542"/>
    <w:rsid w:val="004E18CF"/>
    <w:rsid w:val="006F2345"/>
    <w:rsid w:val="008A215B"/>
    <w:rsid w:val="00A56CD0"/>
    <w:rsid w:val="00BF128C"/>
    <w:rsid w:val="00C4320D"/>
    <w:rsid w:val="00DA0E69"/>
    <w:rsid w:val="00DC7801"/>
    <w:rsid w:val="00E803AF"/>
    <w:rsid w:val="00ED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F2FB46"/>
  <w15:chartTrackingRefBased/>
  <w15:docId w15:val="{28F33AB3-2A6D-49F8-9A1E-C035352D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eastAsia="MS Mincho" w:hAnsi="MS Mincho" w:cs="Times New Roman"/>
        <w:color w:val="FF0000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62B"/>
    <w:pPr>
      <w:spacing w:line="480" w:lineRule="auto"/>
    </w:pPr>
    <w:rPr>
      <w:rFonts w:ascii="Times New Roman" w:hAnsi="Times New Roman"/>
      <w:color w:val="auto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262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0E6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A0E69"/>
    <w:rPr>
      <w:rFonts w:ascii="Times New Roman" w:hAnsi="Times New Roman"/>
      <w:color w:val="auto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A0E6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A0E69"/>
    <w:rPr>
      <w:rFonts w:ascii="Times New Roman" w:hAnsi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2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.docs.live.net/17148fdbf24ba3ec/&#30330;&#34920;&#35542;&#25991;/&#27700;&#28342;&#24615;&#12521;&#12531;&#12477;&#12503;&#12521;&#12478;&#12540;&#12523;&#21547;&#26377;&#20154;&#24037;&#39592;/Efficacy%20of%20soluble%20lansoprazol%20for%20scientific%20reports.doc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三島 健一</dc:creator>
  <cp:keywords/>
  <dc:description/>
  <cp:lastModifiedBy>Abirami R.</cp:lastModifiedBy>
  <cp:revision>3</cp:revision>
  <dcterms:created xsi:type="dcterms:W3CDTF">2022-08-28T22:42:00Z</dcterms:created>
  <dcterms:modified xsi:type="dcterms:W3CDTF">2022-11-26T08:15:00Z</dcterms:modified>
</cp:coreProperties>
</file>