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Y="44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9"/>
        <w:gridCol w:w="3329"/>
        <w:gridCol w:w="3329"/>
        <w:gridCol w:w="3329"/>
      </w:tblGrid>
      <w:tr w:rsidR="007E4C23" w:rsidRPr="00F339D8" w14:paraId="45035B1E" w14:textId="77777777" w:rsidTr="0031519E">
        <w:trPr>
          <w:trHeight w:val="274"/>
        </w:trPr>
        <w:tc>
          <w:tcPr>
            <w:tcW w:w="3329" w:type="dxa"/>
          </w:tcPr>
          <w:p w14:paraId="0C7DDCDE" w14:textId="77777777" w:rsidR="007E4C23" w:rsidRPr="00F339D8" w:rsidRDefault="007E4C23" w:rsidP="00F339D8">
            <w:pPr>
              <w:rPr>
                <w:rFonts w:ascii="Times New Roman" w:hAnsi="Times New Roman" w:cs="Times New Roman"/>
                <w:b/>
                <w:bCs/>
              </w:rPr>
            </w:pPr>
            <w:r w:rsidRPr="00F339D8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3329" w:type="dxa"/>
          </w:tcPr>
          <w:p w14:paraId="538ED669" w14:textId="77777777" w:rsidR="007E4C23" w:rsidRPr="00F339D8" w:rsidRDefault="007E4C23" w:rsidP="00F339D8">
            <w:pPr>
              <w:rPr>
                <w:rFonts w:ascii="Times New Roman" w:hAnsi="Times New Roman" w:cs="Times New Roman"/>
                <w:b/>
                <w:bCs/>
              </w:rPr>
            </w:pPr>
            <w:r w:rsidRPr="00F339D8">
              <w:rPr>
                <w:rFonts w:ascii="Times New Roman" w:hAnsi="Times New Roman" w:cs="Times New Roman"/>
                <w:b/>
                <w:bCs/>
              </w:rPr>
              <w:t>Outcomes of interest</w:t>
            </w:r>
          </w:p>
        </w:tc>
        <w:tc>
          <w:tcPr>
            <w:tcW w:w="3329" w:type="dxa"/>
          </w:tcPr>
          <w:p w14:paraId="29C468F7" w14:textId="77777777" w:rsidR="007E4C23" w:rsidRPr="00F339D8" w:rsidRDefault="007E4C23" w:rsidP="00F339D8">
            <w:pPr>
              <w:rPr>
                <w:rFonts w:ascii="Times New Roman" w:hAnsi="Times New Roman" w:cs="Times New Roman"/>
                <w:b/>
                <w:bCs/>
              </w:rPr>
            </w:pPr>
            <w:r w:rsidRPr="00F339D8">
              <w:rPr>
                <w:rFonts w:ascii="Times New Roman" w:hAnsi="Times New Roman" w:cs="Times New Roman"/>
                <w:b/>
                <w:bCs/>
              </w:rPr>
              <w:t>Main outcomes</w:t>
            </w:r>
          </w:p>
        </w:tc>
        <w:tc>
          <w:tcPr>
            <w:tcW w:w="3329" w:type="dxa"/>
          </w:tcPr>
          <w:p w14:paraId="6EFB9801" w14:textId="77777777" w:rsidR="007E4C23" w:rsidRPr="00F339D8" w:rsidRDefault="007E4C23" w:rsidP="00F339D8">
            <w:pPr>
              <w:rPr>
                <w:rFonts w:ascii="Times New Roman" w:hAnsi="Times New Roman" w:cs="Times New Roman"/>
                <w:b/>
                <w:bCs/>
              </w:rPr>
            </w:pPr>
            <w:r w:rsidRPr="00F339D8">
              <w:rPr>
                <w:rFonts w:ascii="Times New Roman" w:hAnsi="Times New Roman" w:cs="Times New Roman"/>
                <w:b/>
                <w:bCs/>
              </w:rPr>
              <w:t>Exclusion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criteria</w:t>
            </w:r>
          </w:p>
        </w:tc>
      </w:tr>
      <w:tr w:rsidR="007E4C23" w:rsidRPr="00F339D8" w14:paraId="56BBCEEA" w14:textId="77777777" w:rsidTr="0031519E">
        <w:trPr>
          <w:trHeight w:val="625"/>
        </w:trPr>
        <w:tc>
          <w:tcPr>
            <w:tcW w:w="3329" w:type="dxa"/>
          </w:tcPr>
          <w:p w14:paraId="2CCB785F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Machine-Learning Algorithms Predict Graft Failure After Liver Transplantation</w:t>
            </w:r>
            <w:r w:rsidRPr="00022AF4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</w:p>
        </w:tc>
        <w:tc>
          <w:tcPr>
            <w:tcW w:w="3329" w:type="dxa"/>
          </w:tcPr>
          <w:p w14:paraId="14D5B2A0" w14:textId="3DB166EF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 xml:space="preserve">Graft </w:t>
            </w:r>
            <w:r w:rsidR="003D3BCC">
              <w:rPr>
                <w:rFonts w:ascii="Times New Roman" w:hAnsi="Times New Roman" w:cs="Times New Roman"/>
              </w:rPr>
              <w:t>failure</w:t>
            </w:r>
            <w:r w:rsidRPr="00F339D8">
              <w:rPr>
                <w:rFonts w:ascii="Times New Roman" w:hAnsi="Times New Roman" w:cs="Times New Roman"/>
              </w:rPr>
              <w:t xml:space="preserve"> at 30 days and 3 months</w:t>
            </w:r>
          </w:p>
        </w:tc>
        <w:tc>
          <w:tcPr>
            <w:tcW w:w="3329" w:type="dxa"/>
          </w:tcPr>
          <w:p w14:paraId="65325CFE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The models predict graft survival with an AU</w:t>
            </w:r>
            <w:r>
              <w:rPr>
                <w:rFonts w:ascii="Times New Roman" w:hAnsi="Times New Roman" w:cs="Times New Roman"/>
              </w:rPr>
              <w:t>RO</w:t>
            </w:r>
            <w:r w:rsidRPr="00F339D8">
              <w:rPr>
                <w:rFonts w:ascii="Times New Roman" w:hAnsi="Times New Roman" w:cs="Times New Roman"/>
              </w:rPr>
              <w:t>C of 0.818 at 30 days and 0.715 at 3 months.</w:t>
            </w:r>
          </w:p>
        </w:tc>
        <w:tc>
          <w:tcPr>
            <w:tcW w:w="3329" w:type="dxa"/>
          </w:tcPr>
          <w:p w14:paraId="5826774E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 xml:space="preserve">Pediatric and living donor </w:t>
            </w:r>
            <w:r>
              <w:rPr>
                <w:rFonts w:ascii="Times New Roman" w:hAnsi="Times New Roman" w:cs="Times New Roman"/>
              </w:rPr>
              <w:t>transplantations</w:t>
            </w:r>
            <w:r w:rsidRPr="00F339D8">
              <w:rPr>
                <w:rFonts w:ascii="Times New Roman" w:hAnsi="Times New Roman" w:cs="Times New Roman"/>
              </w:rPr>
              <w:t xml:space="preserve"> were excluded.</w:t>
            </w:r>
          </w:p>
        </w:tc>
      </w:tr>
      <w:tr w:rsidR="007E4C23" w:rsidRPr="00F339D8" w14:paraId="31C8EF65" w14:textId="77777777" w:rsidTr="0031519E">
        <w:trPr>
          <w:trHeight w:val="625"/>
        </w:trPr>
        <w:tc>
          <w:tcPr>
            <w:tcW w:w="3329" w:type="dxa"/>
          </w:tcPr>
          <w:p w14:paraId="7DFDD034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Dynamically weighted evolutionary ordinal neural network for solving an imbalanced liver transplantation problem</w:t>
            </w:r>
            <w:r w:rsidRPr="00022AF4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</w:p>
        </w:tc>
        <w:tc>
          <w:tcPr>
            <w:tcW w:w="3329" w:type="dxa"/>
          </w:tcPr>
          <w:p w14:paraId="0D295BFF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Graft survival at less than 15 days, between 15 and 90 days, between 90 and 365 days and more than 365 days.</w:t>
            </w:r>
          </w:p>
        </w:tc>
        <w:tc>
          <w:tcPr>
            <w:tcW w:w="3329" w:type="dxa"/>
          </w:tcPr>
          <w:p w14:paraId="06BAF7EB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The model correctly predicted more than 73% of the transplantation results, with a geometric mean of the sensitivities of 31.46%</w:t>
            </w:r>
          </w:p>
        </w:tc>
        <w:tc>
          <w:tcPr>
            <w:tcW w:w="3329" w:type="dxa"/>
          </w:tcPr>
          <w:p w14:paraId="4DC5A147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Patients undergoing partial, split or living-donor liver transplantation were excluded.</w:t>
            </w:r>
          </w:p>
        </w:tc>
      </w:tr>
      <w:tr w:rsidR="007E4C23" w:rsidRPr="00F339D8" w14:paraId="1CABC104" w14:textId="77777777" w:rsidTr="0031519E">
        <w:trPr>
          <w:trHeight w:val="603"/>
        </w:trPr>
        <w:tc>
          <w:tcPr>
            <w:tcW w:w="3329" w:type="dxa"/>
          </w:tcPr>
          <w:p w14:paraId="0494BDED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Validation of Artificial Neural Networks as a Methodology for Donor-Recipient Matching for Liver Transplantation</w:t>
            </w:r>
            <w:r w:rsidRPr="00022AF4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3329" w:type="dxa"/>
          </w:tcPr>
          <w:p w14:paraId="5946E478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Graft survival at 3 and 12 months</w:t>
            </w:r>
          </w:p>
        </w:tc>
        <w:tc>
          <w:tcPr>
            <w:tcW w:w="3329" w:type="dxa"/>
          </w:tcPr>
          <w:p w14:paraId="0FB7B25A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>The models predict graft survival with AU</w:t>
            </w:r>
            <w:r>
              <w:rPr>
                <w:rFonts w:ascii="Times New Roman" w:hAnsi="Times New Roman" w:cs="Times New Roman"/>
              </w:rPr>
              <w:t>RO</w:t>
            </w:r>
            <w:r w:rsidRPr="00F339D8">
              <w:rPr>
                <w:rFonts w:ascii="Times New Roman" w:hAnsi="Times New Roman" w:cs="Times New Roman"/>
              </w:rPr>
              <w:t>C of 0.94, MS-AU</w:t>
            </w:r>
            <w:r>
              <w:rPr>
                <w:rFonts w:ascii="Times New Roman" w:hAnsi="Times New Roman" w:cs="Times New Roman"/>
              </w:rPr>
              <w:t>RO</w:t>
            </w:r>
            <w:r w:rsidRPr="00F339D8">
              <w:rPr>
                <w:rFonts w:ascii="Times New Roman" w:hAnsi="Times New Roman" w:cs="Times New Roman"/>
              </w:rPr>
              <w:t>C of 0.94 at 3 months and AU</w:t>
            </w:r>
            <w:r>
              <w:rPr>
                <w:rFonts w:ascii="Times New Roman" w:hAnsi="Times New Roman" w:cs="Times New Roman"/>
              </w:rPr>
              <w:t>RO</w:t>
            </w:r>
            <w:r w:rsidRPr="00F339D8">
              <w:rPr>
                <w:rFonts w:ascii="Times New Roman" w:hAnsi="Times New Roman" w:cs="Times New Roman"/>
              </w:rPr>
              <w:t>C of 0.78, MS-AU</w:t>
            </w:r>
            <w:r>
              <w:rPr>
                <w:rFonts w:ascii="Times New Roman" w:hAnsi="Times New Roman" w:cs="Times New Roman"/>
              </w:rPr>
              <w:t>RO</w:t>
            </w:r>
            <w:r w:rsidRPr="00F339D8">
              <w:rPr>
                <w:rFonts w:ascii="Times New Roman" w:hAnsi="Times New Roman" w:cs="Times New Roman"/>
              </w:rPr>
              <w:t>C of 0.82 at 12 months.</w:t>
            </w:r>
          </w:p>
        </w:tc>
        <w:tc>
          <w:tcPr>
            <w:tcW w:w="3329" w:type="dxa"/>
          </w:tcPr>
          <w:p w14:paraId="1541E99C" w14:textId="77777777" w:rsidR="007E4C23" w:rsidRPr="00F339D8" w:rsidRDefault="007E4C23" w:rsidP="006670CB">
            <w:pPr>
              <w:rPr>
                <w:rFonts w:ascii="Times New Roman" w:hAnsi="Times New Roman" w:cs="Times New Roman"/>
              </w:rPr>
            </w:pPr>
            <w:r w:rsidRPr="00F339D8">
              <w:rPr>
                <w:rFonts w:ascii="Times New Roman" w:hAnsi="Times New Roman" w:cs="Times New Roman"/>
              </w:rPr>
              <w:t xml:space="preserve">Pediatric, living donor </w:t>
            </w:r>
            <w:r>
              <w:rPr>
                <w:rFonts w:ascii="Times New Roman" w:hAnsi="Times New Roman" w:cs="Times New Roman"/>
              </w:rPr>
              <w:t>transplantations</w:t>
            </w:r>
            <w:r w:rsidRPr="00F339D8">
              <w:rPr>
                <w:rFonts w:ascii="Times New Roman" w:hAnsi="Times New Roman" w:cs="Times New Roman"/>
              </w:rPr>
              <w:t>, and hepatocellular carcinoma patients were excluded.</w:t>
            </w:r>
          </w:p>
        </w:tc>
      </w:tr>
    </w:tbl>
    <w:p w14:paraId="04188AE7" w14:textId="79560843" w:rsidR="007E4C23" w:rsidRDefault="007E4C23">
      <w:pPr>
        <w:rPr>
          <w:rFonts w:ascii="Times New Roman" w:hAnsi="Times New Roman" w:cs="Times New Roman"/>
          <w:sz w:val="24"/>
          <w:szCs w:val="24"/>
        </w:rPr>
      </w:pPr>
      <w:r w:rsidRPr="00022AF4">
        <w:rPr>
          <w:rFonts w:ascii="Times New Roman" w:hAnsi="Times New Roman" w:cs="Times New Roman"/>
          <w:sz w:val="24"/>
          <w:szCs w:val="24"/>
        </w:rPr>
        <w:t>Supplementary Table S1</w:t>
      </w:r>
      <w:r w:rsidRPr="00F339D8">
        <w:rPr>
          <w:rFonts w:ascii="Times New Roman" w:hAnsi="Times New Roman" w:cs="Times New Roman"/>
          <w:sz w:val="24"/>
          <w:szCs w:val="24"/>
        </w:rPr>
        <w:t xml:space="preserve">. Machine learning </w:t>
      </w:r>
      <w:r>
        <w:rPr>
          <w:rFonts w:ascii="Times New Roman" w:hAnsi="Times New Roman" w:cs="Times New Roman"/>
          <w:sz w:val="24"/>
          <w:szCs w:val="24"/>
        </w:rPr>
        <w:t>models</w:t>
      </w:r>
      <w:r w:rsidRPr="00F339D8">
        <w:rPr>
          <w:rFonts w:ascii="Times New Roman" w:hAnsi="Times New Roman" w:cs="Times New Roman"/>
          <w:sz w:val="24"/>
          <w:szCs w:val="24"/>
        </w:rPr>
        <w:t xml:space="preserve"> predicting graft </w:t>
      </w:r>
      <w:r w:rsidR="007F1770">
        <w:rPr>
          <w:rFonts w:ascii="Times New Roman" w:hAnsi="Times New Roman" w:cs="Times New Roman"/>
          <w:sz w:val="24"/>
          <w:szCs w:val="24"/>
        </w:rPr>
        <w:t>survival/</w:t>
      </w:r>
      <w:r w:rsidR="003D3BCC">
        <w:rPr>
          <w:rFonts w:ascii="Times New Roman" w:hAnsi="Times New Roman" w:cs="Times New Roman"/>
          <w:sz w:val="24"/>
          <w:szCs w:val="24"/>
        </w:rPr>
        <w:t>failure</w:t>
      </w:r>
      <w:r w:rsidRPr="00F339D8">
        <w:rPr>
          <w:rFonts w:ascii="Times New Roman" w:hAnsi="Times New Roman" w:cs="Times New Roman"/>
          <w:sz w:val="24"/>
          <w:szCs w:val="24"/>
        </w:rPr>
        <w:t xml:space="preserve"> in liver transplantation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95683B" w14:textId="77777777" w:rsidR="007E4C23" w:rsidRDefault="007E4C23">
      <w:pPr>
        <w:rPr>
          <w:rFonts w:ascii="Times New Roman" w:hAnsi="Times New Roman" w:cs="Times New Roman"/>
          <w:szCs w:val="20"/>
          <w:lang w:val="en-GB"/>
        </w:rPr>
      </w:pPr>
      <w:r w:rsidRPr="00143BA2">
        <w:rPr>
          <w:rFonts w:ascii="Times New Roman" w:hAnsi="Times New Roman" w:cs="Times New Roman"/>
          <w:color w:val="000000" w:themeColor="text1"/>
          <w:szCs w:val="20"/>
        </w:rPr>
        <w:t>Abbreviations: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AUROC:</w:t>
      </w:r>
      <w:r w:rsidRPr="0031519E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CC78C2">
        <w:rPr>
          <w:rFonts w:ascii="Times New Roman" w:hAnsi="Times New Roman" w:cs="Times New Roman"/>
          <w:szCs w:val="20"/>
          <w:lang w:val="en-GB"/>
        </w:rPr>
        <w:t>area under receiver operation characteristic curve</w:t>
      </w:r>
      <w:r>
        <w:rPr>
          <w:rFonts w:ascii="Times New Roman" w:hAnsi="Times New Roman" w:cs="Times New Roman"/>
          <w:szCs w:val="20"/>
          <w:lang w:val="en-GB"/>
        </w:rPr>
        <w:t xml:space="preserve">, MS: </w:t>
      </w:r>
      <w:r w:rsidRPr="0031519E">
        <w:rPr>
          <w:rFonts w:ascii="Times New Roman" w:hAnsi="Times New Roman" w:cs="Times New Roman"/>
          <w:szCs w:val="20"/>
          <w:lang w:val="en-GB"/>
        </w:rPr>
        <w:t>minimum sensitivity</w:t>
      </w:r>
      <w:r>
        <w:rPr>
          <w:rFonts w:ascii="Times New Roman" w:hAnsi="Times New Roman" w:cs="Times New Roman"/>
          <w:szCs w:val="20"/>
          <w:lang w:val="en-GB"/>
        </w:rPr>
        <w:t>.</w:t>
      </w:r>
    </w:p>
    <w:p w14:paraId="4ACC6EA2" w14:textId="77777777" w:rsidR="007E4C23" w:rsidRPr="007E4C23" w:rsidRDefault="007E4C2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2AF4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R</w:t>
      </w:r>
      <w:r w:rsidRPr="00022AF4">
        <w:rPr>
          <w:rFonts w:ascii="Times New Roman" w:hAnsi="Times New Roman" w:cs="Times New Roman"/>
          <w:b/>
          <w:bCs/>
          <w:sz w:val="24"/>
          <w:szCs w:val="24"/>
          <w:lang w:val="en-GB"/>
        </w:rPr>
        <w:t>eferences</w:t>
      </w:r>
    </w:p>
    <w:p w14:paraId="1FBD1678" w14:textId="448BDB53" w:rsidR="007E4C23" w:rsidRPr="007E4C23" w:rsidRDefault="007E4C23" w:rsidP="007E4C23">
      <w:pPr>
        <w:pStyle w:val="EndNoteBibliography"/>
        <w:framePr w:wrap="around" w:y="13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7E4C23">
        <w:rPr>
          <w:rFonts w:ascii="Times New Roman" w:hAnsi="Times New Roman" w:cs="Times New Roman"/>
        </w:rPr>
        <w:t>1.</w:t>
      </w:r>
      <w:r w:rsidRPr="007E4C23">
        <w:rPr>
          <w:rFonts w:ascii="Times New Roman" w:hAnsi="Times New Roman" w:cs="Times New Roman"/>
        </w:rPr>
        <w:tab/>
        <w:t>Lau, L.</w:t>
      </w:r>
      <w:r w:rsidRPr="007E4C23">
        <w:rPr>
          <w:rFonts w:ascii="Times New Roman" w:hAnsi="Times New Roman" w:cs="Times New Roman"/>
          <w:i/>
        </w:rPr>
        <w:t xml:space="preserve"> et al.</w:t>
      </w:r>
      <w:r w:rsidRPr="007E4C23">
        <w:rPr>
          <w:rFonts w:ascii="Times New Roman" w:hAnsi="Times New Roman" w:cs="Times New Roman"/>
        </w:rPr>
        <w:t xml:space="preserve"> Machine-Learning Algorithms Predict Graft Failure After Liver Transplantation. </w:t>
      </w:r>
      <w:r w:rsidRPr="007E4C23">
        <w:rPr>
          <w:rFonts w:ascii="Times New Roman" w:hAnsi="Times New Roman" w:cs="Times New Roman"/>
          <w:i/>
        </w:rPr>
        <w:t>Transplantation</w:t>
      </w:r>
      <w:r w:rsidRPr="007E4C23">
        <w:rPr>
          <w:rFonts w:ascii="Times New Roman" w:hAnsi="Times New Roman" w:cs="Times New Roman"/>
        </w:rPr>
        <w:t xml:space="preserve"> </w:t>
      </w:r>
      <w:r w:rsidRPr="007E4C23">
        <w:rPr>
          <w:rFonts w:ascii="Times New Roman" w:hAnsi="Times New Roman" w:cs="Times New Roman"/>
          <w:b/>
        </w:rPr>
        <w:t>101</w:t>
      </w:r>
      <w:r w:rsidRPr="007E4C23">
        <w:rPr>
          <w:rFonts w:ascii="Times New Roman" w:hAnsi="Times New Roman" w:cs="Times New Roman"/>
        </w:rPr>
        <w:t>, e125-e132. https://doi.org/10.1097/tp.0000000000001600 (2017).</w:t>
      </w:r>
    </w:p>
    <w:p w14:paraId="3413B65D" w14:textId="77777777" w:rsidR="007E4C23" w:rsidRPr="007E4C23" w:rsidRDefault="007E4C23" w:rsidP="007E4C23">
      <w:pPr>
        <w:pStyle w:val="EndNoteBibliography"/>
        <w:framePr w:wrap="around" w:y="13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7E4C23">
        <w:rPr>
          <w:rFonts w:ascii="Times New Roman" w:hAnsi="Times New Roman" w:cs="Times New Roman"/>
        </w:rPr>
        <w:t>2.</w:t>
      </w:r>
      <w:r w:rsidRPr="007E4C23">
        <w:rPr>
          <w:rFonts w:ascii="Times New Roman" w:hAnsi="Times New Roman" w:cs="Times New Roman"/>
        </w:rPr>
        <w:tab/>
        <w:t>Dorado-Moreno, M.</w:t>
      </w:r>
      <w:r w:rsidRPr="007E4C23">
        <w:rPr>
          <w:rFonts w:ascii="Times New Roman" w:hAnsi="Times New Roman" w:cs="Times New Roman"/>
          <w:i/>
        </w:rPr>
        <w:t xml:space="preserve"> et al.</w:t>
      </w:r>
      <w:r w:rsidRPr="007E4C23">
        <w:rPr>
          <w:rFonts w:ascii="Times New Roman" w:hAnsi="Times New Roman" w:cs="Times New Roman"/>
        </w:rPr>
        <w:t xml:space="preserve"> Dynamically weighted evolutionary ordinal neural network for solving an imbalanced liver transplantation problem. </w:t>
      </w:r>
      <w:r w:rsidRPr="007E4C23">
        <w:rPr>
          <w:rFonts w:ascii="Times New Roman" w:hAnsi="Times New Roman" w:cs="Times New Roman"/>
          <w:i/>
        </w:rPr>
        <w:t>Artificial intelligence in medicine</w:t>
      </w:r>
      <w:r w:rsidRPr="007E4C23">
        <w:rPr>
          <w:rFonts w:ascii="Times New Roman" w:hAnsi="Times New Roman" w:cs="Times New Roman"/>
        </w:rPr>
        <w:t xml:space="preserve"> </w:t>
      </w:r>
      <w:r w:rsidRPr="007E4C23">
        <w:rPr>
          <w:rFonts w:ascii="Times New Roman" w:hAnsi="Times New Roman" w:cs="Times New Roman"/>
          <w:b/>
        </w:rPr>
        <w:t>77</w:t>
      </w:r>
      <w:r w:rsidRPr="007E4C23">
        <w:rPr>
          <w:rFonts w:ascii="Times New Roman" w:hAnsi="Times New Roman" w:cs="Times New Roman"/>
        </w:rPr>
        <w:t>, 1-11. https://doi.org/10.1016/j.artmed.2017.02.004 (2017).</w:t>
      </w:r>
    </w:p>
    <w:p w14:paraId="7347CD2C" w14:textId="77777777" w:rsidR="007E4C23" w:rsidRPr="007E4C23" w:rsidRDefault="007E4C23" w:rsidP="007E4C23">
      <w:pPr>
        <w:pStyle w:val="EndNoteBibliography"/>
        <w:framePr w:wrap="around" w:y="13"/>
        <w:spacing w:line="480" w:lineRule="auto"/>
        <w:ind w:left="720" w:hanging="720"/>
        <w:rPr>
          <w:rFonts w:ascii="Times New Roman" w:hAnsi="Times New Roman" w:cs="Times New Roman"/>
        </w:rPr>
      </w:pPr>
      <w:r w:rsidRPr="007E4C23">
        <w:rPr>
          <w:rFonts w:ascii="Times New Roman" w:hAnsi="Times New Roman" w:cs="Times New Roman"/>
        </w:rPr>
        <w:t>3.</w:t>
      </w:r>
      <w:r w:rsidRPr="007E4C23">
        <w:rPr>
          <w:rFonts w:ascii="Times New Roman" w:hAnsi="Times New Roman" w:cs="Times New Roman"/>
        </w:rPr>
        <w:tab/>
        <w:t>Ayllón, M. D.</w:t>
      </w:r>
      <w:r w:rsidRPr="007E4C23">
        <w:rPr>
          <w:rFonts w:ascii="Times New Roman" w:hAnsi="Times New Roman" w:cs="Times New Roman"/>
          <w:i/>
        </w:rPr>
        <w:t xml:space="preserve"> et al.</w:t>
      </w:r>
      <w:r w:rsidRPr="007E4C23">
        <w:rPr>
          <w:rFonts w:ascii="Times New Roman" w:hAnsi="Times New Roman" w:cs="Times New Roman"/>
        </w:rPr>
        <w:t xml:space="preserve"> Validation of artificial neural networks as a methodology for donor-recipient matching for liver transplantation. </w:t>
      </w:r>
      <w:r w:rsidRPr="007E4C23">
        <w:rPr>
          <w:rFonts w:ascii="Times New Roman" w:hAnsi="Times New Roman" w:cs="Times New Roman"/>
          <w:i/>
        </w:rPr>
        <w:t>Liver transplantation : official publication of the American Association for the Study of Liver Diseases and the International Liver Transplantation Society</w:t>
      </w:r>
      <w:r w:rsidRPr="007E4C23">
        <w:rPr>
          <w:rFonts w:ascii="Times New Roman" w:hAnsi="Times New Roman" w:cs="Times New Roman"/>
        </w:rPr>
        <w:t xml:space="preserve"> </w:t>
      </w:r>
      <w:r w:rsidRPr="007E4C23">
        <w:rPr>
          <w:rFonts w:ascii="Times New Roman" w:hAnsi="Times New Roman" w:cs="Times New Roman"/>
          <w:b/>
        </w:rPr>
        <w:t>24</w:t>
      </w:r>
      <w:r w:rsidRPr="007E4C23">
        <w:rPr>
          <w:rFonts w:ascii="Times New Roman" w:hAnsi="Times New Roman" w:cs="Times New Roman"/>
        </w:rPr>
        <w:t>, 192-203. https://doi.org/10.1002/lt.24870 (2018).</w:t>
      </w:r>
    </w:p>
    <w:p w14:paraId="24970473" w14:textId="77777777" w:rsidR="007E4C23" w:rsidRPr="00022AF4" w:rsidRDefault="007E4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92862B" w14:textId="77777777" w:rsidR="00797619" w:rsidRDefault="00797619"/>
    <w:sectPr w:rsidR="00797619" w:rsidSect="007E4C2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9532" w14:textId="77777777" w:rsidR="00E32987" w:rsidRDefault="00E32987" w:rsidP="003D3BCC">
      <w:pPr>
        <w:spacing w:after="0" w:line="240" w:lineRule="auto"/>
      </w:pPr>
      <w:r>
        <w:separator/>
      </w:r>
    </w:p>
  </w:endnote>
  <w:endnote w:type="continuationSeparator" w:id="0">
    <w:p w14:paraId="61CE0F3B" w14:textId="77777777" w:rsidR="00E32987" w:rsidRDefault="00E32987" w:rsidP="003D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C3F3" w14:textId="77777777" w:rsidR="00E32987" w:rsidRDefault="00E32987" w:rsidP="003D3BCC">
      <w:pPr>
        <w:spacing w:after="0" w:line="240" w:lineRule="auto"/>
      </w:pPr>
      <w:r>
        <w:separator/>
      </w:r>
    </w:p>
  </w:footnote>
  <w:footnote w:type="continuationSeparator" w:id="0">
    <w:p w14:paraId="7E01C87E" w14:textId="77777777" w:rsidR="00E32987" w:rsidRDefault="00E32987" w:rsidP="003D3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E4C23"/>
    <w:rsid w:val="003D3BCC"/>
    <w:rsid w:val="00780C42"/>
    <w:rsid w:val="00797619"/>
    <w:rsid w:val="007E4C23"/>
    <w:rsid w:val="007F1770"/>
    <w:rsid w:val="00E3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68210"/>
  <w15:chartTrackingRefBased/>
  <w15:docId w15:val="{8A7B73B3-C021-4798-9026-BF50E867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C2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E4C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E4C23"/>
  </w:style>
  <w:style w:type="paragraph" w:styleId="a5">
    <w:name w:val="footer"/>
    <w:basedOn w:val="a"/>
    <w:link w:val="Char0"/>
    <w:uiPriority w:val="99"/>
    <w:unhideWhenUsed/>
    <w:rsid w:val="007E4C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E4C23"/>
  </w:style>
  <w:style w:type="paragraph" w:customStyle="1" w:styleId="EndNoteBibliographyTitle">
    <w:name w:val="EndNote Bibliography Title"/>
    <w:basedOn w:val="a"/>
    <w:link w:val="EndNoteBibliographyTitleChar"/>
    <w:rsid w:val="007E4C23"/>
    <w:pPr>
      <w:framePr w:hSpace="142" w:wrap="around" w:vAnchor="text" w:hAnchor="margin" w:y="444"/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E4C2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E4C23"/>
    <w:pPr>
      <w:framePr w:hSpace="142" w:wrap="around" w:vAnchor="text" w:hAnchor="margin" w:y="444"/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E4C23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7E4C2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E4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</dc:creator>
  <cp:keywords/>
  <dc:description/>
  <cp:lastModifiedBy>정승호</cp:lastModifiedBy>
  <cp:revision>3</cp:revision>
  <dcterms:created xsi:type="dcterms:W3CDTF">2022-10-27T09:41:00Z</dcterms:created>
  <dcterms:modified xsi:type="dcterms:W3CDTF">2022-10-30T23:17:00Z</dcterms:modified>
</cp:coreProperties>
</file>