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40E" w:rsidRPr="00B0340D" w:rsidRDefault="00AA740E" w:rsidP="00AA740E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0340D">
        <w:rPr>
          <w:rFonts w:asciiTheme="majorBidi" w:hAnsiTheme="majorBidi" w:cstheme="majorBidi"/>
          <w:b/>
          <w:bCs/>
          <w:sz w:val="28"/>
          <w:szCs w:val="28"/>
        </w:rPr>
        <w:t>Molecular and Metabolic Alterations of 2,3-</w:t>
      </w:r>
      <w:r>
        <w:rPr>
          <w:rFonts w:asciiTheme="majorBidi" w:hAnsiTheme="majorBidi" w:cstheme="majorBidi"/>
          <w:b/>
          <w:bCs/>
          <w:sz w:val="28"/>
          <w:szCs w:val="28"/>
        </w:rPr>
        <w:t>D</w:t>
      </w:r>
      <w:r w:rsidRPr="00B0340D">
        <w:rPr>
          <w:rFonts w:asciiTheme="majorBidi" w:hAnsiTheme="majorBidi" w:cstheme="majorBidi"/>
          <w:b/>
          <w:bCs/>
          <w:sz w:val="28"/>
          <w:szCs w:val="28"/>
        </w:rPr>
        <w:t>ihydroquinazolin-4(1</w:t>
      </w:r>
      <w:r w:rsidRPr="00B0340D">
        <w:rPr>
          <w:rFonts w:asciiTheme="majorBidi" w:hAnsiTheme="majorBidi" w:cstheme="majorBidi"/>
          <w:b/>
          <w:bCs/>
          <w:i/>
          <w:sz w:val="28"/>
          <w:szCs w:val="28"/>
        </w:rPr>
        <w:t>H</w:t>
      </w:r>
      <w:r w:rsidRPr="00B0340D">
        <w:rPr>
          <w:rFonts w:asciiTheme="majorBidi" w:hAnsiTheme="majorBidi" w:cstheme="majorBidi"/>
          <w:b/>
          <w:bCs/>
          <w:sz w:val="28"/>
          <w:szCs w:val="28"/>
        </w:rPr>
        <w:t>)-one Derivatives in Prostate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Cancer Cell L</w:t>
      </w:r>
      <w:r w:rsidRPr="00B0340D">
        <w:rPr>
          <w:rFonts w:asciiTheme="majorBidi" w:hAnsiTheme="majorBidi" w:cstheme="majorBidi"/>
          <w:b/>
          <w:bCs/>
          <w:sz w:val="28"/>
          <w:szCs w:val="28"/>
        </w:rPr>
        <w:t>ine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</w:p>
    <w:p w:rsidR="00AA740E" w:rsidRPr="008E2520" w:rsidRDefault="00AA740E" w:rsidP="00AA740E">
      <w:pPr>
        <w:jc w:val="both"/>
        <w:rPr>
          <w:rFonts w:asciiTheme="majorBidi" w:hAnsiTheme="majorBidi" w:cstheme="majorBidi"/>
          <w:sz w:val="24"/>
          <w:szCs w:val="24"/>
        </w:rPr>
      </w:pPr>
      <w:r w:rsidRPr="00D665AD">
        <w:rPr>
          <w:rFonts w:asciiTheme="majorBidi" w:hAnsiTheme="majorBidi" w:cstheme="majorBidi"/>
          <w:sz w:val="24"/>
          <w:szCs w:val="24"/>
        </w:rPr>
        <w:t>Lina A. Dahabiyeh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>1*</w:t>
      </w:r>
      <w:r w:rsidRPr="00D665AD">
        <w:rPr>
          <w:rFonts w:asciiTheme="majorBidi" w:hAnsiTheme="majorBidi" w:cstheme="majorBidi"/>
          <w:sz w:val="24"/>
          <w:szCs w:val="24"/>
        </w:rPr>
        <w:t>,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D665AD">
        <w:rPr>
          <w:rFonts w:asciiTheme="majorBidi" w:hAnsiTheme="majorBidi" w:cstheme="majorBidi"/>
          <w:sz w:val="24"/>
          <w:szCs w:val="24"/>
        </w:rPr>
        <w:t>Wafa Hourani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665A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665AD">
        <w:rPr>
          <w:rFonts w:asciiTheme="majorBidi" w:hAnsiTheme="majorBidi" w:cstheme="majorBidi"/>
          <w:sz w:val="24"/>
          <w:szCs w:val="24"/>
        </w:rPr>
        <w:t>Wesam</w:t>
      </w:r>
      <w:proofErr w:type="spellEnd"/>
      <w:r w:rsidRPr="00D665AD">
        <w:rPr>
          <w:rFonts w:asciiTheme="majorBidi" w:hAnsiTheme="majorBidi" w:cstheme="majorBidi"/>
          <w:sz w:val="24"/>
          <w:szCs w:val="24"/>
        </w:rPr>
        <w:t xml:space="preserve"> Darwish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D665AD">
        <w:rPr>
          <w:rFonts w:asciiTheme="majorBidi" w:hAnsiTheme="majorBidi" w:cstheme="majorBidi"/>
          <w:sz w:val="24"/>
          <w:szCs w:val="24"/>
        </w:rPr>
        <w:t>, Farah Hudaib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D665AD">
        <w:rPr>
          <w:rFonts w:asciiTheme="majorBidi" w:hAnsiTheme="majorBidi" w:cstheme="majorBidi"/>
          <w:sz w:val="24"/>
          <w:szCs w:val="24"/>
        </w:rPr>
        <w:t xml:space="preserve">, </w:t>
      </w:r>
      <w:r w:rsidRPr="00D665AD">
        <w:rPr>
          <w:rFonts w:asciiTheme="majorBidi" w:hAnsiTheme="majorBidi" w:cstheme="majorBidi"/>
          <w:sz w:val="24"/>
          <w:szCs w:val="24"/>
          <w:shd w:val="clear" w:color="auto" w:fill="FFFFFF"/>
        </w:rPr>
        <w:t>Bashaer Abu-Irmaileh</w:t>
      </w:r>
      <w:r w:rsidRPr="00D665AD">
        <w:rPr>
          <w:rFonts w:asciiTheme="majorBidi" w:hAnsiTheme="majorBidi" w:cstheme="majorBidi"/>
          <w:sz w:val="24"/>
          <w:szCs w:val="24"/>
          <w:shd w:val="clear" w:color="auto" w:fill="FFFFFF"/>
          <w:vertAlign w:val="superscript"/>
        </w:rPr>
        <w:t>4</w:t>
      </w:r>
      <w:r w:rsidRPr="00D665AD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Pr="00D665AD">
        <w:rPr>
          <w:rFonts w:asciiTheme="majorBidi" w:hAnsiTheme="majorBidi" w:cstheme="majorBidi"/>
          <w:sz w:val="24"/>
          <w:szCs w:val="24"/>
        </w:rPr>
        <w:t xml:space="preserve"> Pran Kishore Deb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665A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665AD">
        <w:rPr>
          <w:rFonts w:asciiTheme="majorBidi" w:hAnsiTheme="majorBidi" w:cstheme="majorBidi"/>
          <w:sz w:val="24"/>
          <w:szCs w:val="24"/>
        </w:rPr>
        <w:t>Katharigatta</w:t>
      </w:r>
      <w:proofErr w:type="spellEnd"/>
      <w:r w:rsidRPr="00D665AD">
        <w:rPr>
          <w:rFonts w:asciiTheme="majorBidi" w:hAnsiTheme="majorBidi" w:cstheme="majorBidi"/>
          <w:sz w:val="24"/>
          <w:szCs w:val="24"/>
        </w:rPr>
        <w:t xml:space="preserve"> N. Venugopala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>5,6</w:t>
      </w:r>
      <w:r w:rsidRPr="00D665AD">
        <w:rPr>
          <w:rFonts w:asciiTheme="majorBidi" w:hAnsiTheme="majorBidi" w:cstheme="majorBidi"/>
          <w:sz w:val="24"/>
          <w:szCs w:val="24"/>
        </w:rPr>
        <w:t>,</w:t>
      </w:r>
      <w:r w:rsidRPr="00D665AD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Viresh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Mohanlall</w:t>
      </w:r>
      <w:r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8E2520">
        <w:rPr>
          <w:rFonts w:asciiTheme="majorBidi" w:hAnsiTheme="majorBidi" w:cstheme="majorBidi"/>
          <w:sz w:val="24"/>
          <w:szCs w:val="24"/>
        </w:rPr>
        <w:t>, Rana Abu-Dahab</w:t>
      </w:r>
      <w:r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8E2520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Mohammad H.</w:t>
      </w:r>
      <w:r w:rsidRPr="008E2520">
        <w:rPr>
          <w:rFonts w:asciiTheme="majorBidi" w:hAnsiTheme="majorBidi" w:cstheme="majorBidi"/>
          <w:sz w:val="24"/>
          <w:szCs w:val="24"/>
        </w:rPr>
        <w:t> Semreen</w:t>
      </w:r>
      <w:r>
        <w:rPr>
          <w:rFonts w:asciiTheme="majorBidi" w:hAnsiTheme="majorBidi" w:cstheme="majorBidi"/>
          <w:sz w:val="24"/>
          <w:szCs w:val="24"/>
          <w:vertAlign w:val="superscript"/>
        </w:rPr>
        <w:t>8</w:t>
      </w:r>
      <w:r w:rsidRPr="008E2520">
        <w:rPr>
          <w:rFonts w:asciiTheme="majorBidi" w:hAnsiTheme="majorBidi" w:cstheme="majorBidi"/>
          <w:sz w:val="24"/>
          <w:szCs w:val="24"/>
        </w:rPr>
        <w:t>​, Yasser Bustanji</w:t>
      </w:r>
      <w:r>
        <w:rPr>
          <w:rFonts w:asciiTheme="majorBidi" w:hAnsiTheme="majorBidi" w:cstheme="majorBidi"/>
          <w:sz w:val="24"/>
          <w:szCs w:val="24"/>
          <w:vertAlign w:val="superscript"/>
        </w:rPr>
        <w:t>9</w:t>
      </w:r>
    </w:p>
    <w:p w:rsidR="00AA740E" w:rsidRDefault="00AA740E" w:rsidP="00AA740E">
      <w:pPr>
        <w:spacing w:after="120" w:line="240" w:lineRule="auto"/>
        <w:ind w:left="180" w:hanging="18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A740E" w:rsidRPr="008E2520" w:rsidRDefault="00AA740E" w:rsidP="00AA740E">
      <w:pPr>
        <w:spacing w:after="0" w:line="360" w:lineRule="auto"/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8E252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E2520">
        <w:rPr>
          <w:rFonts w:ascii="Times New Roman" w:hAnsi="Times New Roman" w:cs="Times New Roman"/>
          <w:sz w:val="24"/>
          <w:szCs w:val="24"/>
        </w:rPr>
        <w:t>Department of Pharmaceutical Sciences, School of Pharmacy, T</w:t>
      </w:r>
      <w:r>
        <w:rPr>
          <w:rFonts w:ascii="Times New Roman" w:hAnsi="Times New Roman" w:cs="Times New Roman"/>
          <w:sz w:val="24"/>
          <w:szCs w:val="24"/>
        </w:rPr>
        <w:t xml:space="preserve">he University of Jordan, Amman, </w:t>
      </w:r>
      <w:r w:rsidRPr="008E2520">
        <w:rPr>
          <w:rFonts w:ascii="Times New Roman" w:hAnsi="Times New Roman" w:cs="Times New Roman"/>
          <w:sz w:val="24"/>
          <w:szCs w:val="24"/>
        </w:rPr>
        <w:t>11942, Jordan</w:t>
      </w:r>
    </w:p>
    <w:p w:rsidR="00AA740E" w:rsidRDefault="00AA740E" w:rsidP="00AA74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E2520">
        <w:rPr>
          <w:rFonts w:ascii="Times New Roman" w:hAnsi="Times New Roman"/>
          <w:sz w:val="24"/>
          <w:szCs w:val="24"/>
          <w:vertAlign w:val="superscript"/>
        </w:rPr>
        <w:t>2</w:t>
      </w:r>
      <w:r w:rsidRPr="008E2520">
        <w:rPr>
          <w:rFonts w:ascii="Times New Roman" w:hAnsi="Times New Roman"/>
          <w:sz w:val="24"/>
          <w:szCs w:val="24"/>
        </w:rPr>
        <w:t>Department of Pharmaceutical Sciences, Faculty of Pharmacy, Philadelphia Universit</w:t>
      </w:r>
      <w:r>
        <w:rPr>
          <w:rFonts w:ascii="Times New Roman" w:hAnsi="Times New Roman"/>
          <w:sz w:val="24"/>
          <w:szCs w:val="24"/>
        </w:rPr>
        <w:t>y</w:t>
      </w:r>
      <w:r w:rsidRPr="008E2520">
        <w:rPr>
          <w:rFonts w:ascii="Times New Roman" w:hAnsi="Times New Roman"/>
          <w:sz w:val="24"/>
          <w:szCs w:val="24"/>
        </w:rPr>
        <w:t>, Amman 19392, Jordan</w:t>
      </w:r>
    </w:p>
    <w:p w:rsidR="00AA740E" w:rsidRPr="004C577E" w:rsidRDefault="00AA740E" w:rsidP="00AA74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0340D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Depatment of Pharmaceutical Chemist</w:t>
      </w:r>
      <w:r w:rsidR="00F87CC9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y, School of Pharmaceutical Sciences, the Hashemite University, </w:t>
      </w:r>
      <w:proofErr w:type="spellStart"/>
      <w:r>
        <w:rPr>
          <w:rFonts w:ascii="Times New Roman" w:hAnsi="Times New Roman"/>
          <w:sz w:val="24"/>
          <w:szCs w:val="24"/>
        </w:rPr>
        <w:t>Zarqa</w:t>
      </w:r>
      <w:proofErr w:type="spellEnd"/>
      <w:r>
        <w:rPr>
          <w:rFonts w:ascii="Times New Roman" w:hAnsi="Times New Roman"/>
          <w:sz w:val="24"/>
          <w:szCs w:val="24"/>
        </w:rPr>
        <w:t>, 13133, Jordan</w:t>
      </w:r>
    </w:p>
    <w:p w:rsidR="00AA740E" w:rsidRDefault="00AA740E" w:rsidP="00AA740E">
      <w:pPr>
        <w:autoSpaceDE w:val="0"/>
        <w:autoSpaceDN w:val="0"/>
        <w:adjustRightInd w:val="0"/>
        <w:spacing w:after="0"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8E2520">
        <w:rPr>
          <w:rFonts w:asciiTheme="majorBidi" w:hAnsiTheme="majorBidi" w:cstheme="majorBidi"/>
          <w:sz w:val="24"/>
          <w:szCs w:val="24"/>
        </w:rPr>
        <w:t>Hamdi Mango Center for Scientific Research, The University of Jordan, 11942 Amman, Jordan</w:t>
      </w:r>
    </w:p>
    <w:p w:rsidR="00AA740E" w:rsidRPr="008E2520" w:rsidRDefault="00AA740E" w:rsidP="00AA74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8E2520">
        <w:rPr>
          <w:rFonts w:ascii="Times New Roman" w:hAnsi="Times New Roman"/>
          <w:sz w:val="24"/>
          <w:szCs w:val="24"/>
        </w:rPr>
        <w:t>Department of Pharmaceutical Sciences, College of Clinical Pharmacy, King Faisal University, Al-</w:t>
      </w:r>
      <w:proofErr w:type="spellStart"/>
      <w:r w:rsidRPr="008E2520">
        <w:rPr>
          <w:rFonts w:ascii="Times New Roman" w:hAnsi="Times New Roman"/>
          <w:sz w:val="24"/>
          <w:szCs w:val="24"/>
        </w:rPr>
        <w:t>Ahsa</w:t>
      </w:r>
      <w:proofErr w:type="spellEnd"/>
      <w:r w:rsidRPr="008E2520">
        <w:rPr>
          <w:rFonts w:ascii="Times New Roman" w:hAnsi="Times New Roman"/>
          <w:sz w:val="24"/>
          <w:szCs w:val="24"/>
        </w:rPr>
        <w:t xml:space="preserve"> 31982, Saudi Arabia</w:t>
      </w:r>
    </w:p>
    <w:p w:rsidR="00AA740E" w:rsidRPr="004C577E" w:rsidRDefault="00AA740E" w:rsidP="00AA74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6</w:t>
      </w:r>
      <w:r w:rsidRPr="00B0340D">
        <w:rPr>
          <w:rFonts w:asciiTheme="majorBidi" w:eastAsia="Times New Roman" w:hAnsiTheme="majorBidi" w:cstheme="majorBidi"/>
          <w:snapToGrid w:val="0"/>
          <w:color w:val="000000"/>
          <w:sz w:val="24"/>
          <w:szCs w:val="24"/>
          <w:lang w:eastAsia="de-DE" w:bidi="en-US"/>
        </w:rPr>
        <w:t>Department of Biotechnology and Food Science, Faculty of Applied Sciences, Durban University of Technology, Durban 4000, South Africa</w:t>
      </w:r>
    </w:p>
    <w:p w:rsidR="00AA740E" w:rsidRPr="008E2520" w:rsidRDefault="00AA740E" w:rsidP="00AA740E">
      <w:pPr>
        <w:spacing w:after="0" w:line="360" w:lineRule="auto"/>
        <w:jc w:val="both"/>
        <w:rPr>
          <w:rFonts w:asciiTheme="majorBidi" w:hAnsiTheme="majorBidi"/>
          <w:b/>
          <w:bCs/>
        </w:rPr>
      </w:pPr>
      <w:r>
        <w:rPr>
          <w:rFonts w:asciiTheme="majorBidi" w:hAnsiTheme="majorBidi"/>
          <w:vertAlign w:val="superscript"/>
        </w:rPr>
        <w:t>7</w:t>
      </w:r>
      <w:r w:rsidRPr="008E2520">
        <w:rPr>
          <w:rFonts w:asciiTheme="majorBidi" w:hAnsiTheme="majorBidi"/>
        </w:rPr>
        <w:t>Department of Biopharmaceutics and Clinical Pharmacy, School of Pharmacy, The University of Jordan, Amman 11942, Jordan</w:t>
      </w:r>
    </w:p>
    <w:p w:rsidR="00AA740E" w:rsidRDefault="00AA740E" w:rsidP="00AA740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8</w:t>
      </w:r>
      <w:r w:rsidRPr="008E2520">
        <w:rPr>
          <w:rFonts w:asciiTheme="majorBidi" w:hAnsiTheme="majorBidi" w:cstheme="majorBidi"/>
          <w:sz w:val="24"/>
          <w:szCs w:val="24"/>
        </w:rPr>
        <w:t>Department of Medicinal Chemistry, College of Pharmacy, University of Sharjah, Sharjah 27272, UAE</w:t>
      </w:r>
    </w:p>
    <w:p w:rsidR="00AA740E" w:rsidRPr="008E2520" w:rsidRDefault="00AA740E" w:rsidP="00AA740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Pr="008E2520">
        <w:rPr>
          <w:rFonts w:asciiTheme="majorBidi" w:hAnsiTheme="majorBidi" w:cstheme="majorBidi"/>
          <w:sz w:val="24"/>
          <w:szCs w:val="24"/>
        </w:rPr>
        <w:t>Department of Basic Medical Sciences, College of Medicine, University of Sharjah, Sharjah 27272, UAE</w:t>
      </w:r>
    </w:p>
    <w:p w:rsidR="00AA740E" w:rsidRPr="008E2520" w:rsidRDefault="00AA740E" w:rsidP="00AA740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740E" w:rsidRPr="008E2520" w:rsidRDefault="00AA740E" w:rsidP="00AA740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E2520">
        <w:rPr>
          <w:rFonts w:asciiTheme="majorBidi" w:hAnsiTheme="majorBidi" w:cstheme="majorBidi"/>
          <w:b/>
          <w:bCs/>
          <w:sz w:val="24"/>
          <w:szCs w:val="24"/>
        </w:rPr>
        <w:t>*Correspondence</w:t>
      </w:r>
    </w:p>
    <w:p w:rsidR="00AA740E" w:rsidRDefault="00AA740E" w:rsidP="00AA740E">
      <w:pPr>
        <w:autoSpaceDE w:val="0"/>
        <w:autoSpaceDN w:val="0"/>
        <w:adjustRightInd w:val="0"/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D44761">
        <w:rPr>
          <w:rFonts w:asciiTheme="majorBidi" w:hAnsiTheme="majorBidi" w:cstheme="majorBidi"/>
          <w:sz w:val="24"/>
          <w:szCs w:val="24"/>
        </w:rPr>
        <w:t xml:space="preserve">Lina A. Dahabiyeh </w:t>
      </w:r>
    </w:p>
    <w:p w:rsidR="00AA740E" w:rsidRDefault="00AA740E" w:rsidP="00AA740E">
      <w:pPr>
        <w:autoSpaceDE w:val="0"/>
        <w:autoSpaceDN w:val="0"/>
        <w:adjustRightInd w:val="0"/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D44761">
        <w:rPr>
          <w:rFonts w:asciiTheme="majorBidi" w:hAnsiTheme="majorBidi" w:cstheme="majorBidi"/>
          <w:sz w:val="24"/>
          <w:szCs w:val="24"/>
        </w:rPr>
        <w:t>Department of Pharmaceutical Sciences, School of Pha</w:t>
      </w:r>
      <w:r>
        <w:rPr>
          <w:rFonts w:asciiTheme="majorBidi" w:hAnsiTheme="majorBidi" w:cstheme="majorBidi"/>
          <w:sz w:val="24"/>
          <w:szCs w:val="24"/>
        </w:rPr>
        <w:t>rmacy, The University of Jordan</w:t>
      </w:r>
    </w:p>
    <w:p w:rsidR="00AA740E" w:rsidRPr="00D44761" w:rsidRDefault="00AA740E" w:rsidP="00AA740E">
      <w:pPr>
        <w:autoSpaceDE w:val="0"/>
        <w:autoSpaceDN w:val="0"/>
        <w:adjustRightInd w:val="0"/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D44761">
        <w:rPr>
          <w:rFonts w:asciiTheme="majorBidi" w:hAnsiTheme="majorBidi" w:cstheme="majorBidi"/>
          <w:sz w:val="24"/>
          <w:szCs w:val="24"/>
        </w:rPr>
        <w:t xml:space="preserve">Queen Rania St, Amman 11942, Jordan. </w:t>
      </w:r>
    </w:p>
    <w:p w:rsidR="00AA740E" w:rsidRPr="00D44761" w:rsidRDefault="00AA740E" w:rsidP="00AA740E">
      <w:pPr>
        <w:autoSpaceDE w:val="0"/>
        <w:autoSpaceDN w:val="0"/>
        <w:adjustRightInd w:val="0"/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D44761">
        <w:rPr>
          <w:rFonts w:asciiTheme="majorBidi" w:hAnsiTheme="majorBidi" w:cstheme="majorBidi"/>
          <w:sz w:val="24"/>
          <w:szCs w:val="24"/>
        </w:rPr>
        <w:t xml:space="preserve">Telephone: 00962 6 5355000 ext. 23304 </w:t>
      </w:r>
    </w:p>
    <w:p w:rsidR="00AA740E" w:rsidRPr="00D44761" w:rsidRDefault="00AA740E" w:rsidP="00AA740E">
      <w:pPr>
        <w:autoSpaceDE w:val="0"/>
        <w:autoSpaceDN w:val="0"/>
        <w:adjustRightInd w:val="0"/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D44761">
        <w:rPr>
          <w:rFonts w:asciiTheme="majorBidi" w:hAnsiTheme="majorBidi" w:cstheme="majorBidi"/>
          <w:sz w:val="24"/>
          <w:szCs w:val="24"/>
        </w:rPr>
        <w:t>Email: l.dahabiyeh@ju.edu.jo</w:t>
      </w:r>
    </w:p>
    <w:p w:rsidR="00AA740E" w:rsidRPr="008E2520" w:rsidRDefault="00AA740E" w:rsidP="00AA740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40E" w:rsidRDefault="00AA740E" w:rsidP="00AA740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A282E" w:rsidRPr="007D533F" w:rsidRDefault="00FB0D3E" w:rsidP="00740F1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D533F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List of </w:t>
      </w:r>
      <w:r w:rsidR="007D533F" w:rsidRPr="007D533F">
        <w:rPr>
          <w:rFonts w:asciiTheme="majorBidi" w:hAnsiTheme="majorBidi" w:cstheme="majorBidi"/>
          <w:b/>
          <w:bCs/>
          <w:sz w:val="28"/>
          <w:szCs w:val="28"/>
        </w:rPr>
        <w:t xml:space="preserve">Supplementary </w:t>
      </w:r>
      <w:r w:rsidRPr="007D533F">
        <w:rPr>
          <w:rFonts w:asciiTheme="majorBidi" w:hAnsiTheme="majorBidi" w:cstheme="majorBidi"/>
          <w:b/>
          <w:bCs/>
          <w:sz w:val="28"/>
          <w:szCs w:val="28"/>
        </w:rPr>
        <w:t xml:space="preserve">Figures </w:t>
      </w:r>
    </w:p>
    <w:p w:rsidR="00102F47" w:rsidRDefault="00102F47" w:rsidP="00FB0D3E">
      <w:pPr>
        <w:jc w:val="center"/>
        <w:rPr>
          <w:b/>
          <w:bCs/>
          <w:sz w:val="24"/>
          <w:szCs w:val="24"/>
        </w:rPr>
      </w:pPr>
    </w:p>
    <w:tbl>
      <w:tblPr>
        <w:tblStyle w:val="TableGrid"/>
        <w:tblW w:w="9895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"/>
        <w:gridCol w:w="4529"/>
        <w:gridCol w:w="4821"/>
        <w:gridCol w:w="90"/>
      </w:tblGrid>
      <w:tr w:rsidR="008F3EB1" w:rsidTr="006A1B2F">
        <w:trPr>
          <w:gridBefore w:val="1"/>
          <w:gridAfter w:val="1"/>
          <w:wBefore w:w="455" w:type="dxa"/>
          <w:wAfter w:w="90" w:type="dxa"/>
        </w:trPr>
        <w:tc>
          <w:tcPr>
            <w:tcW w:w="9350" w:type="dxa"/>
            <w:gridSpan w:val="2"/>
          </w:tcPr>
          <w:p w:rsidR="008F3EB1" w:rsidRDefault="007D533F" w:rsidP="00FB0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object w:dxaOrig="10623" w:dyaOrig="138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6.2pt;height:528.6pt" o:ole="">
                  <v:imagedata r:id="rId5" o:title=""/>
                </v:shape>
                <o:OLEObject Type="Embed" ProgID="Prism8.Document" ShapeID="_x0000_i1025" DrawAspect="Content" ObjectID="_1729027691" r:id="rId6"/>
              </w:object>
            </w:r>
          </w:p>
        </w:tc>
      </w:tr>
      <w:tr w:rsidR="008F3EB1" w:rsidTr="006A1B2F">
        <w:trPr>
          <w:gridBefore w:val="1"/>
          <w:gridAfter w:val="1"/>
          <w:wBefore w:w="455" w:type="dxa"/>
          <w:wAfter w:w="90" w:type="dxa"/>
        </w:trPr>
        <w:tc>
          <w:tcPr>
            <w:tcW w:w="9350" w:type="dxa"/>
            <w:gridSpan w:val="2"/>
          </w:tcPr>
          <w:p w:rsidR="007D533F" w:rsidRPr="001350B1" w:rsidRDefault="008F3EB1" w:rsidP="007D53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D533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Figure S1: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350B1">
              <w:rPr>
                <w:rFonts w:asciiTheme="majorBidi" w:hAnsiTheme="majorBidi" w:cstheme="majorBidi"/>
                <w:sz w:val="24"/>
                <w:szCs w:val="24"/>
              </w:rPr>
              <w:t xml:space="preserve">Dose-response curves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the seven derivatives</w:t>
            </w:r>
            <w:r w:rsidRPr="001350B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against PC3 (black) and DU450 (Red) </w:t>
            </w:r>
            <w:r w:rsidRPr="00AA740E">
              <w:rPr>
                <w:rFonts w:asciiTheme="majorBidi" w:hAnsiTheme="majorBidi" w:cstheme="majorBidi"/>
                <w:sz w:val="24"/>
                <w:szCs w:val="24"/>
              </w:rPr>
              <w:t>cell lines. A, B, C, D, E, F, and G refer to compounds 1, 2, 3, 4, 5, 6, and 7 as indicated in Table 1. Each concentration point represents the average o</w:t>
            </w:r>
            <w:r w:rsidR="007D533F" w:rsidRPr="00AA740E">
              <w:rPr>
                <w:rFonts w:asciiTheme="majorBidi" w:hAnsiTheme="majorBidi" w:cstheme="majorBidi"/>
                <w:sz w:val="24"/>
                <w:szCs w:val="24"/>
              </w:rPr>
              <w:t>f three experimental replicates.</w:t>
            </w:r>
          </w:p>
          <w:p w:rsidR="008F3EB1" w:rsidRDefault="008F3EB1" w:rsidP="00FB0D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82B74" w:rsidTr="006A1B2F">
        <w:trPr>
          <w:gridBefore w:val="1"/>
          <w:gridAfter w:val="1"/>
          <w:wBefore w:w="455" w:type="dxa"/>
          <w:wAfter w:w="90" w:type="dxa"/>
        </w:trPr>
        <w:tc>
          <w:tcPr>
            <w:tcW w:w="9350" w:type="dxa"/>
            <w:gridSpan w:val="2"/>
          </w:tcPr>
          <w:p w:rsidR="00282B74" w:rsidRDefault="00282B74" w:rsidP="007D533F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282B74" w:rsidRPr="007D533F" w:rsidRDefault="00282B74" w:rsidP="007D533F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A1B2F" w:rsidTr="006A1B2F">
        <w:tc>
          <w:tcPr>
            <w:tcW w:w="4984" w:type="dxa"/>
            <w:gridSpan w:val="2"/>
          </w:tcPr>
          <w:p w:rsidR="006A1B2F" w:rsidRPr="00006541" w:rsidRDefault="006A1B2F" w:rsidP="006A1B2F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911" w:type="dxa"/>
            <w:gridSpan w:val="2"/>
          </w:tcPr>
          <w:p w:rsidR="006A1B2F" w:rsidRDefault="006A1B2F" w:rsidP="0032788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A1B2F" w:rsidTr="006A1B2F">
        <w:trPr>
          <w:trHeight w:val="3131"/>
        </w:trPr>
        <w:tc>
          <w:tcPr>
            <w:tcW w:w="9895" w:type="dxa"/>
            <w:gridSpan w:val="4"/>
          </w:tcPr>
          <w:p w:rsidR="006A1B2F" w:rsidRDefault="006A1B2F" w:rsidP="0032788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object w:dxaOrig="6727" w:dyaOrig="4279">
                <v:shape id="_x0000_i1026" type="#_x0000_t75" style="width:251.4pt;height:158.4pt" o:ole="">
                  <v:imagedata r:id="rId7" o:title=""/>
                </v:shape>
                <o:OLEObject Type="Embed" ProgID="Prism8.Document" ShapeID="_x0000_i1026" DrawAspect="Content" ObjectID="_1729027692" r:id="rId8"/>
              </w:object>
            </w:r>
          </w:p>
        </w:tc>
      </w:tr>
      <w:tr w:rsidR="006A1B2F" w:rsidTr="006A1B2F">
        <w:tc>
          <w:tcPr>
            <w:tcW w:w="4984" w:type="dxa"/>
            <w:gridSpan w:val="2"/>
          </w:tcPr>
          <w:p w:rsidR="006A1B2F" w:rsidRPr="00006541" w:rsidRDefault="006A1B2F" w:rsidP="006A1B2F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911" w:type="dxa"/>
            <w:gridSpan w:val="2"/>
          </w:tcPr>
          <w:p w:rsidR="006A1B2F" w:rsidRPr="00006541" w:rsidRDefault="006A1B2F" w:rsidP="006A1B2F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A1B2F" w:rsidTr="006A1B2F">
        <w:tc>
          <w:tcPr>
            <w:tcW w:w="4984" w:type="dxa"/>
            <w:gridSpan w:val="2"/>
          </w:tcPr>
          <w:p w:rsidR="006A1B2F" w:rsidRDefault="006A1B2F" w:rsidP="0032788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object w:dxaOrig="6672" w:dyaOrig="4315">
                <v:shape id="_x0000_i1027" type="#_x0000_t75" style="width:234pt;height:150.6pt" o:ole="">
                  <v:imagedata r:id="rId9" o:title=""/>
                </v:shape>
                <o:OLEObject Type="Embed" ProgID="Prism8.Document" ShapeID="_x0000_i1027" DrawAspect="Content" ObjectID="_1729027693" r:id="rId10"/>
              </w:object>
            </w:r>
          </w:p>
        </w:tc>
        <w:tc>
          <w:tcPr>
            <w:tcW w:w="4911" w:type="dxa"/>
            <w:gridSpan w:val="2"/>
          </w:tcPr>
          <w:p w:rsidR="006A1B2F" w:rsidRDefault="006A1B2F" w:rsidP="0032788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object w:dxaOrig="6823" w:dyaOrig="4565">
                <v:shape id="_x0000_i1028" type="#_x0000_t75" style="width:234.6pt;height:156.6pt" o:ole="">
                  <v:imagedata r:id="rId11" o:title=""/>
                </v:shape>
                <o:OLEObject Type="Embed" ProgID="Prism8.Document" ShapeID="_x0000_i1028" DrawAspect="Content" ObjectID="_1729027694" r:id="rId12"/>
              </w:object>
            </w:r>
          </w:p>
        </w:tc>
      </w:tr>
      <w:tr w:rsidR="006A1B2F" w:rsidTr="006A1B2F">
        <w:trPr>
          <w:trHeight w:val="1277"/>
        </w:trPr>
        <w:tc>
          <w:tcPr>
            <w:tcW w:w="9895" w:type="dxa"/>
            <w:gridSpan w:val="4"/>
          </w:tcPr>
          <w:p w:rsidR="006A1B2F" w:rsidRPr="006A1B2F" w:rsidRDefault="006A1B2F" w:rsidP="00282B7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1B2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Figure S2. </w:t>
            </w:r>
            <w:proofErr w:type="spellStart"/>
            <w:r w:rsidRPr="006A1B2F">
              <w:rPr>
                <w:rFonts w:asciiTheme="majorBidi" w:hAnsiTheme="majorBidi" w:cstheme="majorBidi"/>
                <w:sz w:val="24"/>
                <w:szCs w:val="24"/>
              </w:rPr>
              <w:t>Dihydroquinazolins</w:t>
            </w:r>
            <w:proofErr w:type="spellEnd"/>
            <w:r w:rsidRPr="006A1B2F">
              <w:rPr>
                <w:rFonts w:asciiTheme="majorBidi" w:hAnsiTheme="majorBidi" w:cstheme="majorBidi"/>
                <w:sz w:val="24"/>
                <w:szCs w:val="24"/>
              </w:rPr>
              <w:t xml:space="preserve"> (C</w:t>
            </w:r>
            <w:r w:rsidR="00282B74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>, C5, and C</w:t>
            </w:r>
            <w:r w:rsidR="00282B74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 xml:space="preserve">) induced apoptosis and necrosis in DU145 cells. Data presented as mean% of cells ± SEM in each group of necrotic cells (A), cells in late apoptosis (B), and cells in early apoptosis (C). ANOVA test followed by Tukey’s test was performed. </w:t>
            </w:r>
            <w:r w:rsidRPr="006A1B2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A1B2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 xml:space="preserve">-value ≤ 0.05, </w:t>
            </w:r>
            <w:r w:rsidRPr="006A1B2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A1B2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 xml:space="preserve">-value ≤ 0.01, </w:t>
            </w:r>
            <w:r w:rsidRPr="006A1B2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***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A1B2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</w:t>
            </w:r>
            <w:r w:rsidRPr="006A1B2F">
              <w:rPr>
                <w:rFonts w:asciiTheme="majorBidi" w:hAnsiTheme="majorBidi" w:cstheme="majorBidi"/>
                <w:sz w:val="24"/>
                <w:szCs w:val="24"/>
              </w:rPr>
              <w:t>-value ≤ 0.001.</w:t>
            </w:r>
          </w:p>
        </w:tc>
      </w:tr>
    </w:tbl>
    <w:p w:rsidR="00C40344" w:rsidRDefault="00C40344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1F7236" w:rsidRDefault="001F7236">
      <w:pPr>
        <w:rPr>
          <w:b/>
          <w:bCs/>
          <w:sz w:val="24"/>
          <w:szCs w:val="24"/>
        </w:rPr>
        <w:sectPr w:rsidR="001F723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3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5"/>
      </w:tblGrid>
      <w:tr w:rsidR="001F7236" w:rsidTr="00F1189F">
        <w:trPr>
          <w:trHeight w:val="7910"/>
        </w:trPr>
        <w:tc>
          <w:tcPr>
            <w:tcW w:w="13405" w:type="dxa"/>
          </w:tcPr>
          <w:p w:rsidR="001F7236" w:rsidRDefault="001F7236" w:rsidP="001F7236">
            <w:pPr>
              <w:jc w:val="center"/>
              <w:rPr>
                <w:b/>
                <w:bCs/>
                <w:sz w:val="24"/>
                <w:szCs w:val="24"/>
              </w:rPr>
            </w:pPr>
            <w:r w:rsidRPr="001F7236">
              <w:rPr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00A29E9C" wp14:editId="79AB860F">
                  <wp:extent cx="8275512" cy="4922520"/>
                  <wp:effectExtent l="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1029" cy="4925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236" w:rsidTr="00F1189F">
        <w:trPr>
          <w:trHeight w:val="1241"/>
        </w:trPr>
        <w:tc>
          <w:tcPr>
            <w:tcW w:w="13405" w:type="dxa"/>
          </w:tcPr>
          <w:p w:rsidR="001F7236" w:rsidRDefault="00F1189F" w:rsidP="00F1189F">
            <w:pPr>
              <w:rPr>
                <w:b/>
                <w:bCs/>
                <w:sz w:val="24"/>
                <w:szCs w:val="24"/>
              </w:rPr>
            </w:pPr>
            <w:r w:rsidRPr="006A1B2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6A1B2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. </w:t>
            </w:r>
            <w:r w:rsidRPr="00F1189F">
              <w:rPr>
                <w:rFonts w:asciiTheme="majorBidi" w:hAnsiTheme="majorBidi" w:cstheme="majorBidi"/>
                <w:sz w:val="24"/>
                <w:szCs w:val="24"/>
              </w:rPr>
              <w:t xml:space="preserve">Representative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total ion chromatogram</w:t>
            </w:r>
            <w:r w:rsidR="0084402A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(TIC) of LC-MS/MS metabolomics study. </w:t>
            </w:r>
            <w:r w:rsidRPr="00F1189F">
              <w:rPr>
                <w:rFonts w:asciiTheme="majorBidi" w:hAnsiTheme="majorBidi" w:cstheme="majorBidi"/>
                <w:sz w:val="24"/>
                <w:szCs w:val="24"/>
              </w:rPr>
              <w:t xml:space="preserve">TIC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from DU145 cells treated with C5, C6 and untreated controls are presented in red, green and blue respectively. </w:t>
            </w:r>
          </w:p>
        </w:tc>
      </w:tr>
    </w:tbl>
    <w:p w:rsidR="001F7236" w:rsidRDefault="001F7236">
      <w:pPr>
        <w:rPr>
          <w:b/>
          <w:bCs/>
          <w:sz w:val="24"/>
          <w:szCs w:val="24"/>
        </w:rPr>
        <w:sectPr w:rsidR="001F7236" w:rsidSect="001F723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p w:rsidR="006A1B2F" w:rsidRDefault="006A1B2F" w:rsidP="00FB0D3E">
      <w:pPr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02F47" w:rsidTr="00AA740E">
        <w:tc>
          <w:tcPr>
            <w:tcW w:w="9350" w:type="dxa"/>
          </w:tcPr>
          <w:p w:rsidR="00102F47" w:rsidRPr="007D533F" w:rsidRDefault="00102F47" w:rsidP="007D533F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</w:p>
        </w:tc>
      </w:tr>
      <w:tr w:rsidR="00102F47" w:rsidTr="00AA740E">
        <w:tc>
          <w:tcPr>
            <w:tcW w:w="9350" w:type="dxa"/>
          </w:tcPr>
          <w:p w:rsidR="00102F47" w:rsidRDefault="007D533F" w:rsidP="00FB0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object w:dxaOrig="6972" w:dyaOrig="4380">
                <v:shape id="_x0000_i1029" type="#_x0000_t75" style="width:328.8pt;height:206.4pt" o:ole="">
                  <v:imagedata r:id="rId14" o:title=""/>
                </v:shape>
                <o:OLEObject Type="Embed" ProgID="PBrush" ShapeID="_x0000_i1029" DrawAspect="Content" ObjectID="_1729027695" r:id="rId15"/>
              </w:object>
            </w:r>
          </w:p>
        </w:tc>
      </w:tr>
      <w:tr w:rsidR="00102F47" w:rsidTr="00AA740E">
        <w:tc>
          <w:tcPr>
            <w:tcW w:w="9350" w:type="dxa"/>
          </w:tcPr>
          <w:p w:rsidR="00102F47" w:rsidRPr="007D533F" w:rsidRDefault="00102F47" w:rsidP="007D533F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</w:p>
        </w:tc>
      </w:tr>
      <w:tr w:rsidR="00102F47" w:rsidTr="00AA740E">
        <w:tc>
          <w:tcPr>
            <w:tcW w:w="9350" w:type="dxa"/>
          </w:tcPr>
          <w:p w:rsidR="00102F47" w:rsidRDefault="007D533F" w:rsidP="00FB0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object w:dxaOrig="6564" w:dyaOrig="4128">
                <v:shape id="_x0000_i1030" type="#_x0000_t75" style="width:313.8pt;height:197.4pt" o:ole="">
                  <v:imagedata r:id="rId16" o:title=""/>
                </v:shape>
                <o:OLEObject Type="Embed" ProgID="PBrush" ShapeID="_x0000_i1030" DrawAspect="Content" ObjectID="_1729027696" r:id="rId17"/>
              </w:object>
            </w:r>
          </w:p>
        </w:tc>
      </w:tr>
      <w:tr w:rsidR="00102F47" w:rsidTr="005706C3">
        <w:trPr>
          <w:trHeight w:val="1566"/>
        </w:trPr>
        <w:tc>
          <w:tcPr>
            <w:tcW w:w="9350" w:type="dxa"/>
          </w:tcPr>
          <w:p w:rsidR="00102F47" w:rsidRDefault="007D533F" w:rsidP="00F1189F">
            <w:pPr>
              <w:jc w:val="both"/>
              <w:rPr>
                <w:b/>
                <w:bCs/>
                <w:sz w:val="24"/>
                <w:szCs w:val="24"/>
              </w:rPr>
            </w:pPr>
            <w:r w:rsidRPr="007E4D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Figure S</w:t>
            </w:r>
            <w:r w:rsidR="00F118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7E4D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  <w:r w:rsidRPr="007E4D54">
              <w:rPr>
                <w:rFonts w:asciiTheme="majorBidi" w:hAnsiTheme="majorBidi" w:cstheme="majorBidi"/>
                <w:sz w:val="24"/>
                <w:szCs w:val="24"/>
              </w:rPr>
              <w:t xml:space="preserve"> Permutation test for the validation of the OPLS-DA model generated from the binary comparison between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(A) C5</w:t>
            </w:r>
            <w:r w:rsidRPr="007E4D54">
              <w:rPr>
                <w:rFonts w:asciiTheme="majorBidi" w:hAnsiTheme="majorBidi" w:cstheme="majorBidi"/>
                <w:sz w:val="24"/>
                <w:szCs w:val="24"/>
              </w:rPr>
              <w:t xml:space="preserve"> treated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DU145</w:t>
            </w:r>
            <w:r w:rsidRPr="007E4D54">
              <w:rPr>
                <w:rFonts w:asciiTheme="majorBidi" w:hAnsiTheme="majorBidi" w:cstheme="majorBidi"/>
                <w:sz w:val="24"/>
                <w:szCs w:val="24"/>
              </w:rPr>
              <w:t xml:space="preserve"> group and control (untreated) group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and (B) C6</w:t>
            </w:r>
            <w:r w:rsidRPr="007E4D54">
              <w:rPr>
                <w:rFonts w:asciiTheme="majorBidi" w:hAnsiTheme="majorBidi" w:cstheme="majorBidi"/>
                <w:sz w:val="24"/>
                <w:szCs w:val="24"/>
              </w:rPr>
              <w:t xml:space="preserve"> treated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DU145</w:t>
            </w:r>
            <w:r w:rsidRPr="007E4D54">
              <w:rPr>
                <w:rFonts w:asciiTheme="majorBidi" w:hAnsiTheme="majorBidi" w:cstheme="majorBidi"/>
                <w:sz w:val="24"/>
                <w:szCs w:val="24"/>
              </w:rPr>
              <w:t xml:space="preserve"> group and control (untreated) group. Q</w:t>
            </w:r>
            <w:r w:rsidRPr="007E4D54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7E4D54">
              <w:rPr>
                <w:rFonts w:asciiTheme="majorBidi" w:hAnsiTheme="majorBidi" w:cstheme="majorBidi"/>
                <w:sz w:val="24"/>
                <w:szCs w:val="24"/>
              </w:rPr>
              <w:t xml:space="preserve"> (blue squares) and R</w:t>
            </w:r>
            <w:r w:rsidRPr="007E4D54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  <w:r w:rsidRPr="007E4D54">
              <w:rPr>
                <w:rFonts w:asciiTheme="majorBidi" w:hAnsiTheme="majorBidi" w:cstheme="majorBidi"/>
                <w:sz w:val="24"/>
                <w:szCs w:val="24"/>
              </w:rPr>
              <w:t>Y (green circles). Values from the permuted analysis models (left- side) should be less than the initial generated model values (right- corner).</w:t>
            </w:r>
          </w:p>
        </w:tc>
      </w:tr>
    </w:tbl>
    <w:p w:rsidR="00102F47" w:rsidRPr="00FB0D3E" w:rsidRDefault="00102F47" w:rsidP="00FB0D3E">
      <w:pPr>
        <w:jc w:val="center"/>
        <w:rPr>
          <w:b/>
          <w:bCs/>
          <w:sz w:val="24"/>
          <w:szCs w:val="24"/>
        </w:rPr>
      </w:pPr>
    </w:p>
    <w:sectPr w:rsidR="00102F47" w:rsidRPr="00FB0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2147"/>
    <w:multiLevelType w:val="hybridMultilevel"/>
    <w:tmpl w:val="13B67850"/>
    <w:lvl w:ilvl="0" w:tplc="E2427B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F64AA"/>
    <w:multiLevelType w:val="hybridMultilevel"/>
    <w:tmpl w:val="618A6BFC"/>
    <w:lvl w:ilvl="0" w:tplc="114AC7E2">
      <w:start w:val="1"/>
      <w:numFmt w:val="upperLetter"/>
      <w:lvlText w:val="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41E18"/>
    <w:multiLevelType w:val="hybridMultilevel"/>
    <w:tmpl w:val="E5FA6F46"/>
    <w:lvl w:ilvl="0" w:tplc="3388719C">
      <w:start w:val="1"/>
      <w:numFmt w:val="upperLetter"/>
      <w:lvlText w:val="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20D7A"/>
    <w:multiLevelType w:val="hybridMultilevel"/>
    <w:tmpl w:val="524ED12E"/>
    <w:lvl w:ilvl="0" w:tplc="FA4E22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41B41"/>
    <w:multiLevelType w:val="hybridMultilevel"/>
    <w:tmpl w:val="A92EC590"/>
    <w:lvl w:ilvl="0" w:tplc="05CA87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E93"/>
    <w:rsid w:val="00102F47"/>
    <w:rsid w:val="001D0C7F"/>
    <w:rsid w:val="001F3682"/>
    <w:rsid w:val="001F7236"/>
    <w:rsid w:val="00282B74"/>
    <w:rsid w:val="00361A5C"/>
    <w:rsid w:val="003B4F33"/>
    <w:rsid w:val="004804FA"/>
    <w:rsid w:val="004B0E1D"/>
    <w:rsid w:val="004B3CBB"/>
    <w:rsid w:val="005706C3"/>
    <w:rsid w:val="00587E93"/>
    <w:rsid w:val="005A40B6"/>
    <w:rsid w:val="005C1853"/>
    <w:rsid w:val="005D5ED1"/>
    <w:rsid w:val="005E743E"/>
    <w:rsid w:val="00621176"/>
    <w:rsid w:val="00663DC1"/>
    <w:rsid w:val="0067353E"/>
    <w:rsid w:val="006A1B2F"/>
    <w:rsid w:val="007028C2"/>
    <w:rsid w:val="00740F14"/>
    <w:rsid w:val="00775333"/>
    <w:rsid w:val="007C0097"/>
    <w:rsid w:val="007D533F"/>
    <w:rsid w:val="0084402A"/>
    <w:rsid w:val="008F3EB1"/>
    <w:rsid w:val="00AA740E"/>
    <w:rsid w:val="00AF290B"/>
    <w:rsid w:val="00BD4C2E"/>
    <w:rsid w:val="00BE1801"/>
    <w:rsid w:val="00C26E9A"/>
    <w:rsid w:val="00C40344"/>
    <w:rsid w:val="00C441BB"/>
    <w:rsid w:val="00C624D2"/>
    <w:rsid w:val="00CE7466"/>
    <w:rsid w:val="00EB2B1B"/>
    <w:rsid w:val="00F1189F"/>
    <w:rsid w:val="00F16896"/>
    <w:rsid w:val="00F87CC9"/>
    <w:rsid w:val="00FB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AA401"/>
  <w15:chartTrackingRefBased/>
  <w15:docId w15:val="{AA048272-431A-4191-99AA-C705B241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0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B0D3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6A1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3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Dahabiyeh</dc:creator>
  <cp:keywords/>
  <dc:description/>
  <cp:lastModifiedBy>Lina Dahabiyeh</cp:lastModifiedBy>
  <cp:revision>28</cp:revision>
  <dcterms:created xsi:type="dcterms:W3CDTF">2022-01-31T10:36:00Z</dcterms:created>
  <dcterms:modified xsi:type="dcterms:W3CDTF">2022-11-03T22:40:00Z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1c084eec9ad715e79a09ac8d9e06f72fc9efdb22fad7bcddc7274d3951af9b61</vt:lpwstr>
  </property>
</Properties>
</file>