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999" w:rsidRPr="000E18DF" w:rsidRDefault="00902999" w:rsidP="00902999">
      <w:pPr>
        <w:widowControl/>
        <w:wordWrap/>
        <w:autoSpaceDE/>
        <w:autoSpaceDN/>
        <w:jc w:val="center"/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18DF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Supplementary Materials</w:t>
      </w:r>
    </w:p>
    <w:p w:rsidR="00902999" w:rsidRPr="000E18DF" w:rsidRDefault="00902999" w:rsidP="00902999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999" w:rsidRPr="000E18DF" w:rsidRDefault="00902999" w:rsidP="0090299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b/>
          <w:sz w:val="24"/>
          <w:szCs w:val="24"/>
        </w:rPr>
        <w:t>Supplementary Figure S1.</w:t>
      </w:r>
      <w:r w:rsidRPr="000E18DF">
        <w:rPr>
          <w:rFonts w:ascii="Times New Roman" w:hAnsi="Times New Roman" w:cs="Times New Roman"/>
          <w:sz w:val="24"/>
          <w:szCs w:val="24"/>
        </w:rPr>
        <w:t xml:space="preserve"> Quality scores</w:t>
      </w:r>
      <w:r w:rsidR="00A734CB" w:rsidRPr="000E18D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734CB" w:rsidRPr="000E18DF">
        <w:rPr>
          <w:rFonts w:ascii="Times New Roman" w:hAnsi="Times New Roman" w:cs="Times New Roman"/>
          <w:sz w:val="24"/>
          <w:szCs w:val="24"/>
        </w:rPr>
        <w:t>Phre</w:t>
      </w:r>
      <w:bookmarkStart w:id="0" w:name="_GoBack"/>
      <w:bookmarkEnd w:id="0"/>
      <w:r w:rsidR="00A734CB" w:rsidRPr="000E18DF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A734CB" w:rsidRPr="000E18DF">
        <w:rPr>
          <w:rFonts w:ascii="Times New Roman" w:hAnsi="Times New Roman" w:cs="Times New Roman"/>
          <w:sz w:val="24"/>
          <w:szCs w:val="24"/>
        </w:rPr>
        <w:t xml:space="preserve"> score)</w:t>
      </w:r>
      <w:r w:rsidRPr="000E18DF">
        <w:rPr>
          <w:rFonts w:ascii="Times New Roman" w:hAnsi="Times New Roman" w:cs="Times New Roman"/>
          <w:sz w:val="24"/>
          <w:szCs w:val="24"/>
        </w:rPr>
        <w:t xml:space="preserve"> of (A) forward and (B) reverse reads.</w:t>
      </w:r>
    </w:p>
    <w:p w:rsidR="00902999" w:rsidRPr="000E18DF" w:rsidRDefault="00902999" w:rsidP="00902999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p w:rsidR="00BA46B4" w:rsidRPr="000E18DF" w:rsidRDefault="00BA46B4" w:rsidP="00902999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b/>
          <w:sz w:val="24"/>
          <w:szCs w:val="24"/>
        </w:rPr>
        <w:t>Supplementary Figure S2.</w:t>
      </w:r>
      <w:r w:rsidRPr="000E18DF">
        <w:rPr>
          <w:rFonts w:ascii="Times New Roman" w:hAnsi="Times New Roman" w:cs="Times New Roman"/>
          <w:sz w:val="24"/>
          <w:szCs w:val="24"/>
        </w:rPr>
        <w:t xml:space="preserve"> </w:t>
      </w:r>
      <w:r w:rsidR="00EA7137" w:rsidRPr="000E18DF">
        <w:rPr>
          <w:rFonts w:ascii="Times New Roman" w:hAnsi="Times New Roman" w:cs="Times New Roman"/>
          <w:sz w:val="24"/>
          <w:szCs w:val="24"/>
        </w:rPr>
        <w:t>Comparison of the taxonomic composition between samples from (A-B) homogenized stools and (C) non-homogenized stools at baseline. Stool samples were obtained from 10 healthy volunteers.</w:t>
      </w:r>
    </w:p>
    <w:p w:rsidR="00EA7137" w:rsidRPr="000E18DF" w:rsidRDefault="00EA7137" w:rsidP="00902999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p w:rsidR="00902999" w:rsidRPr="000E18DF" w:rsidRDefault="00902999" w:rsidP="0090299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b/>
          <w:sz w:val="24"/>
          <w:szCs w:val="24"/>
        </w:rPr>
        <w:t>Supplementary Figure S</w:t>
      </w:r>
      <w:r w:rsidR="0075495A" w:rsidRPr="000E18DF">
        <w:rPr>
          <w:rFonts w:ascii="Times New Roman" w:hAnsi="Times New Roman" w:cs="Times New Roman"/>
          <w:b/>
          <w:sz w:val="24"/>
          <w:szCs w:val="24"/>
        </w:rPr>
        <w:t>3</w:t>
      </w:r>
      <w:r w:rsidRPr="000E18D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E18DF">
        <w:rPr>
          <w:rFonts w:ascii="Times New Roman" w:hAnsi="Times New Roman" w:cs="Times New Roman"/>
          <w:sz w:val="24"/>
          <w:szCs w:val="24"/>
        </w:rPr>
        <w:t xml:space="preserve">Pairwise distances of Bray–Curtis dissimilarity based on the predicted </w:t>
      </w:r>
      <w:proofErr w:type="spellStart"/>
      <w:r w:rsidRPr="000E18DF">
        <w:rPr>
          <w:rFonts w:ascii="Times New Roman" w:hAnsi="Times New Roman" w:cs="Times New Roman"/>
          <w:sz w:val="24"/>
          <w:szCs w:val="24"/>
        </w:rPr>
        <w:t>MetaCyc</w:t>
      </w:r>
      <w:proofErr w:type="spellEnd"/>
      <w:r w:rsidRPr="000E18DF">
        <w:rPr>
          <w:rFonts w:ascii="Times New Roman" w:hAnsi="Times New Roman" w:cs="Times New Roman"/>
          <w:sz w:val="24"/>
          <w:szCs w:val="24"/>
        </w:rPr>
        <w:t xml:space="preserve"> pathways between the baseline and 18 months. DNA/RNA Shield, DNA/RNA shield fecal collection tube; OMNIgene, OMNIgene-Gut; RT, room temperature.</w:t>
      </w:r>
    </w:p>
    <w:p w:rsidR="00902999" w:rsidRPr="000E18DF" w:rsidRDefault="00902999" w:rsidP="00902999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p w:rsidR="00902999" w:rsidRPr="000E18DF" w:rsidRDefault="00902999" w:rsidP="0090299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b/>
          <w:sz w:val="24"/>
          <w:szCs w:val="24"/>
        </w:rPr>
        <w:t>Supplementary Figure S</w:t>
      </w:r>
      <w:r w:rsidR="0075495A" w:rsidRPr="000E18DF">
        <w:rPr>
          <w:rFonts w:ascii="Times New Roman" w:hAnsi="Times New Roman" w:cs="Times New Roman"/>
          <w:b/>
          <w:sz w:val="24"/>
          <w:szCs w:val="24"/>
        </w:rPr>
        <w:t>4</w:t>
      </w:r>
      <w:r w:rsidRPr="000E18DF">
        <w:rPr>
          <w:rFonts w:ascii="Times New Roman" w:hAnsi="Times New Roman" w:cs="Times New Roman"/>
          <w:b/>
          <w:sz w:val="24"/>
          <w:szCs w:val="24"/>
        </w:rPr>
        <w:t>.</w:t>
      </w:r>
      <w:r w:rsidRPr="000E18DF">
        <w:rPr>
          <w:rFonts w:ascii="Times New Roman" w:hAnsi="Times New Roman" w:cs="Times New Roman"/>
          <w:sz w:val="24"/>
          <w:szCs w:val="24"/>
        </w:rPr>
        <w:t xml:space="preserve"> Relative abundances of </w:t>
      </w:r>
      <w:r w:rsidRPr="000E18DF">
        <w:rPr>
          <w:rFonts w:ascii="Times New Roman" w:eastAsia="Malgun Gothic" w:hAnsi="Times New Roman" w:cs="Times New Roman"/>
          <w:sz w:val="24"/>
          <w:szCs w:val="24"/>
        </w:rPr>
        <w:t xml:space="preserve">the </w:t>
      </w:r>
      <w:r w:rsidRPr="000E18DF">
        <w:rPr>
          <w:rFonts w:ascii="Times New Roman" w:hAnsi="Times New Roman" w:cs="Times New Roman"/>
          <w:sz w:val="24"/>
          <w:szCs w:val="24"/>
        </w:rPr>
        <w:t xml:space="preserve">inferred </w:t>
      </w:r>
      <w:proofErr w:type="spellStart"/>
      <w:r w:rsidRPr="000E18DF">
        <w:rPr>
          <w:rFonts w:ascii="Times New Roman" w:hAnsi="Times New Roman" w:cs="Times New Roman"/>
          <w:sz w:val="24"/>
          <w:szCs w:val="24"/>
        </w:rPr>
        <w:t>MetaCyc</w:t>
      </w:r>
      <w:proofErr w:type="spellEnd"/>
      <w:r w:rsidRPr="000E18DF">
        <w:rPr>
          <w:rFonts w:ascii="Times New Roman" w:hAnsi="Times New Roman" w:cs="Times New Roman"/>
          <w:sz w:val="24"/>
          <w:szCs w:val="24"/>
        </w:rPr>
        <w:t xml:space="preserve"> </w:t>
      </w:r>
      <w:r w:rsidRPr="000E18DF">
        <w:rPr>
          <w:rFonts w:ascii="Times New Roman" w:eastAsia="Malgun Gothic" w:hAnsi="Times New Roman" w:cs="Times New Roman"/>
          <w:sz w:val="24"/>
          <w:szCs w:val="24"/>
        </w:rPr>
        <w:t>pathways</w:t>
      </w:r>
      <w:r w:rsidRPr="000E18DF">
        <w:rPr>
          <w:rFonts w:ascii="Times New Roman" w:hAnsi="Times New Roman" w:cs="Times New Roman"/>
          <w:sz w:val="24"/>
          <w:szCs w:val="24"/>
        </w:rPr>
        <w:t xml:space="preserve"> at the baseline and 18 months after storage. (A) Pentose phosphate pathway (</w:t>
      </w:r>
      <w:r w:rsidRPr="000E18DF">
        <w:rPr>
          <w:rFonts w:ascii="Times New Roman" w:eastAsia="Malgun Gothic" w:hAnsi="Times New Roman" w:cs="Times New Roman"/>
          <w:sz w:val="24"/>
          <w:szCs w:val="24"/>
        </w:rPr>
        <w:t>nonoxidative</w:t>
      </w:r>
      <w:r w:rsidRPr="000E18DF">
        <w:rPr>
          <w:rFonts w:ascii="Times New Roman" w:hAnsi="Times New Roman" w:cs="Times New Roman"/>
          <w:sz w:val="24"/>
          <w:szCs w:val="24"/>
        </w:rPr>
        <w:t xml:space="preserve"> branch) I, (B) </w:t>
      </w:r>
      <w:proofErr w:type="spellStart"/>
      <w:r w:rsidRPr="000E18DF">
        <w:rPr>
          <w:rFonts w:ascii="Times New Roman" w:hAnsi="Times New Roman" w:cs="Times New Roman"/>
          <w:sz w:val="24"/>
          <w:szCs w:val="24"/>
        </w:rPr>
        <w:t>gondoate</w:t>
      </w:r>
      <w:proofErr w:type="spellEnd"/>
      <w:r w:rsidRPr="000E18DF">
        <w:rPr>
          <w:rFonts w:ascii="Times New Roman" w:hAnsi="Times New Roman" w:cs="Times New Roman"/>
          <w:sz w:val="24"/>
          <w:szCs w:val="24"/>
        </w:rPr>
        <w:t xml:space="preserve"> biosynthesis (anaerobic), (C) adenosine ribonucleotides de novo biosynthesis, and (D) UMP biosynthesis I.</w:t>
      </w:r>
    </w:p>
    <w:p w:rsidR="00404A00" w:rsidRPr="000E18DF" w:rsidRDefault="00404A00" w:rsidP="0090299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4A00" w:rsidRPr="000E18DF" w:rsidRDefault="00404A00" w:rsidP="00404A00">
      <w:pPr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b/>
          <w:sz w:val="24"/>
          <w:szCs w:val="24"/>
        </w:rPr>
        <w:t>Supplementary Table S1.</w:t>
      </w:r>
      <w:r w:rsidRPr="000E18DF">
        <w:rPr>
          <w:rFonts w:ascii="Times New Roman" w:hAnsi="Times New Roman" w:cs="Times New Roman"/>
          <w:sz w:val="24"/>
          <w:szCs w:val="24"/>
        </w:rPr>
        <w:t xml:space="preserve"> Pairwise comparison of beta diversity from baseline and 18 months samples by PERMANOVA</w:t>
      </w:r>
    </w:p>
    <w:p w:rsidR="00404A00" w:rsidRPr="000E18DF" w:rsidRDefault="00404A00" w:rsidP="0090299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2999" w:rsidRPr="000E18DF" w:rsidRDefault="00902999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0E18D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02999" w:rsidRPr="000E18DF" w:rsidRDefault="00281509" w:rsidP="0090299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8DF">
        <w:rPr>
          <w:noProof/>
        </w:rPr>
        <w:lastRenderedPageBreak/>
        <w:t xml:space="preserve"> </w:t>
      </w:r>
      <w:r w:rsidRPr="000E18DF">
        <w:rPr>
          <w:noProof/>
          <w:lang w:val="en-IN" w:eastAsia="en-IN"/>
        </w:rPr>
        <w:drawing>
          <wp:inline distT="0" distB="0" distL="0" distR="0" wp14:anchorId="4E64F793" wp14:editId="52B04356">
            <wp:extent cx="5731510" cy="2853055"/>
            <wp:effectExtent l="0" t="0" r="2540" b="444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999" w:rsidRPr="000E18DF" w:rsidRDefault="00281509" w:rsidP="0090299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8DF">
        <w:rPr>
          <w:noProof/>
        </w:rPr>
        <w:t xml:space="preserve"> </w:t>
      </w:r>
      <w:r w:rsidRPr="000E18DF">
        <w:rPr>
          <w:noProof/>
          <w:lang w:val="en-IN" w:eastAsia="en-IN"/>
        </w:rPr>
        <w:drawing>
          <wp:inline distT="0" distB="0" distL="0" distR="0" wp14:anchorId="568EE391" wp14:editId="26C5CEE6">
            <wp:extent cx="5731510" cy="2835910"/>
            <wp:effectExtent l="0" t="0" r="2540" b="254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999" w:rsidRPr="000E18DF" w:rsidRDefault="00902999" w:rsidP="0090299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b/>
          <w:sz w:val="24"/>
          <w:szCs w:val="24"/>
        </w:rPr>
        <w:t>Supplementary Figure S1.</w:t>
      </w:r>
      <w:r w:rsidRPr="000E18DF">
        <w:rPr>
          <w:rFonts w:ascii="Times New Roman" w:hAnsi="Times New Roman" w:cs="Times New Roman"/>
          <w:sz w:val="24"/>
          <w:szCs w:val="24"/>
        </w:rPr>
        <w:t xml:space="preserve"> Quality scores</w:t>
      </w:r>
      <w:r w:rsidR="00281509" w:rsidRPr="000E18D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81509" w:rsidRPr="000E18DF">
        <w:rPr>
          <w:rFonts w:ascii="Times New Roman" w:hAnsi="Times New Roman" w:cs="Times New Roman"/>
          <w:sz w:val="24"/>
          <w:szCs w:val="24"/>
        </w:rPr>
        <w:t>Phred</w:t>
      </w:r>
      <w:proofErr w:type="spellEnd"/>
      <w:r w:rsidR="00281509" w:rsidRPr="000E18DF">
        <w:rPr>
          <w:rFonts w:ascii="Times New Roman" w:hAnsi="Times New Roman" w:cs="Times New Roman"/>
          <w:sz w:val="24"/>
          <w:szCs w:val="24"/>
        </w:rPr>
        <w:t xml:space="preserve"> score)</w:t>
      </w:r>
      <w:r w:rsidRPr="000E18DF">
        <w:rPr>
          <w:rFonts w:ascii="Times New Roman" w:hAnsi="Times New Roman" w:cs="Times New Roman"/>
          <w:sz w:val="24"/>
          <w:szCs w:val="24"/>
        </w:rPr>
        <w:t xml:space="preserve"> of (A) forward and (B) reverse reads.</w:t>
      </w:r>
    </w:p>
    <w:p w:rsidR="00003E27" w:rsidRPr="000E18DF" w:rsidRDefault="00003E27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sz w:val="24"/>
          <w:szCs w:val="24"/>
        </w:rPr>
        <w:br w:type="page"/>
      </w:r>
    </w:p>
    <w:p w:rsidR="00003E27" w:rsidRPr="000E18DF" w:rsidRDefault="00242F81" w:rsidP="00674096">
      <w:pPr>
        <w:widowControl/>
        <w:wordWrap/>
        <w:autoSpaceDE/>
        <w:autoSpaceDN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18DF">
        <w:rPr>
          <w:noProof/>
          <w:lang w:val="en-IN" w:eastAsia="en-IN"/>
        </w:rPr>
        <w:drawing>
          <wp:inline distT="0" distB="0" distL="0" distR="0" wp14:anchorId="77331545" wp14:editId="67B73030">
            <wp:extent cx="5731510" cy="5106035"/>
            <wp:effectExtent l="0" t="0" r="254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0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E27" w:rsidRPr="000E18DF" w:rsidRDefault="00003E27" w:rsidP="00003E27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b/>
          <w:sz w:val="24"/>
          <w:szCs w:val="24"/>
        </w:rPr>
        <w:t>Supplementary Figure S2.</w:t>
      </w:r>
      <w:r w:rsidRPr="000E18DF">
        <w:rPr>
          <w:rFonts w:ascii="Times New Roman" w:hAnsi="Times New Roman" w:cs="Times New Roman"/>
          <w:sz w:val="24"/>
          <w:szCs w:val="24"/>
        </w:rPr>
        <w:t xml:space="preserve"> Comparison of the taxonomic composition between samples from </w:t>
      </w:r>
      <w:r w:rsidR="00242F81" w:rsidRPr="000E18DF">
        <w:rPr>
          <w:rFonts w:ascii="Times New Roman" w:hAnsi="Times New Roman" w:cs="Times New Roman"/>
          <w:sz w:val="24"/>
          <w:szCs w:val="24"/>
        </w:rPr>
        <w:t xml:space="preserve">(A-B) </w:t>
      </w:r>
      <w:r w:rsidRPr="000E18DF">
        <w:rPr>
          <w:rFonts w:ascii="Times New Roman" w:hAnsi="Times New Roman" w:cs="Times New Roman"/>
          <w:sz w:val="24"/>
          <w:szCs w:val="24"/>
        </w:rPr>
        <w:t>homogenized stools and</w:t>
      </w:r>
      <w:r w:rsidR="00242F81" w:rsidRPr="000E18DF">
        <w:rPr>
          <w:rFonts w:ascii="Times New Roman" w:hAnsi="Times New Roman" w:cs="Times New Roman"/>
          <w:sz w:val="24"/>
          <w:szCs w:val="24"/>
        </w:rPr>
        <w:t xml:space="preserve"> (C)</w:t>
      </w:r>
      <w:r w:rsidRPr="000E18DF">
        <w:rPr>
          <w:rFonts w:ascii="Times New Roman" w:hAnsi="Times New Roman" w:cs="Times New Roman"/>
          <w:sz w:val="24"/>
          <w:szCs w:val="24"/>
        </w:rPr>
        <w:t xml:space="preserve"> non-homogenized stools obtained at baseline. Stool samples were obtained from 10 healthy volunteers. </w:t>
      </w:r>
      <w:r w:rsidR="00242F81" w:rsidRPr="000E18DF">
        <w:rPr>
          <w:rFonts w:ascii="Times New Roman" w:hAnsi="Times New Roman" w:cs="Times New Roman"/>
          <w:sz w:val="24"/>
          <w:szCs w:val="24"/>
        </w:rPr>
        <w:t>(A) Samples were stored in the DNA/RNA shield fecal collection tube at RT until 16s rRNA sequencing. (B-C) Samples were stored</w:t>
      </w:r>
      <w:r w:rsidRPr="000E18DF">
        <w:rPr>
          <w:rFonts w:ascii="Times New Roman" w:hAnsi="Times New Roman" w:cs="Times New Roman"/>
          <w:sz w:val="24"/>
          <w:szCs w:val="24"/>
        </w:rPr>
        <w:t xml:space="preserve"> under -70 ℃ until 16S rRNA sequencing. </w:t>
      </w:r>
    </w:p>
    <w:p w:rsidR="00003E27" w:rsidRPr="000E18DF" w:rsidRDefault="00003E27" w:rsidP="0090299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2999" w:rsidRPr="000E18DF" w:rsidRDefault="00902999" w:rsidP="00902999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sz w:val="24"/>
          <w:szCs w:val="24"/>
        </w:rPr>
        <w:br w:type="page"/>
      </w:r>
    </w:p>
    <w:p w:rsidR="00902999" w:rsidRPr="000E18DF" w:rsidRDefault="00902999" w:rsidP="0090299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6C8CD94" wp14:editId="60836B79">
            <wp:extent cx="5731510" cy="3312795"/>
            <wp:effectExtent l="0" t="0" r="2540" b="190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999" w:rsidRPr="000E18DF" w:rsidRDefault="00902999" w:rsidP="0090299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b/>
          <w:sz w:val="24"/>
          <w:szCs w:val="24"/>
        </w:rPr>
        <w:t>Supplementary Figure S</w:t>
      </w:r>
      <w:r w:rsidR="0075495A" w:rsidRPr="000E18DF">
        <w:rPr>
          <w:rFonts w:ascii="Times New Roman" w:hAnsi="Times New Roman" w:cs="Times New Roman"/>
          <w:b/>
          <w:sz w:val="24"/>
          <w:szCs w:val="24"/>
        </w:rPr>
        <w:t>3</w:t>
      </w:r>
      <w:r w:rsidRPr="000E18D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E18DF">
        <w:rPr>
          <w:rFonts w:ascii="Times New Roman" w:hAnsi="Times New Roman" w:cs="Times New Roman"/>
          <w:sz w:val="24"/>
          <w:szCs w:val="24"/>
        </w:rPr>
        <w:t xml:space="preserve">Pairwise distances of Bray–Curtis dissimilarity based on the predicted </w:t>
      </w:r>
      <w:proofErr w:type="spellStart"/>
      <w:r w:rsidRPr="000E18DF">
        <w:rPr>
          <w:rFonts w:ascii="Times New Roman" w:hAnsi="Times New Roman" w:cs="Times New Roman"/>
          <w:sz w:val="24"/>
          <w:szCs w:val="24"/>
        </w:rPr>
        <w:t>MetaCyc</w:t>
      </w:r>
      <w:proofErr w:type="spellEnd"/>
      <w:r w:rsidRPr="000E18DF">
        <w:rPr>
          <w:rFonts w:ascii="Times New Roman" w:hAnsi="Times New Roman" w:cs="Times New Roman"/>
          <w:sz w:val="24"/>
          <w:szCs w:val="24"/>
        </w:rPr>
        <w:t xml:space="preserve"> pathways between the baseline and 18 months. DNA/RNA Shield, DNA/RNA shield fecal collection tube; OMNIgene, OMNIgene-Gut; RT, room temperature.</w:t>
      </w:r>
    </w:p>
    <w:p w:rsidR="00902999" w:rsidRPr="000E18DF" w:rsidRDefault="00902999" w:rsidP="0090299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2999" w:rsidRPr="000E18DF" w:rsidRDefault="00902999" w:rsidP="00902999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sz w:val="24"/>
          <w:szCs w:val="24"/>
        </w:rPr>
        <w:br w:type="page"/>
      </w:r>
    </w:p>
    <w:p w:rsidR="00902999" w:rsidRPr="000E18DF" w:rsidRDefault="00902999" w:rsidP="00902999">
      <w:pPr>
        <w:widowControl/>
        <w:wordWrap/>
        <w:autoSpaceDE/>
        <w:autoSpaceDN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CBEF074" wp14:editId="341B5068">
            <wp:extent cx="4893733" cy="7340600"/>
            <wp:effectExtent l="0" t="0" r="254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5414" cy="734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4CB" w:rsidRPr="000E18DF" w:rsidRDefault="00902999" w:rsidP="0090299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b/>
          <w:sz w:val="24"/>
          <w:szCs w:val="24"/>
        </w:rPr>
        <w:t>Supplementary Figure S</w:t>
      </w:r>
      <w:r w:rsidR="0075495A" w:rsidRPr="000E18DF">
        <w:rPr>
          <w:rFonts w:ascii="Times New Roman" w:hAnsi="Times New Roman" w:cs="Times New Roman"/>
          <w:b/>
          <w:sz w:val="24"/>
          <w:szCs w:val="24"/>
        </w:rPr>
        <w:t>4</w:t>
      </w:r>
      <w:r w:rsidRPr="000E18DF">
        <w:rPr>
          <w:rFonts w:ascii="Times New Roman" w:hAnsi="Times New Roman" w:cs="Times New Roman"/>
          <w:b/>
          <w:sz w:val="24"/>
          <w:szCs w:val="24"/>
        </w:rPr>
        <w:t>.</w:t>
      </w:r>
      <w:r w:rsidRPr="000E18DF">
        <w:rPr>
          <w:rFonts w:ascii="Times New Roman" w:hAnsi="Times New Roman" w:cs="Times New Roman"/>
          <w:sz w:val="24"/>
          <w:szCs w:val="24"/>
        </w:rPr>
        <w:t xml:space="preserve"> Relative abundances of </w:t>
      </w:r>
      <w:r w:rsidRPr="000E18DF">
        <w:rPr>
          <w:rFonts w:ascii="Times New Roman" w:eastAsia="Malgun Gothic" w:hAnsi="Times New Roman" w:cs="Times New Roman"/>
          <w:sz w:val="24"/>
          <w:szCs w:val="24"/>
        </w:rPr>
        <w:t xml:space="preserve">the </w:t>
      </w:r>
      <w:r w:rsidRPr="000E18DF">
        <w:rPr>
          <w:rFonts w:ascii="Times New Roman" w:hAnsi="Times New Roman" w:cs="Times New Roman"/>
          <w:sz w:val="24"/>
          <w:szCs w:val="24"/>
        </w:rPr>
        <w:t xml:space="preserve">inferred </w:t>
      </w:r>
      <w:proofErr w:type="spellStart"/>
      <w:r w:rsidRPr="000E18DF">
        <w:rPr>
          <w:rFonts w:ascii="Times New Roman" w:hAnsi="Times New Roman" w:cs="Times New Roman"/>
          <w:sz w:val="24"/>
          <w:szCs w:val="24"/>
        </w:rPr>
        <w:t>MetaCyc</w:t>
      </w:r>
      <w:proofErr w:type="spellEnd"/>
      <w:r w:rsidRPr="000E18DF">
        <w:rPr>
          <w:rFonts w:ascii="Times New Roman" w:hAnsi="Times New Roman" w:cs="Times New Roman"/>
          <w:sz w:val="24"/>
          <w:szCs w:val="24"/>
        </w:rPr>
        <w:t xml:space="preserve"> </w:t>
      </w:r>
      <w:r w:rsidRPr="000E18DF">
        <w:rPr>
          <w:rFonts w:ascii="Times New Roman" w:eastAsia="Malgun Gothic" w:hAnsi="Times New Roman" w:cs="Times New Roman"/>
          <w:sz w:val="24"/>
          <w:szCs w:val="24"/>
        </w:rPr>
        <w:t>pathways</w:t>
      </w:r>
      <w:r w:rsidRPr="000E18DF">
        <w:rPr>
          <w:rFonts w:ascii="Times New Roman" w:hAnsi="Times New Roman" w:cs="Times New Roman"/>
          <w:sz w:val="24"/>
          <w:szCs w:val="24"/>
        </w:rPr>
        <w:t xml:space="preserve"> at the baseline and 18 months after storage. (A) Pentose phosphate pathway (</w:t>
      </w:r>
      <w:r w:rsidRPr="000E18DF">
        <w:rPr>
          <w:rFonts w:ascii="Times New Roman" w:eastAsia="Malgun Gothic" w:hAnsi="Times New Roman" w:cs="Times New Roman"/>
          <w:sz w:val="24"/>
          <w:szCs w:val="24"/>
        </w:rPr>
        <w:t>nonoxidative</w:t>
      </w:r>
      <w:r w:rsidRPr="000E18DF">
        <w:rPr>
          <w:rFonts w:ascii="Times New Roman" w:hAnsi="Times New Roman" w:cs="Times New Roman"/>
          <w:sz w:val="24"/>
          <w:szCs w:val="24"/>
        </w:rPr>
        <w:t xml:space="preserve"> branch) I, (B) </w:t>
      </w:r>
      <w:proofErr w:type="spellStart"/>
      <w:r w:rsidRPr="000E18DF">
        <w:rPr>
          <w:rFonts w:ascii="Times New Roman" w:hAnsi="Times New Roman" w:cs="Times New Roman"/>
          <w:sz w:val="24"/>
          <w:szCs w:val="24"/>
        </w:rPr>
        <w:t>gondoate</w:t>
      </w:r>
      <w:proofErr w:type="spellEnd"/>
      <w:r w:rsidRPr="000E18DF">
        <w:rPr>
          <w:rFonts w:ascii="Times New Roman" w:hAnsi="Times New Roman" w:cs="Times New Roman"/>
          <w:sz w:val="24"/>
          <w:szCs w:val="24"/>
        </w:rPr>
        <w:t xml:space="preserve"> biosynthesis (anaerobic), (C) adenosine ribonucleotides de novo biosynthesis, and (D) UMP biosynthesis I.</w:t>
      </w:r>
    </w:p>
    <w:p w:rsidR="00A734CB" w:rsidRPr="000E18DF" w:rsidRDefault="00A734CB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sz w:val="24"/>
          <w:szCs w:val="24"/>
        </w:rPr>
        <w:br w:type="page"/>
      </w:r>
    </w:p>
    <w:p w:rsidR="00404A00" w:rsidRPr="000E18DF" w:rsidRDefault="00404A00" w:rsidP="00404A00">
      <w:pPr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/>
          <w:b/>
          <w:sz w:val="24"/>
          <w:szCs w:val="24"/>
        </w:rPr>
        <w:t>Supplementary Table S1.</w:t>
      </w:r>
      <w:r w:rsidRPr="000E18DF">
        <w:rPr>
          <w:rFonts w:ascii="Times New Roman" w:hAnsi="Times New Roman" w:cs="Times New Roman"/>
          <w:sz w:val="24"/>
          <w:szCs w:val="24"/>
        </w:rPr>
        <w:t xml:space="preserve"> Pairwise comparison of beta diversity from baseline and 18 months samples by PERMANOVA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E18DF" w:rsidRPr="000E18DF" w:rsidTr="0088579F"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b/>
                <w:sz w:val="24"/>
                <w:szCs w:val="24"/>
              </w:rPr>
              <w:t>Metric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b/>
                <w:sz w:val="24"/>
                <w:szCs w:val="24"/>
              </w:rPr>
              <w:t>Sample size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</w:t>
            </w:r>
            <w:r w:rsidRPr="000E18DF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</w:tr>
      <w:tr w:rsidR="000E18DF" w:rsidRPr="000E18DF" w:rsidTr="0088579F">
        <w:tc>
          <w:tcPr>
            <w:tcW w:w="2254" w:type="dxa"/>
            <w:vMerge w:val="restart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Unweighted</w:t>
            </w:r>
            <w:proofErr w:type="spellEnd"/>
            <w:r w:rsidRPr="000E1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Unifrac</w:t>
            </w:r>
            <w:proofErr w:type="spellEnd"/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-20 ℃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0E18DF" w:rsidRPr="000E18DF" w:rsidTr="0088579F">
        <w:tc>
          <w:tcPr>
            <w:tcW w:w="2254" w:type="dxa"/>
            <w:vMerge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-70 ℃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0.584</w:t>
            </w:r>
          </w:p>
        </w:tc>
      </w:tr>
      <w:tr w:rsidR="000E18DF" w:rsidRPr="000E18DF" w:rsidTr="0088579F">
        <w:tc>
          <w:tcPr>
            <w:tcW w:w="2254" w:type="dxa"/>
            <w:vMerge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4 ℃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0E18DF" w:rsidRPr="000E18DF" w:rsidTr="0088579F">
        <w:tc>
          <w:tcPr>
            <w:tcW w:w="2254" w:type="dxa"/>
            <w:vMerge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DNA/RNA Shield + RT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</w:p>
        </w:tc>
      </w:tr>
      <w:tr w:rsidR="000E18DF" w:rsidRPr="000E18DF" w:rsidTr="0088579F">
        <w:tc>
          <w:tcPr>
            <w:tcW w:w="2254" w:type="dxa"/>
            <w:vMerge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OMNIgene + RT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</w:tr>
      <w:tr w:rsidR="000E18DF" w:rsidRPr="000E18DF" w:rsidTr="0088579F">
        <w:tc>
          <w:tcPr>
            <w:tcW w:w="2254" w:type="dxa"/>
            <w:vMerge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RT (20-25 ℃)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0E18DF" w:rsidRPr="000E18DF" w:rsidTr="0088579F">
        <w:tc>
          <w:tcPr>
            <w:tcW w:w="2254" w:type="dxa"/>
            <w:vMerge w:val="restart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 xml:space="preserve">Weighted </w:t>
            </w:r>
            <w:proofErr w:type="spellStart"/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Unifrac</w:t>
            </w:r>
            <w:proofErr w:type="spellEnd"/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-20 ℃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0E18DF" w:rsidRPr="000E18DF" w:rsidTr="0088579F">
        <w:tc>
          <w:tcPr>
            <w:tcW w:w="2254" w:type="dxa"/>
            <w:vMerge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-70 ℃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0E18DF" w:rsidRPr="000E18DF" w:rsidTr="0088579F">
        <w:tc>
          <w:tcPr>
            <w:tcW w:w="2254" w:type="dxa"/>
            <w:vMerge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4 ℃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0E18DF" w:rsidRPr="000E18DF" w:rsidTr="0088579F">
        <w:tc>
          <w:tcPr>
            <w:tcW w:w="2254" w:type="dxa"/>
            <w:vMerge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DNA/RNA Shield + RT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0.848</w:t>
            </w:r>
          </w:p>
        </w:tc>
      </w:tr>
      <w:tr w:rsidR="000E18DF" w:rsidRPr="000E18DF" w:rsidTr="0088579F">
        <w:tc>
          <w:tcPr>
            <w:tcW w:w="2254" w:type="dxa"/>
            <w:vMerge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OMNIgene + RT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0E18DF" w:rsidRPr="000E18DF" w:rsidTr="0088579F">
        <w:tc>
          <w:tcPr>
            <w:tcW w:w="2254" w:type="dxa"/>
            <w:vMerge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RT (20-25 ℃)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4" w:type="dxa"/>
          </w:tcPr>
          <w:p w:rsidR="00404A00" w:rsidRPr="000E18DF" w:rsidRDefault="00404A00" w:rsidP="0088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8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:rsidR="00404A00" w:rsidRPr="000E18DF" w:rsidRDefault="00404A00" w:rsidP="00404A00">
      <w:pPr>
        <w:rPr>
          <w:rFonts w:ascii="Times New Roman" w:hAnsi="Times New Roman" w:cs="Times New Roman"/>
          <w:sz w:val="24"/>
          <w:szCs w:val="24"/>
        </w:rPr>
      </w:pPr>
      <w:r w:rsidRPr="000E18DF">
        <w:rPr>
          <w:rFonts w:ascii="Times New Roman" w:hAnsi="Times New Roman" w:cs="Times New Roman" w:hint="eastAsia"/>
          <w:sz w:val="24"/>
          <w:szCs w:val="24"/>
        </w:rPr>
        <w:t>R</w:t>
      </w:r>
      <w:r w:rsidRPr="000E18DF">
        <w:rPr>
          <w:rFonts w:ascii="Times New Roman" w:hAnsi="Times New Roman" w:cs="Times New Roman"/>
          <w:sz w:val="24"/>
          <w:szCs w:val="24"/>
        </w:rPr>
        <w:t>T, Room temperature</w:t>
      </w:r>
    </w:p>
    <w:p w:rsidR="00404A00" w:rsidRPr="000E18DF" w:rsidRDefault="00404A00" w:rsidP="0090299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04A00" w:rsidRPr="000E18DF" w:rsidSect="000E18DF">
      <w:head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624" w:rsidRDefault="00D53624" w:rsidP="00902999">
      <w:pPr>
        <w:spacing w:after="0" w:line="240" w:lineRule="auto"/>
      </w:pPr>
      <w:r>
        <w:separator/>
      </w:r>
    </w:p>
  </w:endnote>
  <w:endnote w:type="continuationSeparator" w:id="0">
    <w:p w:rsidR="00D53624" w:rsidRDefault="00D53624" w:rsidP="00902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624" w:rsidRDefault="00D53624" w:rsidP="00902999">
      <w:pPr>
        <w:spacing w:after="0" w:line="240" w:lineRule="auto"/>
      </w:pPr>
      <w:r>
        <w:separator/>
      </w:r>
    </w:p>
  </w:footnote>
  <w:footnote w:type="continuationSeparator" w:id="0">
    <w:p w:rsidR="00D53624" w:rsidRDefault="00D53624" w:rsidP="00902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999" w:rsidRDefault="00902999">
    <w:pPr>
      <w:pStyle w:val="Header"/>
    </w:pPr>
    <w:r>
      <w:t>Supplement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99"/>
    <w:rsid w:val="00003E27"/>
    <w:rsid w:val="000859BF"/>
    <w:rsid w:val="000D681E"/>
    <w:rsid w:val="000E18DF"/>
    <w:rsid w:val="001D0598"/>
    <w:rsid w:val="00204020"/>
    <w:rsid w:val="00242F81"/>
    <w:rsid w:val="00281509"/>
    <w:rsid w:val="002C124C"/>
    <w:rsid w:val="00404A00"/>
    <w:rsid w:val="0045466D"/>
    <w:rsid w:val="0054293E"/>
    <w:rsid w:val="00674096"/>
    <w:rsid w:val="00752DA2"/>
    <w:rsid w:val="0075495A"/>
    <w:rsid w:val="00902999"/>
    <w:rsid w:val="009E28FC"/>
    <w:rsid w:val="009E3BF6"/>
    <w:rsid w:val="00A734CB"/>
    <w:rsid w:val="00A7600B"/>
    <w:rsid w:val="00BA46B4"/>
    <w:rsid w:val="00BB60ED"/>
    <w:rsid w:val="00D51A5E"/>
    <w:rsid w:val="00D53624"/>
    <w:rsid w:val="00EA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446A11C-33D1-4159-B3ED-AF3669B1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999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299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02999"/>
  </w:style>
  <w:style w:type="paragraph" w:styleId="Footer">
    <w:name w:val="footer"/>
    <w:basedOn w:val="Normal"/>
    <w:link w:val="FooterChar"/>
    <w:uiPriority w:val="99"/>
    <w:unhideWhenUsed/>
    <w:rsid w:val="0090299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02999"/>
  </w:style>
  <w:style w:type="character" w:styleId="Strong">
    <w:name w:val="Strong"/>
    <w:basedOn w:val="DefaultParagraphFont"/>
    <w:uiPriority w:val="22"/>
    <w:qFormat/>
    <w:rsid w:val="0090299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04A0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A0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A0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A0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A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A00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39"/>
    <w:rsid w:val="00404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5ED0E-23CC-4223-90DC-E09DE4EA0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</dc:creator>
  <cp:keywords/>
  <dc:description/>
  <cp:lastModifiedBy>Ramya G</cp:lastModifiedBy>
  <cp:revision>16</cp:revision>
  <dcterms:created xsi:type="dcterms:W3CDTF">2022-03-21T06:49:00Z</dcterms:created>
  <dcterms:modified xsi:type="dcterms:W3CDTF">2022-12-23T10:50:00Z</dcterms:modified>
</cp:coreProperties>
</file>