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66C02" w14:textId="0822C0E6" w:rsidR="003B64E2" w:rsidRPr="00092DF4" w:rsidRDefault="003B64E2" w:rsidP="00EB60EE">
      <w:pPr>
        <w:pStyle w:val="Heading1"/>
        <w:spacing w:before="100" w:after="100"/>
        <w:ind w:left="0"/>
        <w:rPr>
          <w:color w:val="000000"/>
          <w:kern w:val="0"/>
          <w:sz w:val="28"/>
          <w:szCs w:val="28"/>
        </w:rPr>
      </w:pPr>
      <w:bookmarkStart w:id="0" w:name="_Toc55746264"/>
      <w:r w:rsidRPr="00092DF4">
        <w:rPr>
          <w:color w:val="000000"/>
          <w:kern w:val="0"/>
          <w:sz w:val="28"/>
          <w:szCs w:val="28"/>
        </w:rPr>
        <w:t xml:space="preserve">Supplementary </w:t>
      </w:r>
      <w:r>
        <w:rPr>
          <w:color w:val="000000"/>
          <w:kern w:val="0"/>
          <w:sz w:val="28"/>
          <w:szCs w:val="28"/>
        </w:rPr>
        <w:t>Information for</w:t>
      </w:r>
    </w:p>
    <w:p w14:paraId="55B74C81" w14:textId="506021D3" w:rsidR="003E0363" w:rsidRPr="00092DF4" w:rsidRDefault="003E0363" w:rsidP="003E0363">
      <w:pPr>
        <w:contextualSpacing/>
        <w:jc w:val="both"/>
        <w:rPr>
          <w:rFonts w:ascii="Times New Roman" w:hAnsi="Times New Roman" w:cs="Times New Roman"/>
          <w:b/>
          <w:sz w:val="44"/>
          <w:szCs w:val="44"/>
        </w:rPr>
      </w:pPr>
      <w:r w:rsidRPr="00092DF4">
        <w:rPr>
          <w:rFonts w:ascii="Times New Roman" w:hAnsi="Times New Roman" w:cs="Times New Roman"/>
          <w:b/>
          <w:sz w:val="44"/>
          <w:szCs w:val="44"/>
        </w:rPr>
        <w:t>The post-conflict expansion of coca farming and illicit cattle ranching in Colombia</w:t>
      </w:r>
      <w:bookmarkEnd w:id="0"/>
    </w:p>
    <w:p w14:paraId="73FEC947" w14:textId="1B20F466" w:rsidR="003E0363" w:rsidRPr="00092DF4" w:rsidRDefault="003E0363" w:rsidP="003E0363">
      <w:pPr>
        <w:pStyle w:val="NormalWeb"/>
        <w:spacing w:before="240" w:beforeAutospacing="0" w:after="0" w:afterAutospacing="0"/>
      </w:pPr>
      <w:r w:rsidRPr="00092DF4">
        <w:rPr>
          <w:color w:val="000000"/>
          <w:sz w:val="20"/>
          <w:szCs w:val="20"/>
        </w:rPr>
        <w:t>Paulo J. Murillo-Sandoval</w:t>
      </w:r>
      <w:r w:rsidRPr="00AA5143">
        <w:rPr>
          <w:color w:val="000000"/>
          <w:sz w:val="22"/>
          <w:szCs w:val="22"/>
          <w:vertAlign w:val="superscript"/>
        </w:rPr>
        <w:t>1</w:t>
      </w:r>
      <w:proofErr w:type="gramStart"/>
      <w:r w:rsidRPr="00092DF4">
        <w:rPr>
          <w:color w:val="000000"/>
          <w:sz w:val="20"/>
          <w:szCs w:val="20"/>
          <w:vertAlign w:val="superscript"/>
        </w:rPr>
        <w:t>,</w:t>
      </w:r>
      <w:r w:rsidRPr="00092DF4">
        <w:rPr>
          <w:color w:val="000000"/>
          <w:sz w:val="22"/>
          <w:szCs w:val="22"/>
          <w:vertAlign w:val="superscript"/>
        </w:rPr>
        <w:t>2</w:t>
      </w:r>
      <w:proofErr w:type="gramEnd"/>
      <w:r w:rsidRPr="00092DF4">
        <w:rPr>
          <w:color w:val="000000"/>
          <w:sz w:val="22"/>
          <w:szCs w:val="22"/>
          <w:vertAlign w:val="superscript"/>
        </w:rPr>
        <w:t>, *</w:t>
      </w:r>
      <w:r w:rsidRPr="00092DF4">
        <w:rPr>
          <w:color w:val="000000"/>
          <w:sz w:val="20"/>
          <w:szCs w:val="20"/>
        </w:rPr>
        <w:t>, John Kilbride</w:t>
      </w:r>
      <w:r w:rsidRPr="00092DF4">
        <w:rPr>
          <w:color w:val="000000"/>
          <w:sz w:val="22"/>
          <w:szCs w:val="22"/>
          <w:vertAlign w:val="superscript"/>
        </w:rPr>
        <w:t>1</w:t>
      </w:r>
      <w:r w:rsidRPr="00092DF4">
        <w:rPr>
          <w:color w:val="000000"/>
          <w:sz w:val="20"/>
          <w:szCs w:val="20"/>
        </w:rPr>
        <w:t>, Elizabeth Tellman</w:t>
      </w:r>
      <w:r w:rsidRPr="00092DF4">
        <w:rPr>
          <w:color w:val="000000"/>
          <w:sz w:val="22"/>
          <w:szCs w:val="22"/>
          <w:vertAlign w:val="superscript"/>
        </w:rPr>
        <w:t>3</w:t>
      </w:r>
      <w:r w:rsidRPr="00092DF4">
        <w:rPr>
          <w:color w:val="000000"/>
          <w:sz w:val="20"/>
          <w:szCs w:val="20"/>
        </w:rPr>
        <w:t>, David Wrathall</w:t>
      </w:r>
      <w:r w:rsidRPr="00092DF4">
        <w:rPr>
          <w:color w:val="000000"/>
          <w:sz w:val="22"/>
          <w:szCs w:val="22"/>
          <w:vertAlign w:val="superscript"/>
        </w:rPr>
        <w:t>1</w:t>
      </w:r>
      <w:r w:rsidRPr="00092DF4">
        <w:rPr>
          <w:color w:val="000000"/>
          <w:sz w:val="20"/>
          <w:szCs w:val="20"/>
        </w:rPr>
        <w:t xml:space="preserve">, </w:t>
      </w:r>
      <w:proofErr w:type="spellStart"/>
      <w:r w:rsidRPr="00092DF4">
        <w:rPr>
          <w:color w:val="000000"/>
          <w:sz w:val="20"/>
          <w:szCs w:val="20"/>
        </w:rPr>
        <w:t>Jamon</w:t>
      </w:r>
      <w:proofErr w:type="spellEnd"/>
      <w:r w:rsidRPr="00092DF4">
        <w:rPr>
          <w:color w:val="000000"/>
          <w:sz w:val="20"/>
          <w:szCs w:val="20"/>
        </w:rPr>
        <w:t xml:space="preserve"> Van Den Hoek</w:t>
      </w:r>
      <w:r w:rsidR="00AA5143" w:rsidRPr="00AA5143">
        <w:rPr>
          <w:color w:val="000000"/>
          <w:sz w:val="22"/>
          <w:szCs w:val="22"/>
          <w:vertAlign w:val="superscript"/>
        </w:rPr>
        <w:t>1</w:t>
      </w:r>
      <w:r w:rsidRPr="00092DF4">
        <w:rPr>
          <w:color w:val="000000"/>
          <w:sz w:val="20"/>
          <w:szCs w:val="20"/>
        </w:rPr>
        <w:t>, Robert E. Kennedy</w:t>
      </w:r>
      <w:r w:rsidRPr="00092DF4">
        <w:rPr>
          <w:color w:val="000000"/>
          <w:sz w:val="22"/>
          <w:szCs w:val="22"/>
          <w:vertAlign w:val="superscript"/>
        </w:rPr>
        <w:t>1</w:t>
      </w:r>
    </w:p>
    <w:p w14:paraId="107C8F86" w14:textId="77777777" w:rsidR="003E0363" w:rsidRPr="00092DF4" w:rsidRDefault="003E0363" w:rsidP="003E0363">
      <w:pPr>
        <w:pStyle w:val="NormalWeb"/>
        <w:spacing w:before="240" w:beforeAutospacing="0" w:after="240" w:afterAutospacing="0"/>
      </w:pPr>
      <w:r w:rsidRPr="00092DF4">
        <w:rPr>
          <w:color w:val="000000"/>
          <w:sz w:val="22"/>
          <w:szCs w:val="22"/>
          <w:vertAlign w:val="superscript"/>
        </w:rPr>
        <w:t>1</w:t>
      </w:r>
      <w:r w:rsidRPr="00092DF4">
        <w:rPr>
          <w:color w:val="000000"/>
          <w:sz w:val="16"/>
          <w:szCs w:val="16"/>
        </w:rPr>
        <w:t>College of Earth, Ocean and Atmospheric Sciences, Oregon State University, Corvallis, United States</w:t>
      </w:r>
    </w:p>
    <w:p w14:paraId="159ABC5B" w14:textId="34311530" w:rsidR="003E0363" w:rsidRPr="00092DF4" w:rsidRDefault="003E0363" w:rsidP="003E0363">
      <w:pPr>
        <w:pStyle w:val="NormalWeb"/>
        <w:spacing w:before="240" w:beforeAutospacing="0" w:after="240" w:afterAutospacing="0"/>
        <w:rPr>
          <w:lang w:val="es-ES"/>
        </w:rPr>
      </w:pPr>
      <w:r w:rsidRPr="00092DF4">
        <w:rPr>
          <w:color w:val="000000"/>
          <w:sz w:val="22"/>
          <w:szCs w:val="22"/>
          <w:vertAlign w:val="superscript"/>
          <w:lang w:val="es-ES"/>
        </w:rPr>
        <w:t>2</w:t>
      </w:r>
      <w:r w:rsidRPr="00092DF4">
        <w:rPr>
          <w:color w:val="000000"/>
          <w:sz w:val="16"/>
          <w:szCs w:val="16"/>
          <w:lang w:val="es-ES"/>
        </w:rPr>
        <w:t xml:space="preserve">Departamento de Topografía, Facultad de </w:t>
      </w:r>
      <w:r w:rsidR="00485F7D">
        <w:rPr>
          <w:color w:val="000000"/>
          <w:sz w:val="16"/>
          <w:szCs w:val="16"/>
          <w:lang w:val="es-ES"/>
        </w:rPr>
        <w:t>Ciencias del Hábitat, Diseño e Infraestructura</w:t>
      </w:r>
      <w:r w:rsidRPr="00092DF4">
        <w:rPr>
          <w:color w:val="000000"/>
          <w:sz w:val="16"/>
          <w:szCs w:val="16"/>
          <w:lang w:val="es-ES"/>
        </w:rPr>
        <w:t>, Universidad del Tolima, Ibagué, Colombia</w:t>
      </w:r>
    </w:p>
    <w:p w14:paraId="6C38BD22" w14:textId="77777777" w:rsidR="003E0363" w:rsidRPr="00092DF4" w:rsidRDefault="003E0363" w:rsidP="003E0363">
      <w:pPr>
        <w:rPr>
          <w:rFonts w:ascii="Times New Roman" w:hAnsi="Times New Roman" w:cs="Times New Roman"/>
          <w:color w:val="000000"/>
          <w:sz w:val="16"/>
          <w:szCs w:val="16"/>
        </w:rPr>
      </w:pPr>
      <w:r w:rsidRPr="00092DF4">
        <w:rPr>
          <w:rFonts w:ascii="Times New Roman" w:hAnsi="Times New Roman" w:cs="Times New Roman"/>
          <w:color w:val="000000"/>
          <w:vertAlign w:val="superscript"/>
        </w:rPr>
        <w:t>3</w:t>
      </w:r>
      <w:r w:rsidRPr="00092DF4">
        <w:rPr>
          <w:rFonts w:ascii="Times New Roman" w:hAnsi="Times New Roman" w:cs="Times New Roman"/>
          <w:color w:val="000000"/>
          <w:sz w:val="16"/>
          <w:szCs w:val="16"/>
        </w:rPr>
        <w:t>School of Geography, Development, and Environment, University of Arizona, Tucson, Arizona, United States</w:t>
      </w:r>
    </w:p>
    <w:p w14:paraId="57BCA588" w14:textId="77777777" w:rsidR="003E0363" w:rsidRPr="00092DF4" w:rsidRDefault="003E0363" w:rsidP="003E0363">
      <w:pPr>
        <w:pStyle w:val="Heading1"/>
        <w:ind w:left="0"/>
        <w:rPr>
          <w:b w:val="0"/>
          <w:bCs w:val="0"/>
          <w:color w:val="000000"/>
          <w:kern w:val="0"/>
          <w:sz w:val="22"/>
          <w:szCs w:val="22"/>
        </w:rPr>
      </w:pPr>
      <w:r w:rsidRPr="00092DF4">
        <w:rPr>
          <w:b w:val="0"/>
          <w:bCs w:val="0"/>
          <w:color w:val="000000"/>
          <w:kern w:val="0"/>
          <w:sz w:val="22"/>
          <w:szCs w:val="22"/>
        </w:rPr>
        <w:t>*Corresponding author: Paulo J. Murillo-Sandoval</w:t>
      </w:r>
    </w:p>
    <w:p w14:paraId="7B2726B3" w14:textId="16081FEF" w:rsidR="003E0363" w:rsidRDefault="003E0363" w:rsidP="003E0363">
      <w:pPr>
        <w:pStyle w:val="Heading1"/>
        <w:ind w:left="0"/>
        <w:rPr>
          <w:b w:val="0"/>
          <w:bCs w:val="0"/>
          <w:color w:val="000000"/>
          <w:kern w:val="0"/>
          <w:sz w:val="22"/>
          <w:szCs w:val="22"/>
        </w:rPr>
      </w:pPr>
      <w:r w:rsidRPr="00092DF4">
        <w:rPr>
          <w:color w:val="000000"/>
          <w:kern w:val="0"/>
          <w:sz w:val="22"/>
          <w:szCs w:val="22"/>
        </w:rPr>
        <w:t>Email</w:t>
      </w:r>
      <w:r w:rsidRPr="00092DF4">
        <w:rPr>
          <w:b w:val="0"/>
          <w:bCs w:val="0"/>
          <w:color w:val="000000"/>
          <w:kern w:val="0"/>
          <w:sz w:val="22"/>
          <w:szCs w:val="22"/>
        </w:rPr>
        <w:t xml:space="preserve">: </w:t>
      </w:r>
      <w:hyperlink r:id="rId5" w:history="1">
        <w:r w:rsidRPr="00092DF4">
          <w:rPr>
            <w:b w:val="0"/>
            <w:bCs w:val="0"/>
            <w:color w:val="000000"/>
            <w:kern w:val="0"/>
            <w:sz w:val="22"/>
            <w:szCs w:val="22"/>
          </w:rPr>
          <w:t>pjmurillos@ut.edu.co</w:t>
        </w:r>
      </w:hyperlink>
    </w:p>
    <w:p w14:paraId="4562AC43" w14:textId="77777777" w:rsidR="003E0363" w:rsidRDefault="00143998">
      <w:pPr>
        <w:pStyle w:val="Heading1"/>
        <w:spacing w:after="280"/>
        <w:ind w:left="0"/>
        <w:rPr>
          <w:color w:val="000000"/>
          <w:kern w:val="0"/>
          <w:sz w:val="22"/>
          <w:szCs w:val="22"/>
        </w:rPr>
      </w:pPr>
      <w:r w:rsidRPr="003E0363">
        <w:rPr>
          <w:color w:val="000000"/>
          <w:kern w:val="0"/>
          <w:sz w:val="22"/>
          <w:szCs w:val="22"/>
        </w:rPr>
        <w:t>Study area</w:t>
      </w:r>
    </w:p>
    <w:p w14:paraId="60C49D01" w14:textId="3B5EF826" w:rsidR="00181377" w:rsidRPr="003E0363" w:rsidRDefault="00143998">
      <w:pPr>
        <w:pStyle w:val="Heading1"/>
        <w:spacing w:after="280"/>
        <w:ind w:left="0"/>
        <w:rPr>
          <w:b w:val="0"/>
          <w:bCs w:val="0"/>
          <w:color w:val="000000"/>
          <w:kern w:val="0"/>
          <w:sz w:val="22"/>
          <w:szCs w:val="22"/>
        </w:rPr>
      </w:pPr>
      <w:r w:rsidRPr="003E0363">
        <w:rPr>
          <w:b w:val="0"/>
          <w:bCs w:val="0"/>
          <w:color w:val="000000"/>
          <w:kern w:val="0"/>
          <w:sz w:val="22"/>
          <w:szCs w:val="22"/>
        </w:rPr>
        <w:t xml:space="preserve">The study area is defined by the biogeographical limit corresponding to the Colombian Amazon ecosystem. The boundary was obtained from </w:t>
      </w:r>
      <w:proofErr w:type="spellStart"/>
      <w:r w:rsidRPr="003E0363">
        <w:rPr>
          <w:b w:val="0"/>
          <w:bCs w:val="0"/>
          <w:color w:val="000000"/>
          <w:kern w:val="0"/>
          <w:sz w:val="22"/>
          <w:szCs w:val="22"/>
        </w:rPr>
        <w:t>Sinchi</w:t>
      </w:r>
      <w:proofErr w:type="spellEnd"/>
      <w:r w:rsidRPr="003E0363">
        <w:rPr>
          <w:b w:val="0"/>
          <w:bCs w:val="0"/>
          <w:color w:val="000000"/>
          <w:kern w:val="0"/>
          <w:sz w:val="22"/>
          <w:szCs w:val="22"/>
        </w:rPr>
        <w:t xml:space="preserve"> </w:t>
      </w:r>
      <w:proofErr w:type="spellStart"/>
      <w:r w:rsidRPr="003E0363">
        <w:rPr>
          <w:b w:val="0"/>
          <w:bCs w:val="0"/>
          <w:color w:val="000000"/>
          <w:kern w:val="0"/>
          <w:sz w:val="22"/>
          <w:szCs w:val="22"/>
        </w:rPr>
        <w:t>Amazonic</w:t>
      </w:r>
      <w:proofErr w:type="spellEnd"/>
      <w:r w:rsidRPr="003E0363">
        <w:rPr>
          <w:b w:val="0"/>
          <w:bCs w:val="0"/>
          <w:color w:val="000000"/>
          <w:kern w:val="0"/>
          <w:sz w:val="22"/>
          <w:szCs w:val="22"/>
        </w:rPr>
        <w:t xml:space="preserve"> Institute of Scientific Research (</w:t>
      </w:r>
      <w:proofErr w:type="spellStart"/>
      <w:r w:rsidRPr="003E0363">
        <w:rPr>
          <w:b w:val="0"/>
          <w:bCs w:val="0"/>
          <w:color w:val="000000"/>
          <w:kern w:val="0"/>
          <w:sz w:val="22"/>
          <w:szCs w:val="22"/>
        </w:rPr>
        <w:t>Instituto</w:t>
      </w:r>
      <w:proofErr w:type="spellEnd"/>
      <w:r w:rsidRPr="003E0363">
        <w:rPr>
          <w:b w:val="0"/>
          <w:bCs w:val="0"/>
          <w:color w:val="000000"/>
          <w:kern w:val="0"/>
          <w:sz w:val="22"/>
          <w:szCs w:val="22"/>
        </w:rPr>
        <w:t xml:space="preserve"> </w:t>
      </w:r>
      <w:proofErr w:type="spellStart"/>
      <w:r w:rsidRPr="003E0363">
        <w:rPr>
          <w:b w:val="0"/>
          <w:bCs w:val="0"/>
          <w:color w:val="000000"/>
          <w:kern w:val="0"/>
          <w:sz w:val="22"/>
          <w:szCs w:val="22"/>
        </w:rPr>
        <w:t>Amazónico</w:t>
      </w:r>
      <w:proofErr w:type="spellEnd"/>
      <w:r w:rsidRPr="003E0363">
        <w:rPr>
          <w:b w:val="0"/>
          <w:bCs w:val="0"/>
          <w:color w:val="000000"/>
          <w:kern w:val="0"/>
          <w:sz w:val="22"/>
          <w:szCs w:val="22"/>
        </w:rPr>
        <w:t xml:space="preserve"> de </w:t>
      </w:r>
      <w:proofErr w:type="spellStart"/>
      <w:r w:rsidRPr="003E0363">
        <w:rPr>
          <w:b w:val="0"/>
          <w:bCs w:val="0"/>
          <w:color w:val="000000"/>
          <w:kern w:val="0"/>
          <w:sz w:val="22"/>
          <w:szCs w:val="22"/>
        </w:rPr>
        <w:t>Investigaciones</w:t>
      </w:r>
      <w:proofErr w:type="spellEnd"/>
      <w:r w:rsidRPr="003E0363">
        <w:rPr>
          <w:b w:val="0"/>
          <w:bCs w:val="0"/>
          <w:color w:val="000000"/>
          <w:kern w:val="0"/>
          <w:sz w:val="22"/>
          <w:szCs w:val="22"/>
        </w:rPr>
        <w:t xml:space="preserve"> </w:t>
      </w:r>
      <w:proofErr w:type="spellStart"/>
      <w:r w:rsidRPr="003E0363">
        <w:rPr>
          <w:b w:val="0"/>
          <w:bCs w:val="0"/>
          <w:color w:val="000000"/>
          <w:kern w:val="0"/>
          <w:sz w:val="22"/>
          <w:szCs w:val="22"/>
        </w:rPr>
        <w:t>Científicas</w:t>
      </w:r>
      <w:proofErr w:type="spellEnd"/>
      <w:r w:rsidRPr="003E0363">
        <w:rPr>
          <w:b w:val="0"/>
          <w:bCs w:val="0"/>
          <w:color w:val="000000"/>
          <w:kern w:val="0"/>
          <w:sz w:val="22"/>
          <w:szCs w:val="22"/>
        </w:rPr>
        <w:t xml:space="preserve">). Colombian Amazon covers 42% of the country's territory, it remains forested 75%, with 6% in pasturelands and 1% illegal crops </w:t>
      </w:r>
      <w:r w:rsidRPr="003E0363">
        <w:rPr>
          <w:sz w:val="22"/>
          <w:szCs w:val="22"/>
        </w:rPr>
        <w:fldChar w:fldCharType="begin" w:fldLock="1"/>
      </w:r>
      <w:r w:rsidR="00680969" w:rsidRPr="003E0363">
        <w:rPr>
          <w:b w:val="0"/>
          <w:bCs w:val="0"/>
          <w:color w:val="000000"/>
          <w:kern w:val="0"/>
          <w:sz w:val="22"/>
          <w:szCs w:val="22"/>
        </w:rPr>
        <w:instrText>ADDIN CSL_CITATION {"citationItems":[{"id":"ITEM-1","itemData":{"DOI":"10.1371/journal.pone.0043943","ISSN":"1932-6203","author":[{"dropping-particle":"","family":"Sánchez-Cuervo","given":"Ana María","non-dropping-particle":"","parse-names":false,"suffix":""},{"dropping-particle":"","family":"Aide","given":"T. Mitchell","non-dropping-particle":"","parse-names":false,"suffix":""},{"dropping-particle":"","family":"Clark","given":"Matthew L.","non-dropping-particle":"","parse-names":false,"suffix":""},{"dropping-particle":"","family":"Etter","given":"Andrés","non-dropping-particle":"","parse-names":false,"suffix":""}],"container-title":"PLoS ONE","id":"ITEM-1","issue":"8","issued":{"date-parts":[["2012"]]},"page":"e43943","title":"Land Cover Change in Colombia: Surprising Forest Recovery Trends between 2001 and 2010","type":"article-journal","volume":"7"},"uris":["http://www.mendeley.com/documents/?uuid=dcdea5b8-0891-41ff-9f29-d778ab927106"]}],"mendeley":{"formattedCitation":"(Sánchez-Cuervo &lt;i&gt;et al.&lt;/i&gt;, 2012)","plainTextFormattedCitation":"(Sánchez-Cuervo et al., 2012)","previouslyFormattedCitation":"(Sánchez-Cuervo &lt;i&gt;et al.&lt;/i&gt;, 2012)"},"properties":{"noteIndex":0},"schema":"https://github.com/citation-style-language/schema/raw/master/csl-citation.json"}</w:instrText>
      </w:r>
      <w:r w:rsidRPr="003E0363">
        <w:rPr>
          <w:b w:val="0"/>
          <w:bCs w:val="0"/>
          <w:color w:val="000000"/>
          <w:kern w:val="0"/>
          <w:sz w:val="22"/>
          <w:szCs w:val="22"/>
        </w:rPr>
        <w:fldChar w:fldCharType="separate"/>
      </w:r>
      <w:r w:rsidR="0000039A" w:rsidRPr="003E0363">
        <w:rPr>
          <w:b w:val="0"/>
          <w:bCs w:val="0"/>
          <w:noProof/>
          <w:color w:val="000000"/>
          <w:kern w:val="0"/>
          <w:sz w:val="22"/>
          <w:szCs w:val="22"/>
        </w:rPr>
        <w:t xml:space="preserve">(Sánchez-Cuervo </w:t>
      </w:r>
      <w:r w:rsidR="0000039A" w:rsidRPr="003E0363">
        <w:rPr>
          <w:b w:val="0"/>
          <w:bCs w:val="0"/>
          <w:i/>
          <w:noProof/>
          <w:color w:val="000000"/>
          <w:kern w:val="0"/>
          <w:sz w:val="22"/>
          <w:szCs w:val="22"/>
        </w:rPr>
        <w:t>et al.</w:t>
      </w:r>
      <w:r w:rsidR="0000039A" w:rsidRPr="003E0363">
        <w:rPr>
          <w:b w:val="0"/>
          <w:bCs w:val="0"/>
          <w:noProof/>
          <w:color w:val="000000"/>
          <w:kern w:val="0"/>
          <w:sz w:val="22"/>
          <w:szCs w:val="22"/>
        </w:rPr>
        <w:t>, 2012)</w:t>
      </w:r>
      <w:r w:rsidRPr="003E0363">
        <w:rPr>
          <w:b w:val="0"/>
          <w:bCs w:val="0"/>
          <w:color w:val="000000"/>
          <w:kern w:val="0"/>
          <w:sz w:val="22"/>
          <w:szCs w:val="22"/>
        </w:rPr>
        <w:fldChar w:fldCharType="end"/>
      </w:r>
      <w:r w:rsidRPr="003E0363">
        <w:rPr>
          <w:b w:val="0"/>
          <w:bCs w:val="0"/>
          <w:color w:val="000000"/>
          <w:kern w:val="0"/>
          <w:sz w:val="22"/>
          <w:szCs w:val="22"/>
        </w:rPr>
        <w:t xml:space="preserve">. The northern portions of the study area are hotspots of deforestation due to anthropogenic activity (e.g., establishment of pastures or agriculture, urbanization, etc.). The southern portions of the Colombian Amazon have very low levels of deforestation. </w:t>
      </w:r>
    </w:p>
    <w:p w14:paraId="487486EA" w14:textId="7A60E9A9" w:rsidR="003E0363" w:rsidRDefault="00143998">
      <w:pPr>
        <w:pStyle w:val="Heading1"/>
        <w:spacing w:before="280" w:after="280"/>
        <w:ind w:left="0"/>
        <w:rPr>
          <w:b w:val="0"/>
          <w:bCs w:val="0"/>
          <w:color w:val="000000"/>
          <w:kern w:val="0"/>
          <w:sz w:val="22"/>
          <w:szCs w:val="22"/>
        </w:rPr>
      </w:pPr>
      <w:r w:rsidRPr="003E0363">
        <w:rPr>
          <w:color w:val="000000"/>
          <w:kern w:val="0"/>
          <w:sz w:val="22"/>
          <w:szCs w:val="22"/>
        </w:rPr>
        <w:t>Framework</w:t>
      </w:r>
    </w:p>
    <w:p w14:paraId="3F4B5EBA" w14:textId="77777777" w:rsidR="00A048FE" w:rsidRDefault="00143998" w:rsidP="00A048FE">
      <w:pPr>
        <w:pStyle w:val="Heading1"/>
        <w:spacing w:before="280" w:after="280"/>
        <w:ind w:left="0"/>
        <w:rPr>
          <w:b w:val="0"/>
          <w:bCs w:val="0"/>
          <w:color w:val="000000"/>
          <w:kern w:val="0"/>
          <w:sz w:val="22"/>
          <w:szCs w:val="22"/>
        </w:rPr>
      </w:pPr>
      <w:r w:rsidRPr="003E0363">
        <w:rPr>
          <w:b w:val="0"/>
          <w:bCs w:val="0"/>
          <w:color w:val="000000"/>
          <w:kern w:val="0"/>
          <w:sz w:val="22"/>
          <w:szCs w:val="22"/>
        </w:rPr>
        <w:t xml:space="preserve">We follow an illicit land transactions framework defined by </w:t>
      </w:r>
      <w:r w:rsidRPr="003E0363">
        <w:rPr>
          <w:sz w:val="22"/>
          <w:szCs w:val="22"/>
        </w:rPr>
        <w:fldChar w:fldCharType="begin" w:fldLock="1"/>
      </w:r>
      <w:r w:rsidR="00680969" w:rsidRPr="003E0363">
        <w:rPr>
          <w:b w:val="0"/>
          <w:bCs w:val="0"/>
          <w:color w:val="000000"/>
          <w:kern w:val="0"/>
          <w:sz w:val="22"/>
          <w:szCs w:val="22"/>
        </w:rPr>
        <w:instrText>ADDIN CSL_CITATION {"citationItems":[{"id":"ITEM-1","itemData":{"DOI":"10.1038/s41893-019-0457-1","ISSN":"2398-9629","author":[{"dropping-particle":"","family":"Tellman","given":"Beth","non-dropping-particle":"","parse-names":false,"suffix":""},{"dropping-particle":"","family":"Magliocca","given":"Nicholas R","non-dropping-particle":"","parse-names":false,"suffix":""},{"dropping-particle":"","family":"Ii","given":"B L Turner","non-dropping-particle":"","parse-names":false,"suffix":""},{"dropping-particle":"","family":"Verburg","given":"Peter H","non-dropping-particle":"","parse-names":false,"suffix":""}],"container-title":"Nature Sustainability","id":"ITEM-1","issued":{"date-parts":[["2020"]]},"publisher":"Springer US","title":"Understanding the role of illicit transactions in land-change dynamics","type":"article-journal"},"uris":["http://www.mendeley.com/documents/?uuid=a790ae13-0997-4d8d-8d55-d1f49566fcf5"]}],"mendeley":{"formattedCitation":"(Tellman &lt;i&gt;et al.&lt;/i&gt;, 2020)","manualFormatting":"Tellman et al (2020a)","plainTextFormattedCitation":"(Tellman et al., 2020)","previouslyFormattedCitation":"(Tellman &lt;i&gt;et al.&lt;/i&gt;, 2020)"},"properties":{"noteIndex":0},"schema":"https://github.com/citation-style-language/schema/raw/master/csl-citation.json"}</w:instrText>
      </w:r>
      <w:r w:rsidRPr="003E0363">
        <w:rPr>
          <w:b w:val="0"/>
          <w:bCs w:val="0"/>
          <w:color w:val="000000"/>
          <w:kern w:val="0"/>
          <w:sz w:val="22"/>
          <w:szCs w:val="22"/>
        </w:rPr>
        <w:fldChar w:fldCharType="separate"/>
      </w:r>
      <w:r w:rsidRPr="003E0363">
        <w:rPr>
          <w:b w:val="0"/>
          <w:bCs w:val="0"/>
          <w:noProof/>
          <w:color w:val="000000"/>
          <w:kern w:val="0"/>
          <w:sz w:val="22"/>
          <w:szCs w:val="22"/>
        </w:rPr>
        <w:t>Tellman et al (2020a)</w:t>
      </w:r>
      <w:r w:rsidRPr="003E0363">
        <w:rPr>
          <w:b w:val="0"/>
          <w:bCs w:val="0"/>
          <w:color w:val="000000"/>
          <w:kern w:val="0"/>
          <w:sz w:val="22"/>
          <w:szCs w:val="22"/>
        </w:rPr>
        <w:fldChar w:fldCharType="end"/>
      </w:r>
      <w:r w:rsidRPr="003E0363">
        <w:rPr>
          <w:b w:val="0"/>
          <w:bCs w:val="0"/>
          <w:color w:val="000000"/>
          <w:kern w:val="0"/>
          <w:sz w:val="22"/>
          <w:szCs w:val="22"/>
        </w:rPr>
        <w:t xml:space="preserve"> using two pixel-based approaches. First, we draw hypotheses linking the forest-coca-cattle pattern with specific processes. In this case, the distinctive conversions patterns between coca and cattle helps to infer where, how, and why these illicit activities take place. The reconstruction of these changes were based on ethnographic research collected in 2019 with FARC ex-combatants, farmers, and park managers in this region and on previous studies </w:t>
      </w:r>
      <w:r w:rsidRPr="003E0363">
        <w:rPr>
          <w:sz w:val="22"/>
          <w:szCs w:val="22"/>
        </w:rPr>
        <w:fldChar w:fldCharType="begin" w:fldLock="1"/>
      </w:r>
      <w:r w:rsidR="00680969" w:rsidRPr="003E0363">
        <w:rPr>
          <w:b w:val="0"/>
          <w:bCs w:val="0"/>
          <w:color w:val="000000"/>
          <w:kern w:val="0"/>
          <w:sz w:val="22"/>
          <w:szCs w:val="22"/>
        </w:rPr>
        <w:instrText>ADDIN CSL_CITATION {"citationItems":[{"id":"ITEM-1","itemData":{"author":[{"dropping-particle":"","family":"Arcila","given":"Oscar H","non-dropping-particle":"","parse-names":false,"suffix":""}],"container-title":"Revista de la Universidad Nacional","id":"ITEM-1","issue":"21","issued":{"date-parts":[["1989"]]},"page":"75-80","title":"Coca, guerrilla, colonización y narcotráfico en la Macarena","type":"article-journal"},"uris":["http://www.mendeley.com/documents/?uuid=8fb32de2-7569-4613-89b5-7750c4668be7"]},{"id":"ITEM-2","itemData":{"DOI":"10.13140/RG.2.1.4864.3048","author":[{"dropping-particle":"","family":"Espinosa","given":"Nicolas","non-dropping-particle":"","parse-names":false,"suffix":""}],"id":"ITEM-2","issued":{"date-parts":[["2004"]]},"title":"\" A la otra orilla del rio \" La relacion de los campesinos y la guerrilla en la Macarena","type":"article-journal"},"uris":["http://www.mendeley.com/documents/?uuid=df890115-f775-4309-93de-e48f59a3423a"]},{"id":"ITEM-3","itemData":{"author":[{"dropping-particle":"","family":"UNODC","given":"","non-dropping-particle":"","parse-names":false,"suffix":""}],"id":"ITEM-3","issued":{"date-parts":[["2009"]]},"number-of-pages":"150","title":"Transformacion socioeconomica y biofisica asociadas con cultivos ilicitos en la region sur del Meta-Guaviare 1990-2009","type":"report"},"uris":["http://www.mendeley.com/documents/?uuid=a4f0d0b0-8552-48da-91c7-37aa8bdf30e1"]},{"id":"ITEM-4","itemData":{"author":[{"dropping-particle":"","family":"Urdaneta","given":"Juan Sebastian","non-dropping-particle":"","parse-names":false,"suffix":""}],"id":"ITEM-4","issued":{"date-parts":[["2017"]]},"number-of-pages":"199","publisher":"La Plata","title":"Justicias bastardas: estudio sobre la administración de justicia de la guerrilla de las FARC en el suroriente colombiano","type":"thesis"},"uris":["http://www.mendeley.com/documents/?uuid=47b3041a-d648-470b-b180-5202efbf411f"]},{"id":"ITEM-5","itemData":{"ISBN":"9781138592223","author":[{"dropping-particle":"","family":"Gootenberg","given":"Paul","non-dropping-particle":"","parse-names":false,"suffix":""},{"dropping-particle":"","family":"Davalos","given":"Liliana M","non-dropping-particle":"","parse-names":false,"suffix":""}],"editor":[{"dropping-particle":"","family":"Gootenberg","given":"Paul","non-dropping-particle":"","parse-names":false,"suffix":""},{"dropping-particle":"","family":"Davalos","given":"Liliana M.","non-dropping-particle":"","parse-names":false,"suffix":""}],"id":"ITEM-5","issued":{"date-parts":[["2018"]]},"publisher":"Routledge Taylor Francis Group","title":"The Origins of Cocaine","type":"book"},"uris":["http://www.mendeley.com/documents/?uuid=409ce0ee-e8d8-4077-b72c-92e07fa5f4d4"]},{"id":"ITEM-6","itemData":{"DOI":"10.1300/j091v16n03_03","ISSN":"1054-9811","abstract":"The signing of Colombia’s peace agreement in 2016 signaled the end of a decades-long war between the government and the FARC (Las Fuerzas Armadas Revolucionarias de Colombia), but also an emerging assault against the country’s forests. This article aims to understand the interac- tions between forests and peace. In doing so, it traces landscape trans- formations of deforestation and possibilities for making landscapes livable in the midst of disturbance. Drawing on field research, including inter- views and participant observation carried out in Colombia from 2016 to 2018, it reveals how deforestation is driven by ongoing colonization and land grabbing, mostly dedicated to extensive cattle ranching, coca culti- vation, and campesinos’ transition to ‘licit’ agricultural alternatives. The article also shows how emerging coordination among farmers and forests following forest disturbance contributes to an interpretation of peace in which forests are integral. The article concludes with a call to incorporate forests in the construction of peace. ARTICLE HISTORY Received 9 November 2019 Accepted 21 November 2019 KEYWORDS Colombia; deforestation; Putumayo; peace; cattle ranching; coca cultivation 1.","author":[{"dropping-particle":"","family":"Dexter","given":"Kristina","non-dropping-particle":"Van","parse-names":false,"suffix":""},{"dropping-particle":"","family":"Visseren-Hamakers","given":"Ingrid","non-dropping-particle":"","parse-names":false,"suffix":""}],"container-title":"Journal of Land Use Science","id":"ITEM-6","issue":"1","issued":{"date-parts":[["2019"]]},"page":"16","publisher":"Taylor &amp; Francis","title":"Forests in the Time of Violence","type":"article-journal","volume":"1"},"uris":["http://www.mendeley.com/documents/?uuid=cfa5ec99-ec92-451b-abfc-62b9f5fed5b4"]}],"mendeley":{"formattedCitation":"(Arcila, 1989; Espinosa, 2004; UNODC, 2009; Urdaneta, 2017; Gootenberg and Davalos, 2018; Van Dexter and Visseren-Hamakers, 2019)","plainTextFormattedCitation":"(Arcila, 1989; Espinosa, 2004; UNODC, 2009; Urdaneta, 2017; Gootenberg and Davalos, 2018; Van Dexter and Visseren-Hamakers, 2019)","previouslyFormattedCitation":"(Arcila, 1989; Espinosa, 2004; UNODC, 2009; Urdaneta, 2017; Gootenberg and Davalos, 2018; Van Dexter and Visseren-Hamakers, 2019)"},"properties":{"noteIndex":0},"schema":"https://github.com/citation-style-language/schema/raw/master/csl-citation.json"}</w:instrText>
      </w:r>
      <w:r w:rsidRPr="003E0363">
        <w:rPr>
          <w:b w:val="0"/>
          <w:bCs w:val="0"/>
          <w:color w:val="000000"/>
          <w:kern w:val="0"/>
          <w:sz w:val="22"/>
          <w:szCs w:val="22"/>
        </w:rPr>
        <w:fldChar w:fldCharType="separate"/>
      </w:r>
      <w:r w:rsidR="0000039A" w:rsidRPr="00E0607F">
        <w:rPr>
          <w:b w:val="0"/>
          <w:bCs w:val="0"/>
          <w:noProof/>
          <w:color w:val="000000"/>
          <w:kern w:val="0"/>
          <w:sz w:val="22"/>
          <w:szCs w:val="22"/>
        </w:rPr>
        <w:t>(Arcila, 1989; Espinosa, 2004; UNODC, 2009; Urdaneta, 2017; Gootenberg and Davalos, 2018; Van Dexter and Visseren-Hamakers, 2019)</w:t>
      </w:r>
      <w:r w:rsidRPr="003E0363">
        <w:rPr>
          <w:b w:val="0"/>
          <w:bCs w:val="0"/>
          <w:color w:val="000000"/>
          <w:kern w:val="0"/>
          <w:sz w:val="22"/>
          <w:szCs w:val="22"/>
        </w:rPr>
        <w:fldChar w:fldCharType="end"/>
      </w:r>
      <w:r w:rsidRPr="00E0607F">
        <w:rPr>
          <w:b w:val="0"/>
          <w:bCs w:val="0"/>
          <w:color w:val="000000"/>
          <w:kern w:val="0"/>
          <w:sz w:val="22"/>
          <w:szCs w:val="22"/>
        </w:rPr>
        <w:t xml:space="preserve">. </w:t>
      </w:r>
      <w:r w:rsidRPr="003E0363">
        <w:rPr>
          <w:b w:val="0"/>
          <w:bCs w:val="0"/>
          <w:color w:val="000000"/>
          <w:kern w:val="0"/>
          <w:sz w:val="22"/>
          <w:szCs w:val="22"/>
        </w:rPr>
        <w:t>Second, we directly map the spatiotemporal distribution of illicit activities using partially known locations of coca and cattle through a deep learning model.</w:t>
      </w:r>
      <w:bookmarkStart w:id="1" w:name="_Toc55746268"/>
    </w:p>
    <w:p w14:paraId="03EA9B52" w14:textId="6D293FFB" w:rsidR="003E0363" w:rsidRDefault="00143998" w:rsidP="00A048FE">
      <w:pPr>
        <w:pStyle w:val="Heading1"/>
        <w:spacing w:before="280" w:after="280"/>
        <w:ind w:left="0"/>
        <w:rPr>
          <w:b w:val="0"/>
          <w:bCs w:val="0"/>
          <w:color w:val="000000"/>
          <w:kern w:val="0"/>
          <w:sz w:val="22"/>
          <w:szCs w:val="22"/>
        </w:rPr>
      </w:pPr>
      <w:r w:rsidRPr="003E0363">
        <w:rPr>
          <w:color w:val="000000"/>
          <w:kern w:val="0"/>
          <w:sz w:val="22"/>
          <w:szCs w:val="22"/>
        </w:rPr>
        <w:t>Satellite data</w:t>
      </w:r>
      <w:bookmarkEnd w:id="1"/>
    </w:p>
    <w:p w14:paraId="2593D958" w14:textId="5A55394F" w:rsidR="00181377" w:rsidRPr="003E0363" w:rsidRDefault="00143998">
      <w:pPr>
        <w:pStyle w:val="Heading1"/>
        <w:spacing w:after="280"/>
        <w:ind w:left="0"/>
        <w:rPr>
          <w:b w:val="0"/>
          <w:bCs w:val="0"/>
          <w:color w:val="000000"/>
          <w:kern w:val="0"/>
          <w:sz w:val="22"/>
          <w:szCs w:val="22"/>
        </w:rPr>
      </w:pPr>
      <w:r w:rsidRPr="003E0363">
        <w:rPr>
          <w:b w:val="0"/>
          <w:bCs w:val="0"/>
          <w:color w:val="000000"/>
          <w:kern w:val="0"/>
          <w:sz w:val="22"/>
          <w:szCs w:val="22"/>
        </w:rPr>
        <w:t xml:space="preserve">To map the distribution of coca and pasture, we used multispectral satellite imagery acquired by the Landsat program. All surface reflectance Landsat images from the U.S. Geologic Survey’s Collection 1 dataset which intersected our study area and which were acquired </w:t>
      </w:r>
      <w:proofErr w:type="gramStart"/>
      <w:r w:rsidRPr="003E0363">
        <w:rPr>
          <w:b w:val="0"/>
          <w:bCs w:val="0"/>
          <w:color w:val="000000"/>
          <w:kern w:val="0"/>
          <w:sz w:val="22"/>
          <w:szCs w:val="22"/>
        </w:rPr>
        <w:t>between 1984 to 2019</w:t>
      </w:r>
      <w:proofErr w:type="gramEnd"/>
      <w:r w:rsidRPr="003E0363">
        <w:rPr>
          <w:b w:val="0"/>
          <w:bCs w:val="0"/>
          <w:color w:val="000000"/>
          <w:kern w:val="0"/>
          <w:sz w:val="22"/>
          <w:szCs w:val="22"/>
        </w:rPr>
        <w:t xml:space="preserve"> were aggregated for analysis. Imagery acquired by the Landsat Thematic Mapper and Enhanced Thematic Mapper plus sensors were harmonized with data acquired by the Operational Land Imager sensor using the reduced major axis regression coefficients from Roy et al. 2015. Additionally, each image was corrected for </w:t>
      </w:r>
      <w:r w:rsidRPr="003E0363">
        <w:rPr>
          <w:b w:val="0"/>
          <w:bCs w:val="0"/>
          <w:color w:val="000000"/>
          <w:kern w:val="0"/>
          <w:sz w:val="22"/>
          <w:szCs w:val="22"/>
        </w:rPr>
        <w:lastRenderedPageBreak/>
        <w:t xml:space="preserve">topographic effects </w:t>
      </w:r>
      <w:r w:rsidRPr="003E0363">
        <w:rPr>
          <w:sz w:val="22"/>
          <w:szCs w:val="22"/>
        </w:rPr>
        <w:fldChar w:fldCharType="begin" w:fldLock="1"/>
      </w:r>
      <w:r w:rsidR="00680969" w:rsidRPr="003E0363">
        <w:rPr>
          <w:b w:val="0"/>
          <w:bCs w:val="0"/>
          <w:color w:val="000000"/>
          <w:kern w:val="0"/>
          <w:sz w:val="22"/>
          <w:szCs w:val="22"/>
        </w:rPr>
        <w:instrText>ADDIN CSL_CITATION {"citationItems":[{"id":"ITEM-1","itemData":{"DOI":"10.1080/01431160210154029","ISSN":"01431161","abstract":"Steephill and mountain slopes severely affect remote sensing of vegetation. The irradiation on a slope varies strongly with slope azimuth relative to the sun, and the reflectance of the slope varies with the angles of incidence and exitance relative to the slope normal. Topographic correction involves standardizing imagery for these two effects. We use an atmospheric model with a Digital Elevation Model (DEM) to calculate direct and diffuse illumination, and a simple function of incidence and exitance angles to calculate vegetation-canopy reflectance on terrain slope. The reflectance correction has been derived from the physics of visible direct radiation on a vegetation canopy, but has proved applicable to infrared wavelengths and only requires solar position, slope and aspect. We applied the reflectance and illumination correction to a SPOT 4 image of New Zealand to remove topographic variation. In all spectral bands, the algorithm markedly reduced the coefficients of variation of vegetation groups on rugged terrain. This produced clean spectral signatures, improving the capacity for automated classification. If illumination correction is performed alone, the coefficients of variation can be increased, and so should not be applied without a reflectance correction. The algorithm output is reflectance on a level surface, enabling the monitoring of vegetation in hilly and mountainous areas.","author":[{"dropping-particle":"","family":"Shepherd","given":"J. D.","non-dropping-particle":"","parse-names":false,"suffix":""},{"dropping-particle":"","family":"Dymond","given":"J. R.","non-dropping-particle":"","parse-names":false,"suffix":""}],"container-title":"International Journal of Remote Sensing","id":"ITEM-1","issue":"17","issued":{"date-parts":[["2003"]]},"page":"3503-3514","title":"Correcting satellite imagery for the variance of reflectance and illumination with topography","type":"article-journal","volume":"24"},"uris":["http://www.mendeley.com/documents/?uuid=32b28ae0-ea2d-411c-b0b0-f11acc830bd9"]}],"mendeley":{"formattedCitation":"(Shepherd and Dymond, 2003)","plainTextFormattedCitation":"(Shepherd and Dymond, 2003)","previouslyFormattedCitation":"(Shepherd and Dymond, 2003)"},"properties":{"noteIndex":0},"schema":"https://github.com/citation-style-language/schema/raw/master/csl-citation.json"}</w:instrText>
      </w:r>
      <w:r w:rsidRPr="003E0363">
        <w:rPr>
          <w:b w:val="0"/>
          <w:bCs w:val="0"/>
          <w:color w:val="000000"/>
          <w:kern w:val="0"/>
          <w:sz w:val="22"/>
          <w:szCs w:val="22"/>
        </w:rPr>
        <w:fldChar w:fldCharType="separate"/>
      </w:r>
      <w:r w:rsidR="0000039A" w:rsidRPr="003E0363">
        <w:rPr>
          <w:b w:val="0"/>
          <w:bCs w:val="0"/>
          <w:noProof/>
          <w:color w:val="000000"/>
          <w:kern w:val="0"/>
          <w:sz w:val="22"/>
          <w:szCs w:val="22"/>
        </w:rPr>
        <w:t>(Shepherd and Dymond, 2003)</w:t>
      </w:r>
      <w:r w:rsidRPr="003E0363">
        <w:rPr>
          <w:b w:val="0"/>
          <w:bCs w:val="0"/>
          <w:color w:val="000000"/>
          <w:kern w:val="0"/>
          <w:sz w:val="22"/>
          <w:szCs w:val="22"/>
        </w:rPr>
        <w:fldChar w:fldCharType="end"/>
      </w:r>
      <w:r w:rsidRPr="003E0363">
        <w:rPr>
          <w:b w:val="0"/>
          <w:bCs w:val="0"/>
          <w:color w:val="000000"/>
          <w:kern w:val="0"/>
          <w:sz w:val="22"/>
          <w:szCs w:val="22"/>
        </w:rPr>
        <w:t xml:space="preserve">. An annual time series of wall-to-wall composites was produced using the using the </w:t>
      </w:r>
      <w:proofErr w:type="spellStart"/>
      <w:r w:rsidRPr="003E0363">
        <w:rPr>
          <w:b w:val="0"/>
          <w:bCs w:val="0"/>
          <w:color w:val="000000"/>
          <w:kern w:val="0"/>
          <w:sz w:val="22"/>
          <w:szCs w:val="22"/>
        </w:rPr>
        <w:t>medoid</w:t>
      </w:r>
      <w:proofErr w:type="spellEnd"/>
      <w:r w:rsidRPr="003E0363">
        <w:rPr>
          <w:b w:val="0"/>
          <w:bCs w:val="0"/>
          <w:color w:val="000000"/>
          <w:kern w:val="0"/>
          <w:sz w:val="22"/>
          <w:szCs w:val="22"/>
        </w:rPr>
        <w:t xml:space="preserve"> method for the period 1984-2019 </w:t>
      </w:r>
      <w:r w:rsidRPr="003E0363">
        <w:rPr>
          <w:sz w:val="22"/>
          <w:szCs w:val="22"/>
        </w:rPr>
        <w:fldChar w:fldCharType="begin" w:fldLock="1"/>
      </w:r>
      <w:r w:rsidR="0000039A" w:rsidRPr="003E0363">
        <w:rPr>
          <w:b w:val="0"/>
          <w:bCs w:val="0"/>
          <w:color w:val="000000"/>
          <w:kern w:val="0"/>
          <w:sz w:val="22"/>
          <w:szCs w:val="22"/>
        </w:rPr>
        <w:instrText>ADDIN CSL_CITATION {"citationItems":[{"id":"ITEM-1","itemData":{"DOI":"10.3390/rs5126481","ISBN":"2072-4292","ISSN":"20724292","abstract":"Multi-temporal satellite imagery can be composited over a season (or other time period) to produce imagery which is representative of that period, using techniques which will reduce contamination by cloud and other problems. For the purposes of vegetation monitoring, a commonly used technique is the Maximum NDVI Composite, used in conjunction with variety of other constraints. The current paper proposes an alternative based on the medoid (in reflectance space) over the time period (the medoid is a multi-dimensional analogue of the median), which is robust against extreme values, and appears to be better at producing imagery which is representative of the time period. For each pixel, the medoid is always selected from the available dates, so the result is always a single observation for that pixel, thus preserving relationships between bands. The method is applied to Landsat TM/ETM+ imagery to create seasonal reflectance images (four per year), with the aim being a regular time series of reflectance values which captures the variability at seasonal time scales. Analysis of the seasonal reflectance values suggests that resulting temporal image composites are more representative of the time series than the maximum NDVI seasonal composite.","author":[{"dropping-particle":"","family":"Flood","given":"Neil","non-dropping-particle":"","parse-names":false,"suffix":""}],"container-title":"Remote Sensing","id":"ITEM-1","issue":"12","issued":{"date-parts":[["2013"]]},"page":"6481-6500","title":"Seasonal composite landsat TM/ETM+ Images using the medoid (a multi-dimensional median)","type":"article-journal","volume":"5"},"uris":["http://www.mendeley.com/documents/?uuid=1b60a83d-83c2-4e07-8b93-66401b46e5c4"]}],"mendeley":{"formattedCitation":"(Flood, 2013)","plainTextFormattedCitation":"(Flood, 2013)","previouslyFormattedCitation":"(Flood, 2013)"},"properties":{"noteIndex":0},"schema":"https://github.com/citation-style-language/schema/raw/master/csl-citation.json"}</w:instrText>
      </w:r>
      <w:r w:rsidRPr="003E0363">
        <w:rPr>
          <w:b w:val="0"/>
          <w:bCs w:val="0"/>
          <w:color w:val="000000"/>
          <w:kern w:val="0"/>
          <w:sz w:val="22"/>
          <w:szCs w:val="22"/>
        </w:rPr>
        <w:fldChar w:fldCharType="separate"/>
      </w:r>
      <w:r w:rsidRPr="003E0363">
        <w:rPr>
          <w:b w:val="0"/>
          <w:bCs w:val="0"/>
          <w:noProof/>
          <w:color w:val="000000"/>
          <w:kern w:val="0"/>
          <w:sz w:val="22"/>
          <w:szCs w:val="22"/>
        </w:rPr>
        <w:t>(Flood, 2013)</w:t>
      </w:r>
      <w:r w:rsidRPr="003E0363">
        <w:rPr>
          <w:b w:val="0"/>
          <w:bCs w:val="0"/>
          <w:color w:val="000000"/>
          <w:kern w:val="0"/>
          <w:sz w:val="22"/>
          <w:szCs w:val="22"/>
        </w:rPr>
        <w:fldChar w:fldCharType="end"/>
      </w:r>
      <w:r w:rsidRPr="003E0363">
        <w:rPr>
          <w:b w:val="0"/>
          <w:bCs w:val="0"/>
          <w:color w:val="000000"/>
          <w:kern w:val="0"/>
          <w:sz w:val="22"/>
          <w:szCs w:val="22"/>
        </w:rPr>
        <w:t xml:space="preserve">. The </w:t>
      </w:r>
      <w:proofErr w:type="spellStart"/>
      <w:r w:rsidRPr="003E0363">
        <w:rPr>
          <w:b w:val="0"/>
          <w:bCs w:val="0"/>
          <w:color w:val="000000"/>
          <w:kern w:val="0"/>
          <w:sz w:val="22"/>
          <w:szCs w:val="22"/>
        </w:rPr>
        <w:t>LandTrendr</w:t>
      </w:r>
      <w:proofErr w:type="spellEnd"/>
      <w:r w:rsidRPr="003E0363">
        <w:rPr>
          <w:b w:val="0"/>
          <w:bCs w:val="0"/>
          <w:color w:val="000000"/>
          <w:kern w:val="0"/>
          <w:sz w:val="22"/>
          <w:szCs w:val="22"/>
        </w:rPr>
        <w:t xml:space="preserve"> algorithm was used to produce a </w:t>
      </w:r>
      <w:proofErr w:type="spellStart"/>
      <w:r w:rsidRPr="003E0363">
        <w:rPr>
          <w:b w:val="0"/>
          <w:bCs w:val="0"/>
          <w:color w:val="000000"/>
          <w:kern w:val="0"/>
          <w:sz w:val="22"/>
          <w:szCs w:val="22"/>
        </w:rPr>
        <w:t>radiometrically</w:t>
      </w:r>
      <w:proofErr w:type="spellEnd"/>
      <w:r w:rsidRPr="003E0363">
        <w:rPr>
          <w:b w:val="0"/>
          <w:bCs w:val="0"/>
          <w:color w:val="000000"/>
          <w:kern w:val="0"/>
          <w:sz w:val="22"/>
          <w:szCs w:val="22"/>
        </w:rPr>
        <w:t xml:space="preserve"> consistent, gap-free time series of annual satellite imagery </w:t>
      </w:r>
      <w:r w:rsidRPr="003E0363">
        <w:rPr>
          <w:sz w:val="22"/>
          <w:szCs w:val="22"/>
        </w:rPr>
        <w:fldChar w:fldCharType="begin" w:fldLock="1"/>
      </w:r>
      <w:r w:rsidR="00680969" w:rsidRPr="003E0363">
        <w:rPr>
          <w:b w:val="0"/>
          <w:bCs w:val="0"/>
          <w:color w:val="000000"/>
          <w:kern w:val="0"/>
          <w:sz w:val="22"/>
          <w:szCs w:val="22"/>
        </w:rPr>
        <w:instrText>ADDIN CSL_CITATION {"citationItems":[{"id":"ITEM-1","itemData":{"DOI":"10.1016/j.rse.2010.07.008","ISBN":"0034-4257","ISSN":"00344257","abstract":"We introduce and test LandTrendr (Landsat-based detection of Trends in Disturbance and Recovery), a new approach to extract spectral trajectories of land surface change from yearly Landsat time-series stacks (LTS). The method brings together two themes in time-series analysis of LTS: capture of short-duration events and smoothing of long-term trends. Our strategy is founded on the recognition that change is not simply a contrast between conditions at two points in time, but rather a continual process operating at both fast and slow rates on landscapes. This concept requires both new algorithms to extract change and new interpretation tools to validate those algorithms. The challenge is to resolve salient features of the time series while eliminating noise introduced by ephemeral changes in illumination, phenology, atmospheric condition, and geometric registration. In the LandTrendr approach, we use relative radiometric normalization and simple cloud screening rules to create on-the-fly mosaics of multiple images per year, and extract temporal trajectories of spectral data on a pixel-by-pixel basis. We then apply temporal segmentation strategies with both regression-based and point-to-point fitting of spectral indices as a function of time, allowing capture of both slowly-evolving processes, such as regrowth, and abrupt events, such as forest harvest. Because any temporal trajectory pattern is allowable, we use control parameters and threshold-based filtering to reduce the role of false positive detections. No suitable reference data are available to assess the role of these control parameters or to test overall algorithm performance. Therefore, we also developed a companion interpretation approach founded on the same conceptual framework of capturing both long and short-duration processes, and developed a software tool to apply this concept to expert interpretation and segmentation of spectral trajectories (TimeSync, described in a companion paper by Cohen et al., 2010). These data were used as a truth set against which to evaluate the behavior of the LandTrendr algorithms applied to three spectral indices. We applied the LandTrendr algorithms to several hundred points across western Oregon and Washington (U.S.A.). Because of the diversity of potential outputs from the LTS data, we evaluated algorithm performance against summary metrics for disturbance, recovery, and stability, both for capture of events and longer-duration processes. Despite the appare…","author":[{"dropping-particle":"","family":"Kennedy","given":"Robert E.","non-dropping-particle":"","parse-names":false,"suffix":""},{"dropping-particle":"","family":"Yang","given":"Zhiqiang","non-dropping-particle":"","parse-names":false,"suffix":""},{"dropping-particle":"","family":"Cohen","given":"Warren B.","non-dropping-particle":"","parse-names":false,"suffix":""}],"container-title":"Remote Sensing of Environment","id":"ITEM-1","issue":"12","issued":{"date-parts":[["2010"]]},"page":"2897-2910","publisher":"Elsevier Inc.","title":"Detecting trends in forest disturbance and recovery using yearly Landsat time series: 1. LandTrendr - Temporal segmentation algorithms","type":"article-journal","volume":"114"},"uris":["http://www.mendeley.com/documents/?uuid=6acdcdc4-1634-4b76-a0d5-2407cb6d1097"]}],"mendeley":{"formattedCitation":"(Kennedy, Yang and Cohen, 2010)","manualFormatting":"(Kennedy et al., 2010, Kennedy et al., 2018)","plainTextFormattedCitation":"(Kennedy, Yang and Cohen, 2010)","previouslyFormattedCitation":"(Kennedy, Yang and Cohen, 2010)"},"properties":{"noteIndex":0},"schema":"https://github.com/citation-style-language/schema/raw/master/csl-citation.json"}</w:instrText>
      </w:r>
      <w:r w:rsidRPr="003E0363">
        <w:rPr>
          <w:b w:val="0"/>
          <w:bCs w:val="0"/>
          <w:color w:val="000000"/>
          <w:kern w:val="0"/>
          <w:sz w:val="22"/>
          <w:szCs w:val="22"/>
        </w:rPr>
        <w:fldChar w:fldCharType="separate"/>
      </w:r>
      <w:r w:rsidRPr="003E0363">
        <w:rPr>
          <w:b w:val="0"/>
          <w:bCs w:val="0"/>
          <w:noProof/>
          <w:color w:val="000000"/>
          <w:kern w:val="0"/>
          <w:sz w:val="22"/>
          <w:szCs w:val="22"/>
        </w:rPr>
        <w:t>(Kennedy et al., 2010, Kennedy et al., 2018)</w:t>
      </w:r>
      <w:r w:rsidRPr="003E0363">
        <w:rPr>
          <w:b w:val="0"/>
          <w:bCs w:val="0"/>
          <w:color w:val="000000"/>
          <w:kern w:val="0"/>
          <w:sz w:val="22"/>
          <w:szCs w:val="22"/>
        </w:rPr>
        <w:fldChar w:fldCharType="end"/>
      </w:r>
      <w:r w:rsidRPr="003E0363">
        <w:rPr>
          <w:b w:val="0"/>
          <w:bCs w:val="0"/>
          <w:color w:val="000000"/>
          <w:kern w:val="0"/>
          <w:sz w:val="22"/>
          <w:szCs w:val="22"/>
        </w:rPr>
        <w:t xml:space="preserve">. For additional information about using </w:t>
      </w:r>
      <w:proofErr w:type="spellStart"/>
      <w:r w:rsidRPr="003E0363">
        <w:rPr>
          <w:b w:val="0"/>
          <w:bCs w:val="0"/>
          <w:color w:val="000000"/>
          <w:kern w:val="0"/>
          <w:sz w:val="22"/>
          <w:szCs w:val="22"/>
        </w:rPr>
        <w:t>LandTrendr</w:t>
      </w:r>
      <w:proofErr w:type="spellEnd"/>
      <w:r w:rsidRPr="003E0363">
        <w:rPr>
          <w:b w:val="0"/>
          <w:bCs w:val="0"/>
          <w:color w:val="000000"/>
          <w:kern w:val="0"/>
          <w:sz w:val="22"/>
          <w:szCs w:val="22"/>
        </w:rPr>
        <w:t xml:space="preserve"> to produce a </w:t>
      </w:r>
      <w:proofErr w:type="spellStart"/>
      <w:r w:rsidRPr="003E0363">
        <w:rPr>
          <w:b w:val="0"/>
          <w:bCs w:val="0"/>
          <w:color w:val="000000"/>
          <w:kern w:val="0"/>
          <w:sz w:val="22"/>
          <w:szCs w:val="22"/>
        </w:rPr>
        <w:t>radiometrically</w:t>
      </w:r>
      <w:proofErr w:type="spellEnd"/>
      <w:r w:rsidRPr="003E0363">
        <w:rPr>
          <w:b w:val="0"/>
          <w:bCs w:val="0"/>
          <w:color w:val="000000"/>
          <w:kern w:val="0"/>
          <w:sz w:val="22"/>
          <w:szCs w:val="22"/>
        </w:rPr>
        <w:t xml:space="preserve"> consistent, gap-free time series see Kennedy et al. 2015. Finally, to supplement the annual time series of Landsat imagery, we gathered elevation data from the Shuttle Radar Topography Mission digital elevation model (DEM) dataset </w:t>
      </w:r>
      <w:r w:rsidRPr="003E0363">
        <w:rPr>
          <w:sz w:val="22"/>
          <w:szCs w:val="22"/>
        </w:rPr>
        <w:fldChar w:fldCharType="begin" w:fldLock="1"/>
      </w:r>
      <w:r w:rsidR="00680969" w:rsidRPr="003E0363">
        <w:rPr>
          <w:b w:val="0"/>
          <w:bCs w:val="0"/>
          <w:color w:val="000000"/>
          <w:kern w:val="0"/>
          <w:sz w:val="22"/>
          <w:szCs w:val="22"/>
        </w:rPr>
        <w:instrText>ADDIN CSL_CITATION {"citationItems":[{"id":"ITEM-1","itemData":{"DOI":"10.1029/2005RG000183","abstract":"The Shuttle Radar Topography Mission produced the most complete, highest-resolution digital elevation model of the Earth. The project was a joint endeavor of NASA, the National Geospatial-Intelligence Agency, and the German and Italian Space Agencies and flew in February 2000. It used dual radar antennas to acquire interferometric radar data, processed to digital topographic data at 1 arc sec resolution. Details of the development, flight operations, data processing, and products are provided for users of this revolutionary data set.","author":[{"dropping-particle":"","family":"Farr","given":"Tom G","non-dropping-particle":"","parse-names":false,"suffix":""},{"dropping-particle":"","family":"Rosen","given":"Paul A","non-dropping-particle":"","parse-names":false,"suffix":""},{"dropping-particle":"","family":"Caro","given":"Edward","non-dropping-particle":"","parse-names":false,"suffix":""},{"dropping-particle":"","family":"Crippen","given":"Robert","non-dropping-particle":"","parse-names":false,"suffix":""},{"dropping-particle":"","family":"Duren","given":"Riley","non-dropping-particle":"","parse-names":false,"suffix":""},{"dropping-particle":"","family":"Hensley","given":"Scott","non-dropping-particle":"","parse-names":false,"suffix":""},{"dropping-particle":"","family":"Kobrick","given":"Michael","non-dropping-particle":"","parse-names":false,"suffix":""},{"dropping-particle":"","family":"Paller","given":"Mimi","non-dropping-particle":"","parse-names":false,"suffix":""},{"dropping-particle":"","family":"Rodriguez","given":"Ernesto","non-dropping-particle":"","parse-names":false,"suffix":""},{"dropping-particle":"","family":"Roth","given":"Ladislav","non-dropping-particle":"","parse-names":false,"suffix":""},{"dropping-particle":"","family":"Seal","given":"David","non-dropping-particle":"","parse-names":false,"suffix":""},{"dropping-particle":"","family":"Shaffer","given":"Scott","non-dropping-particle":"","parse-names":false,"suffix":""},{"dropping-particle":"","family":"Shimada","given":"Joanne","non-dropping-particle":"","parse-names":false,"suffix":""},{"dropping-particle":"","family":"Umland","given":"Jeffrey","non-dropping-particle":"","parse-names":false,"suffix":""},{"dropping-particle":"","family":"Werner","given":"Marian","non-dropping-particle":"","parse-names":false,"suffix":""},{"dropping-particle":"","family":"Oskin","given":"Michael","non-dropping-particle":"","parse-names":false,"suffix":""},{"dropping-particle":"","family":"Burbank","given":"Douglas","non-dropping-particle":"","parse-names":false,"suffix":""},{"dropping-particle":"","family":"Alsdorf","given":"Douglas","non-dropping-particle":"","parse-names":false,"suffix":""}],"container-title":"Reviews of Geophysics","id":"ITEM-1","issue":"2","issued":{"date-parts":[["2007"]]},"title":"The Shuttle Radar Topography Mission","type":"article-journal","volume":"45"},"uris":["http://www.mendeley.com/documents/?uuid=6d0b640b-79c0-4c17-9047-332c478c5621"]}],"mendeley":{"formattedCitation":"(Farr &lt;i&gt;et al.&lt;/i&gt;, 2007)","plainTextFormattedCitation":"(Farr et al., 2007)","previouslyFormattedCitation":"(Farr &lt;i&gt;et al.&lt;/i&gt;, 2007)"},"properties":{"noteIndex":0},"schema":"https://github.com/citation-style-language/schema/raw/master/csl-citation.json"}</w:instrText>
      </w:r>
      <w:r w:rsidRPr="003E0363">
        <w:rPr>
          <w:b w:val="0"/>
          <w:bCs w:val="0"/>
          <w:color w:val="000000"/>
          <w:kern w:val="0"/>
          <w:sz w:val="22"/>
          <w:szCs w:val="22"/>
        </w:rPr>
        <w:fldChar w:fldCharType="separate"/>
      </w:r>
      <w:r w:rsidR="0000039A" w:rsidRPr="003E0363">
        <w:rPr>
          <w:b w:val="0"/>
          <w:bCs w:val="0"/>
          <w:noProof/>
          <w:color w:val="000000"/>
          <w:kern w:val="0"/>
          <w:sz w:val="22"/>
          <w:szCs w:val="22"/>
        </w:rPr>
        <w:t xml:space="preserve">(Farr </w:t>
      </w:r>
      <w:r w:rsidR="0000039A" w:rsidRPr="003E0363">
        <w:rPr>
          <w:b w:val="0"/>
          <w:bCs w:val="0"/>
          <w:i/>
          <w:noProof/>
          <w:color w:val="000000"/>
          <w:kern w:val="0"/>
          <w:sz w:val="22"/>
          <w:szCs w:val="22"/>
        </w:rPr>
        <w:t>et al.</w:t>
      </w:r>
      <w:r w:rsidR="0000039A" w:rsidRPr="003E0363">
        <w:rPr>
          <w:b w:val="0"/>
          <w:bCs w:val="0"/>
          <w:noProof/>
          <w:color w:val="000000"/>
          <w:kern w:val="0"/>
          <w:sz w:val="22"/>
          <w:szCs w:val="22"/>
        </w:rPr>
        <w:t>, 2007)</w:t>
      </w:r>
      <w:r w:rsidRPr="003E0363">
        <w:rPr>
          <w:b w:val="0"/>
          <w:bCs w:val="0"/>
          <w:color w:val="000000"/>
          <w:kern w:val="0"/>
          <w:sz w:val="22"/>
          <w:szCs w:val="22"/>
        </w:rPr>
        <w:fldChar w:fldCharType="end"/>
      </w:r>
      <w:r w:rsidRPr="003E0363">
        <w:rPr>
          <w:b w:val="0"/>
          <w:bCs w:val="0"/>
          <w:color w:val="000000"/>
          <w:kern w:val="0"/>
          <w:sz w:val="22"/>
          <w:szCs w:val="22"/>
        </w:rPr>
        <w:t xml:space="preserve">. All image processing was conducted using the Google Earth Engine cloud computing platform </w:t>
      </w:r>
      <w:r w:rsidR="00680969" w:rsidRPr="003E0363">
        <w:rPr>
          <w:b w:val="0"/>
          <w:bCs w:val="0"/>
          <w:color w:val="000000"/>
          <w:kern w:val="0"/>
          <w:sz w:val="22"/>
          <w:szCs w:val="22"/>
        </w:rPr>
        <w:fldChar w:fldCharType="begin" w:fldLock="1"/>
      </w:r>
      <w:r w:rsidR="00680969" w:rsidRPr="003E0363">
        <w:rPr>
          <w:b w:val="0"/>
          <w:bCs w:val="0"/>
          <w:color w:val="000000"/>
          <w:kern w:val="0"/>
          <w:sz w:val="22"/>
          <w:szCs w:val="22"/>
        </w:rPr>
        <w:instrText>ADDIN CSL_CITATION {"citationItems":[{"id":"ITEM-1","itemData":{"DOI":"10.1016/j.rse.2017.06.031","ISBN":"0034-4257","ISSN":"00344257","abstract":"Google Earth Engine is a cloud-based platform for planetary-scale geospatial analysis that brings Google's massive computational capabilities to bear on a variety of high-impact societal issues including deforestation, drought, disaster, disease, food security, water management, climate monitoring and environmental protection. It is unique in the field as an integrated platform designed to empower not only traditional remote sensing scientists, but also a much wider audience that lacks the technical capacity needed to utilize traditional supercomputers or large-scale commodity cloud computing resources.","author":[{"dropping-particle":"","family":"Gorelick","given":"Noel","non-dropping-particle":"","parse-names":false,"suffix":""},{"dropping-particle":"","family":"Hancher","given":"Matt","non-dropping-particle":"","parse-names":false,"suffix":""},{"dropping-particle":"","family":"Dixon","given":"Mike","non-dropping-particle":"","parse-names":false,"suffix":""},{"dropping-particle":"","family":"Ilyushchenko","given":"Simon","non-dropping-particle":"","parse-names":false,"suffix":""},{"dropping-particle":"","family":"Thau","given":"David","non-dropping-particle":"","parse-names":false,"suffix":""},{"dropping-particle":"","family":"Moore","given":"Rebecca","non-dropping-particle":"","parse-names":false,"suffix":""}],"container-title":"Remote Sensing of Environment","id":"ITEM-1","issued":{"date-parts":[["2017"]]},"page":"18-27","publisher":"The Author(s)","title":"Google Earth Engine: Planetary-scale geospatial analysis for everyone","type":"article-journal","volume":"202"},"uris":["http://www.mendeley.com/documents/?uuid=5dea959d-f1f7-4356-aeff-af3e7d3c2334"]}],"mendeley":{"formattedCitation":"(Gorelick &lt;i&gt;et al.&lt;/i&gt;, 2017)","plainTextFormattedCitation":"(Gorelick et al., 2017)","previouslyFormattedCitation":"(Gorelick &lt;i&gt;et al.&lt;/i&gt;, 2017)"},"properties":{"noteIndex":0},"schema":"https://github.com/citation-style-language/schema/raw/master/csl-citation.json"}</w:instrText>
      </w:r>
      <w:r w:rsidR="00680969" w:rsidRPr="003E0363">
        <w:rPr>
          <w:b w:val="0"/>
          <w:bCs w:val="0"/>
          <w:color w:val="000000"/>
          <w:kern w:val="0"/>
          <w:sz w:val="22"/>
          <w:szCs w:val="22"/>
        </w:rPr>
        <w:fldChar w:fldCharType="separate"/>
      </w:r>
      <w:r w:rsidR="00680969" w:rsidRPr="003E0363">
        <w:rPr>
          <w:b w:val="0"/>
          <w:bCs w:val="0"/>
          <w:noProof/>
          <w:color w:val="000000"/>
          <w:kern w:val="0"/>
          <w:sz w:val="22"/>
          <w:szCs w:val="22"/>
        </w:rPr>
        <w:t xml:space="preserve">(Gorelick </w:t>
      </w:r>
      <w:r w:rsidR="00680969" w:rsidRPr="003E0363">
        <w:rPr>
          <w:b w:val="0"/>
          <w:bCs w:val="0"/>
          <w:i/>
          <w:noProof/>
          <w:color w:val="000000"/>
          <w:kern w:val="0"/>
          <w:sz w:val="22"/>
          <w:szCs w:val="22"/>
        </w:rPr>
        <w:t>et al.</w:t>
      </w:r>
      <w:r w:rsidR="00680969" w:rsidRPr="003E0363">
        <w:rPr>
          <w:b w:val="0"/>
          <w:bCs w:val="0"/>
          <w:noProof/>
          <w:color w:val="000000"/>
          <w:kern w:val="0"/>
          <w:sz w:val="22"/>
          <w:szCs w:val="22"/>
        </w:rPr>
        <w:t>, 2017)</w:t>
      </w:r>
      <w:r w:rsidR="00680969" w:rsidRPr="003E0363">
        <w:rPr>
          <w:b w:val="0"/>
          <w:bCs w:val="0"/>
          <w:color w:val="000000"/>
          <w:kern w:val="0"/>
          <w:sz w:val="22"/>
          <w:szCs w:val="22"/>
        </w:rPr>
        <w:fldChar w:fldCharType="end"/>
      </w:r>
      <w:r w:rsidR="00680969" w:rsidRPr="003E0363">
        <w:rPr>
          <w:b w:val="0"/>
          <w:bCs w:val="0"/>
          <w:color w:val="000000"/>
          <w:kern w:val="0"/>
          <w:sz w:val="22"/>
          <w:szCs w:val="22"/>
        </w:rPr>
        <w:t>.</w:t>
      </w:r>
    </w:p>
    <w:p w14:paraId="65262094" w14:textId="77777777" w:rsidR="003E0363" w:rsidRDefault="00143998">
      <w:pPr>
        <w:pStyle w:val="Heading1"/>
        <w:spacing w:before="280" w:after="280"/>
        <w:ind w:left="0"/>
        <w:rPr>
          <w:color w:val="000000"/>
          <w:kern w:val="0"/>
          <w:sz w:val="22"/>
          <w:szCs w:val="22"/>
        </w:rPr>
      </w:pPr>
      <w:bookmarkStart w:id="2" w:name="_Toc55746269"/>
      <w:r w:rsidRPr="003E0363">
        <w:rPr>
          <w:color w:val="000000"/>
          <w:kern w:val="0"/>
          <w:sz w:val="22"/>
          <w:szCs w:val="22"/>
        </w:rPr>
        <w:t>Reference data</w:t>
      </w:r>
      <w:bookmarkEnd w:id="2"/>
    </w:p>
    <w:p w14:paraId="3405CEC6" w14:textId="02BCC834" w:rsidR="00181377" w:rsidRPr="003E0363" w:rsidRDefault="00143998">
      <w:pPr>
        <w:pStyle w:val="Heading1"/>
        <w:spacing w:before="280" w:after="280"/>
        <w:ind w:left="0"/>
        <w:rPr>
          <w:b w:val="0"/>
          <w:bCs w:val="0"/>
          <w:color w:val="000000"/>
          <w:kern w:val="0"/>
          <w:sz w:val="22"/>
          <w:szCs w:val="22"/>
        </w:rPr>
      </w:pPr>
      <w:r w:rsidRPr="003E0363">
        <w:rPr>
          <w:b w:val="0"/>
          <w:bCs w:val="0"/>
          <w:color w:val="000000"/>
          <w:kern w:val="0"/>
          <w:sz w:val="22"/>
          <w:szCs w:val="22"/>
        </w:rPr>
        <w:t xml:space="preserve">Coca, cattle and forest plots come from official and published sources on an annual basis from 2009-2018. Coca patches were partially obtained only within Protected Areas from SIMCI. Coca plots are visually delineated using high-resolution imagery and confirmed by aerial inspection </w:t>
      </w:r>
      <w:r w:rsidRPr="003E0363">
        <w:rPr>
          <w:sz w:val="22"/>
          <w:szCs w:val="22"/>
        </w:rPr>
        <w:fldChar w:fldCharType="begin" w:fldLock="1"/>
      </w:r>
      <w:r w:rsidR="0000039A" w:rsidRPr="003E0363">
        <w:rPr>
          <w:b w:val="0"/>
          <w:bCs w:val="0"/>
          <w:color w:val="000000"/>
          <w:kern w:val="0"/>
          <w:sz w:val="22"/>
          <w:szCs w:val="22"/>
        </w:rPr>
        <w:instrText>ADDIN CSL_CITATION {"citationItems":[{"id":"ITEM-1","itemData":{"author":[{"dropping-particle":"","family":"UNODC-SIMCI","given":"","non-dropping-particle":"","parse-names":false,"suffix":""}],"id":"ITEM-1","issued":{"date-parts":[["2017"]]},"number-of-pages":"172","publisher-place":"Bogota, Colombia","title":"Monitoreo de territorios afectados por cultivos ilícitos 2017","type":"report"},"uris":["http://www.mendeley.com/documents/?uuid=a7ffdd71-c014-48f3-8dd7-54a9507b1d85"]}],"mendeley":{"formattedCitation":"(UNODC-SIMCI, 2017)","plainTextFormattedCitation":"(UNODC-SIMCI, 2017)","previouslyFormattedCitation":"(UNODC-SIMCI, 2017)"},"properties":{"noteIndex":0},"schema":"https://github.com/citation-style-language/schema/raw/master/csl-citation.json"}</w:instrText>
      </w:r>
      <w:r w:rsidRPr="003E0363">
        <w:rPr>
          <w:b w:val="0"/>
          <w:bCs w:val="0"/>
          <w:color w:val="000000"/>
          <w:kern w:val="0"/>
          <w:sz w:val="22"/>
          <w:szCs w:val="22"/>
        </w:rPr>
        <w:fldChar w:fldCharType="separate"/>
      </w:r>
      <w:r w:rsidRPr="003E0363">
        <w:rPr>
          <w:b w:val="0"/>
          <w:bCs w:val="0"/>
          <w:noProof/>
          <w:color w:val="000000"/>
          <w:kern w:val="0"/>
          <w:sz w:val="22"/>
          <w:szCs w:val="22"/>
        </w:rPr>
        <w:t>(UNODC-SIMCI, 2017)</w:t>
      </w:r>
      <w:r w:rsidRPr="003E0363">
        <w:rPr>
          <w:b w:val="0"/>
          <w:bCs w:val="0"/>
          <w:color w:val="000000"/>
          <w:kern w:val="0"/>
          <w:sz w:val="22"/>
          <w:szCs w:val="22"/>
        </w:rPr>
        <w:fldChar w:fldCharType="end"/>
      </w:r>
      <w:r w:rsidRPr="003E0363">
        <w:rPr>
          <w:b w:val="0"/>
          <w:bCs w:val="0"/>
          <w:color w:val="000000"/>
          <w:kern w:val="0"/>
          <w:sz w:val="22"/>
          <w:szCs w:val="22"/>
        </w:rPr>
        <w:t>. While methodological limitations for coca plots remain and comparison with statistical projections suggest</w:t>
      </w:r>
      <w:r w:rsidR="002A181C" w:rsidRPr="003E0363">
        <w:rPr>
          <w:b w:val="0"/>
          <w:bCs w:val="0"/>
          <w:color w:val="000000"/>
          <w:kern w:val="0"/>
          <w:sz w:val="22"/>
          <w:szCs w:val="22"/>
        </w:rPr>
        <w:t>s</w:t>
      </w:r>
      <w:r w:rsidRPr="003E0363">
        <w:rPr>
          <w:b w:val="0"/>
          <w:bCs w:val="0"/>
          <w:color w:val="000000"/>
          <w:kern w:val="0"/>
          <w:sz w:val="22"/>
          <w:szCs w:val="22"/>
        </w:rPr>
        <w:t xml:space="preserve"> that coca area tends to be underestimated </w:t>
      </w:r>
      <w:r w:rsidRPr="003E0363">
        <w:rPr>
          <w:sz w:val="22"/>
          <w:szCs w:val="22"/>
        </w:rPr>
        <w:fldChar w:fldCharType="begin" w:fldLock="1"/>
      </w:r>
      <w:r w:rsidR="0000039A" w:rsidRPr="003E0363">
        <w:rPr>
          <w:b w:val="0"/>
          <w:bCs w:val="0"/>
          <w:color w:val="000000"/>
          <w:kern w:val="0"/>
          <w:sz w:val="22"/>
          <w:szCs w:val="22"/>
        </w:rPr>
        <w:instrText>ADDIN CSL_CITATION {"citationItems":[{"id":"ITEM-1","itemData":{"author":[{"dropping-particle":"","family":"Uribe","given":"Sergio","non-dropping-particle":"","parse-names":false,"suffix":""}],"container-title":"Razon Publica","id":"ITEM-1","issued":{"date-parts":[["2019"]]},"title":"¿Quién tiene la razón en las cifras sobre coca, la ONU o la Casa Blanca?","type":"article-newspaper"},"uris":["http://www.mendeley.com/documents/?uuid=d9c083ae-138e-4065-878a-31ae23bcc56c"]}],"mendeley":{"formattedCitation":"(Uribe, 2019)","plainTextFormattedCitation":"(Uribe, 2019)","previouslyFormattedCitation":"(Uribe, 2019)"},"properties":{"noteIndex":0},"schema":"https://github.com/citation-style-language/schema/raw/master/csl-citation.json"}</w:instrText>
      </w:r>
      <w:r w:rsidRPr="003E0363">
        <w:rPr>
          <w:b w:val="0"/>
          <w:bCs w:val="0"/>
          <w:color w:val="000000"/>
          <w:kern w:val="0"/>
          <w:sz w:val="22"/>
          <w:szCs w:val="22"/>
        </w:rPr>
        <w:fldChar w:fldCharType="separate"/>
      </w:r>
      <w:r w:rsidRPr="003E0363">
        <w:rPr>
          <w:b w:val="0"/>
          <w:bCs w:val="0"/>
          <w:noProof/>
          <w:color w:val="000000"/>
          <w:kern w:val="0"/>
          <w:sz w:val="22"/>
          <w:szCs w:val="22"/>
        </w:rPr>
        <w:t>(Uribe, 2019)</w:t>
      </w:r>
      <w:r w:rsidRPr="003E0363">
        <w:rPr>
          <w:b w:val="0"/>
          <w:bCs w:val="0"/>
          <w:color w:val="000000"/>
          <w:kern w:val="0"/>
          <w:sz w:val="22"/>
          <w:szCs w:val="22"/>
        </w:rPr>
        <w:fldChar w:fldCharType="end"/>
      </w:r>
      <w:r w:rsidRPr="003E0363">
        <w:rPr>
          <w:b w:val="0"/>
          <w:bCs w:val="0"/>
          <w:color w:val="000000"/>
          <w:kern w:val="0"/>
          <w:sz w:val="22"/>
          <w:szCs w:val="22"/>
        </w:rPr>
        <w:t xml:space="preserve">, coca records within PAs are well-documented to be employed as training data. Cattle and forest plots were obtained through the combination of land cover maps within and outside PAs </w:t>
      </w:r>
      <w:r w:rsidRPr="003E0363">
        <w:rPr>
          <w:sz w:val="22"/>
          <w:szCs w:val="22"/>
        </w:rPr>
        <w:fldChar w:fldCharType="begin" w:fldLock="1"/>
      </w:r>
      <w:r w:rsidR="00680969" w:rsidRPr="003E0363">
        <w:rPr>
          <w:b w:val="0"/>
          <w:bCs w:val="0"/>
          <w:color w:val="000000"/>
          <w:kern w:val="0"/>
          <w:sz w:val="22"/>
          <w:szCs w:val="22"/>
        </w:rPr>
        <w:instrText>ADDIN CSL_CITATION {"citationItems":[{"id":"ITEM-1","itemData":{"DOI":"10.3390/f9050269","ISSN":"19994907","abstract":"© 2018 by the authors. The Colombian Andes foothills have seen an expansion of forest disturbance since the 1950s. While understanding the drivers of disturbance is important for quantifying the implications of land use change on regional biodiversity, methods for attributing disturbance to specific drivers of change at a high temporal and spatial resolution are still lacking in the Andes region, in part due to persistent cloud cover. Using 20 years of Landsat images (1996-2015) covering Picachos National Park in the Colombian Andes, we detected sub-annual forest cover disturbances using the Breaks For Additive Season and Trend (BFAST) Monitor algorithm; characterized different types of disturbance using spectral, spatial, and topographic indicators; and attributed causes of forest disturbance such as conversion to pasture, conversion to agriculture, and non-stand replacing disturbance (i.e., thinning) using a Random Forest (RF) classifier. Conversion to pasture has been the main driver of forest disturbance in Picachos, responsible for 11,395 ± 72 ha (17%) of forest cover loss, followed by non-stand replacing disturbance and conversion to agriculture. Disturbance detection had 96% overall agreement with validation data, although we had a high omission error of 21% primarily associated with forest to agriculture conversion. Other change drivers had a much more reliable attribution with forest to pasture conversion or non-stand-replacing disturbance, showing only 1-5% commission and 2-14% omission errors. Our results provide spatially-explicit information on sub-annual disturbances and associated drivers of change that are necessary for evaluating and improving domestic conservation efforts and establishing systematic ecological observations, which is currently absent from Colombia. While effective at revealing forest change dynamics in a geographically remote and socio-politically complex region like Picachos, our approach is highly automated and it can be easily extended to the rest of Andes-Amazon transition belt where low availability of remote sensing data and high cloud cover impede efforts at consistent monitoring of forest cover change dynamics and drivers.","author":[{"dropping-particle":"","family":"Murillo-Sandoval","given":"Paulo J.","non-dropping-particle":"","parse-names":false,"suffix":""},{"dropping-particle":"","family":"Hilker","given":"Thomas","non-dropping-particle":"","parse-names":false,"suffix":""},{"dropping-particle":"","family":"Krawchuk","given":"Meg A.","non-dropping-particle":"","parse-names":false,"suffix":""},{"dropping-particle":"","family":"Hoek","given":"Jamon","non-dropping-particle":"Van Den","parse-names":false,"suffix":""}],"container-title":"Forests","id":"ITEM-1","issue":"5","issued":{"date-parts":[["2018"]]},"page":"1-16","title":"Detecting and attributing drivers of forest disturbance in the Colombian andes using landsat time-series","type":"article-journal","volume":"9"},"uris":["http://www.mendeley.com/documents/?uuid=69075dd8-4b42-4bb5-9f02-85452fc153df"]}],"mendeley":{"formattedCitation":"(Murillo-Sandoval &lt;i&gt;et al.&lt;/i&gt;, 2018)","plainTextFormattedCitation":"(Murillo-Sandoval et al., 2018)","previouslyFormattedCitation":"(Murillo-Sandoval &lt;i&gt;et al.&lt;/i&gt;, 2018)"},"properties":{"noteIndex":0},"schema":"https://github.com/citation-style-language/schema/raw/master/csl-citation.json"}</w:instrText>
      </w:r>
      <w:r w:rsidRPr="003E0363">
        <w:rPr>
          <w:b w:val="0"/>
          <w:bCs w:val="0"/>
          <w:color w:val="000000"/>
          <w:kern w:val="0"/>
          <w:sz w:val="22"/>
          <w:szCs w:val="22"/>
        </w:rPr>
        <w:fldChar w:fldCharType="separate"/>
      </w:r>
      <w:r w:rsidR="0000039A" w:rsidRPr="003E0363">
        <w:rPr>
          <w:b w:val="0"/>
          <w:bCs w:val="0"/>
          <w:noProof/>
          <w:color w:val="000000"/>
          <w:kern w:val="0"/>
          <w:sz w:val="22"/>
          <w:szCs w:val="22"/>
        </w:rPr>
        <w:t xml:space="preserve">(Murillo-Sandoval </w:t>
      </w:r>
      <w:r w:rsidR="0000039A" w:rsidRPr="003E0363">
        <w:rPr>
          <w:b w:val="0"/>
          <w:bCs w:val="0"/>
          <w:i/>
          <w:noProof/>
          <w:color w:val="000000"/>
          <w:kern w:val="0"/>
          <w:sz w:val="22"/>
          <w:szCs w:val="22"/>
        </w:rPr>
        <w:t>et al.</w:t>
      </w:r>
      <w:r w:rsidR="0000039A" w:rsidRPr="003E0363">
        <w:rPr>
          <w:b w:val="0"/>
          <w:bCs w:val="0"/>
          <w:noProof/>
          <w:color w:val="000000"/>
          <w:kern w:val="0"/>
          <w:sz w:val="22"/>
          <w:szCs w:val="22"/>
        </w:rPr>
        <w:t>, 2018)</w:t>
      </w:r>
      <w:r w:rsidRPr="003E0363">
        <w:rPr>
          <w:b w:val="0"/>
          <w:bCs w:val="0"/>
          <w:color w:val="000000"/>
          <w:kern w:val="0"/>
          <w:sz w:val="22"/>
          <w:szCs w:val="22"/>
        </w:rPr>
        <w:fldChar w:fldCharType="end"/>
      </w:r>
      <w:r w:rsidRPr="003E0363">
        <w:rPr>
          <w:b w:val="0"/>
          <w:bCs w:val="0"/>
          <w:color w:val="000000"/>
          <w:kern w:val="0"/>
          <w:sz w:val="22"/>
          <w:szCs w:val="22"/>
        </w:rPr>
        <w:t xml:space="preserve">; Murillo et al., in review) and </w:t>
      </w:r>
      <w:proofErr w:type="spellStart"/>
      <w:r w:rsidRPr="003E0363">
        <w:rPr>
          <w:b w:val="0"/>
          <w:bCs w:val="0"/>
          <w:color w:val="000000"/>
          <w:kern w:val="0"/>
          <w:sz w:val="22"/>
          <w:szCs w:val="22"/>
        </w:rPr>
        <w:t>Corine</w:t>
      </w:r>
      <w:proofErr w:type="spellEnd"/>
      <w:r w:rsidRPr="003E0363">
        <w:rPr>
          <w:b w:val="0"/>
          <w:bCs w:val="0"/>
          <w:color w:val="000000"/>
          <w:kern w:val="0"/>
          <w:sz w:val="22"/>
          <w:szCs w:val="22"/>
        </w:rPr>
        <w:t xml:space="preserve"> Land Cover (CLC) map. Cattle farms size might range between 80 and 390 ha</w:t>
      </w:r>
      <w:r w:rsidR="002A181C" w:rsidRPr="003E0363">
        <w:rPr>
          <w:b w:val="0"/>
          <w:bCs w:val="0"/>
          <w:color w:val="000000"/>
          <w:kern w:val="0"/>
          <w:sz w:val="22"/>
          <w:szCs w:val="22"/>
        </w:rPr>
        <w:t>;</w:t>
      </w:r>
      <w:r w:rsidRPr="003E0363">
        <w:rPr>
          <w:b w:val="0"/>
          <w:bCs w:val="0"/>
          <w:color w:val="000000"/>
          <w:kern w:val="0"/>
          <w:sz w:val="22"/>
          <w:szCs w:val="22"/>
        </w:rPr>
        <w:t xml:space="preserve"> the remaining forest within them varies between 50-63% leading to smaller areas exclusively dedicated to cattle </w:t>
      </w:r>
      <w:r w:rsidRPr="003E0363">
        <w:rPr>
          <w:sz w:val="22"/>
          <w:szCs w:val="22"/>
        </w:rPr>
        <w:fldChar w:fldCharType="begin" w:fldLock="1"/>
      </w:r>
      <w:r w:rsidR="0000039A" w:rsidRPr="003E0363">
        <w:rPr>
          <w:b w:val="0"/>
          <w:bCs w:val="0"/>
          <w:color w:val="000000"/>
          <w:kern w:val="0"/>
          <w:sz w:val="22"/>
          <w:szCs w:val="22"/>
        </w:rPr>
        <w:instrText>ADDIN CSL_CITATION {"citationItems":[{"id":"ITEM-1","itemData":{"ISBN":"9789563589610","author":[{"dropping-particle":"","family":"UAESPNN","given":"","non-dropping-particle":"","parse-names":false,"suffix":""}],"id":"ITEM-1","issued":{"date-parts":[["2015"]]},"number-of-pages":"118","title":"Convenio de Asociación Tripartita P.E. GDE.1.4.7.1.14.022 Suscrito entre Parques Nacionales Naturales, Cormacarena y Patrimonio Natural Fondo para la Diversidad y Áreas Protegidas. UAESPNN–Dirección Territorial Costa Orinoquia: Bogota, Colombia; p. 118.","type":"report"},"uris":["http://www.mendeley.com/documents/?uuid=9253170e-1657-4be3-b3ee-7fde777df9db"]}],"mendeley":{"formattedCitation":"(UAESPNN, 2015)","plainTextFormattedCitation":"(UAESPNN, 2015)","previouslyFormattedCitation":"(UAESPNN, 2015)"},"properties":{"noteIndex":0},"schema":"https://github.com/citation-style-language/schema/raw/master/csl-citation.json"}</w:instrText>
      </w:r>
      <w:r w:rsidRPr="003E0363">
        <w:rPr>
          <w:b w:val="0"/>
          <w:bCs w:val="0"/>
          <w:color w:val="000000"/>
          <w:kern w:val="0"/>
          <w:sz w:val="22"/>
          <w:szCs w:val="22"/>
        </w:rPr>
        <w:fldChar w:fldCharType="separate"/>
      </w:r>
      <w:r w:rsidRPr="003E0363">
        <w:rPr>
          <w:b w:val="0"/>
          <w:bCs w:val="0"/>
          <w:noProof/>
          <w:color w:val="000000"/>
          <w:kern w:val="0"/>
          <w:sz w:val="22"/>
          <w:szCs w:val="22"/>
        </w:rPr>
        <w:t>(UAESPNN, 2015)</w:t>
      </w:r>
      <w:r w:rsidRPr="003E0363">
        <w:rPr>
          <w:b w:val="0"/>
          <w:bCs w:val="0"/>
          <w:color w:val="000000"/>
          <w:kern w:val="0"/>
          <w:sz w:val="22"/>
          <w:szCs w:val="22"/>
        </w:rPr>
        <w:fldChar w:fldCharType="end"/>
      </w:r>
      <w:r w:rsidRPr="003E0363">
        <w:rPr>
          <w:b w:val="0"/>
          <w:bCs w:val="0"/>
          <w:color w:val="000000"/>
          <w:kern w:val="0"/>
          <w:sz w:val="22"/>
          <w:szCs w:val="22"/>
        </w:rPr>
        <w:t>. To improve cattle detection, annual pastures were spatially constrained using CLC</w:t>
      </w:r>
      <w:r w:rsidR="002A181C" w:rsidRPr="003E0363">
        <w:rPr>
          <w:b w:val="0"/>
          <w:bCs w:val="0"/>
          <w:color w:val="000000"/>
          <w:kern w:val="0"/>
          <w:sz w:val="22"/>
          <w:szCs w:val="22"/>
        </w:rPr>
        <w:t>,</w:t>
      </w:r>
      <w:r w:rsidRPr="003E0363">
        <w:rPr>
          <w:b w:val="0"/>
          <w:bCs w:val="0"/>
          <w:color w:val="000000"/>
          <w:kern w:val="0"/>
          <w:sz w:val="22"/>
          <w:szCs w:val="22"/>
        </w:rPr>
        <w:t xml:space="preserve"> and only patches greater than 25 ha were selected. We further corroborated cattle areas using high-resolution imagery available </w:t>
      </w:r>
      <w:r w:rsidR="002A181C" w:rsidRPr="003E0363">
        <w:rPr>
          <w:b w:val="0"/>
          <w:bCs w:val="0"/>
          <w:color w:val="000000"/>
          <w:kern w:val="0"/>
          <w:sz w:val="22"/>
          <w:szCs w:val="22"/>
        </w:rPr>
        <w:t>o</w:t>
      </w:r>
      <w:r w:rsidRPr="003E0363">
        <w:rPr>
          <w:b w:val="0"/>
          <w:bCs w:val="0"/>
          <w:color w:val="000000"/>
          <w:kern w:val="0"/>
          <w:sz w:val="22"/>
          <w:szCs w:val="22"/>
        </w:rPr>
        <w:t>n Google Earth. </w:t>
      </w:r>
    </w:p>
    <w:p w14:paraId="4A3AF8D5" w14:textId="77777777" w:rsidR="003E0363" w:rsidRDefault="00143998">
      <w:pPr>
        <w:pStyle w:val="Heading1"/>
        <w:spacing w:before="280" w:after="280"/>
        <w:ind w:left="0"/>
        <w:rPr>
          <w:color w:val="000000"/>
          <w:kern w:val="0"/>
          <w:sz w:val="22"/>
          <w:szCs w:val="22"/>
        </w:rPr>
      </w:pPr>
      <w:bookmarkStart w:id="3" w:name="_Toc55746270"/>
      <w:r w:rsidRPr="003E0363">
        <w:rPr>
          <w:color w:val="000000"/>
          <w:kern w:val="0"/>
          <w:sz w:val="22"/>
          <w:szCs w:val="22"/>
        </w:rPr>
        <w:t>Training dataset</w:t>
      </w:r>
      <w:bookmarkEnd w:id="3"/>
    </w:p>
    <w:p w14:paraId="5DDA588C" w14:textId="4C10295E" w:rsidR="00181377" w:rsidRDefault="00143998">
      <w:pPr>
        <w:pStyle w:val="Heading1"/>
        <w:spacing w:before="280" w:after="280"/>
        <w:ind w:left="0"/>
        <w:rPr>
          <w:b w:val="0"/>
          <w:bCs w:val="0"/>
          <w:color w:val="000000"/>
          <w:kern w:val="0"/>
          <w:sz w:val="22"/>
          <w:szCs w:val="22"/>
        </w:rPr>
      </w:pPr>
      <w:r w:rsidRPr="003E0363">
        <w:rPr>
          <w:b w:val="0"/>
          <w:bCs w:val="0"/>
          <w:color w:val="000000"/>
          <w:kern w:val="0"/>
          <w:sz w:val="22"/>
          <w:szCs w:val="22"/>
        </w:rPr>
        <w:t>We developed a dataset capable of training a semantic segmentation deep learning model using the wall-to-wall time-series of composited satellite imagery and the wall-to-wall reference maps. To develop the dataset, we first spatially partitioned the study area into a 19,230m grid (</w:t>
      </w:r>
      <w:r w:rsidR="00AC4920" w:rsidRPr="00AC4920">
        <w:rPr>
          <w:color w:val="000000"/>
          <w:kern w:val="0"/>
          <w:sz w:val="22"/>
          <w:szCs w:val="22"/>
        </w:rPr>
        <w:t>Fig S1</w:t>
      </w:r>
      <w:r w:rsidRPr="003E0363">
        <w:rPr>
          <w:b w:val="0"/>
          <w:bCs w:val="0"/>
          <w:color w:val="000000"/>
          <w:kern w:val="0"/>
          <w:sz w:val="22"/>
          <w:szCs w:val="22"/>
        </w:rPr>
        <w:t>). From each spatial partition, we extracted training examples to populate the modeling dataset. Each training example consists of a 128-by-128-pixel window extracted from of the Landsat imagery and DEM and a spatially coincident 128-by-128-pixel window extracted from the reference map. To maximize the amount of data drawn, we extract overlapping windowed subsets from each spatial partition (</w:t>
      </w:r>
      <w:r w:rsidRPr="00AC4920">
        <w:rPr>
          <w:color w:val="000000"/>
          <w:kern w:val="0"/>
          <w:sz w:val="22"/>
          <w:szCs w:val="22"/>
        </w:rPr>
        <w:t>Fig</w:t>
      </w:r>
      <w:r w:rsidR="00AC4920">
        <w:rPr>
          <w:color w:val="000000"/>
          <w:kern w:val="0"/>
          <w:sz w:val="22"/>
          <w:szCs w:val="22"/>
        </w:rPr>
        <w:t xml:space="preserve"> S</w:t>
      </w:r>
      <w:r w:rsidRPr="00AC4920">
        <w:rPr>
          <w:color w:val="000000"/>
          <w:kern w:val="0"/>
          <w:sz w:val="22"/>
          <w:szCs w:val="22"/>
        </w:rPr>
        <w:t>2</w:t>
      </w:r>
      <w:r w:rsidRPr="003E0363">
        <w:rPr>
          <w:b w:val="0"/>
          <w:bCs w:val="0"/>
          <w:color w:val="000000"/>
          <w:kern w:val="0"/>
          <w:sz w:val="22"/>
          <w:szCs w:val="22"/>
        </w:rPr>
        <w:t xml:space="preserve">). Each example was allow to overlap previous example drawn by 96 pixels. Within each partition, we repeated the overlapped extraction for each year we possessed reference data. Given we possessed a census of coca locations in 2008, all possible 128-by-128 examples were drawn from all spatial partitions in 2008. For the other years of the time-series, only examples where the reference label contained coca were included in the modeling dataset. This sampling procedure was found to balance the label error rate and helped to address the imbalance between the classes. In total, 329,804 examples were extracted to form the modeling dataset used in this analysis.  </w:t>
      </w:r>
    </w:p>
    <w:p w14:paraId="34142768" w14:textId="77777777" w:rsidR="00E0607F" w:rsidRPr="00E0607F" w:rsidRDefault="00E0607F" w:rsidP="00E0607F"/>
    <w:p w14:paraId="1BE63CB3" w14:textId="05BE8305" w:rsidR="00AC4920" w:rsidRDefault="00AC4920" w:rsidP="004F549B">
      <w:pPr>
        <w:pStyle w:val="Heading1"/>
        <w:spacing w:after="280"/>
        <w:ind w:left="0"/>
      </w:pPr>
      <w:bookmarkStart w:id="4" w:name="_Toc55746271"/>
      <w:r w:rsidRPr="003E0363">
        <w:rPr>
          <w:noProof/>
          <w:lang w:val="en-IN" w:eastAsia="en-IN"/>
        </w:rPr>
        <w:lastRenderedPageBreak/>
        <w:drawing>
          <wp:anchor distT="0" distB="0" distL="0" distR="0" simplePos="0" relativeHeight="251659264" behindDoc="0" locked="0" layoutInCell="1" allowOverlap="1" wp14:anchorId="51EF1412" wp14:editId="64C26DD5">
            <wp:simplePos x="0" y="0"/>
            <wp:positionH relativeFrom="margin">
              <wp:align>center</wp:align>
            </wp:positionH>
            <wp:positionV relativeFrom="paragraph">
              <wp:posOffset>10116</wp:posOffset>
            </wp:positionV>
            <wp:extent cx="4884420" cy="3488690"/>
            <wp:effectExtent l="0" t="0" r="0" b="0"/>
            <wp:wrapSquare wrapText="largest"/>
            <wp:docPr id="1" name="Image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Map&#10;&#10;Description automatically generated"/>
                    <pic:cNvPicPr>
                      <a:picLocks noChangeAspect="1" noChangeArrowheads="1"/>
                    </pic:cNvPicPr>
                  </pic:nvPicPr>
                  <pic:blipFill>
                    <a:blip r:embed="rId6"/>
                    <a:stretch>
                      <a:fillRect/>
                    </a:stretch>
                  </pic:blipFill>
                  <pic:spPr bwMode="auto">
                    <a:xfrm>
                      <a:off x="0" y="0"/>
                      <a:ext cx="4884420" cy="3488690"/>
                    </a:xfrm>
                    <a:prstGeom prst="rect">
                      <a:avLst/>
                    </a:prstGeom>
                  </pic:spPr>
                </pic:pic>
              </a:graphicData>
            </a:graphic>
          </wp:anchor>
        </w:drawing>
      </w:r>
    </w:p>
    <w:p w14:paraId="7BCD2EE8" w14:textId="098D75B1" w:rsidR="00AC4920" w:rsidRDefault="00AC4920" w:rsidP="00AC4920"/>
    <w:p w14:paraId="12E8C113" w14:textId="0643AB1B" w:rsidR="00AC4920" w:rsidRDefault="00AC4920" w:rsidP="00AC4920"/>
    <w:p w14:paraId="6D07DCEF" w14:textId="61B3AA84" w:rsidR="00AC4920" w:rsidRDefault="00AC4920" w:rsidP="00AC4920"/>
    <w:p w14:paraId="44A18729" w14:textId="03CAF761" w:rsidR="00AC4920" w:rsidRDefault="00AC4920" w:rsidP="00AC4920"/>
    <w:p w14:paraId="1C8102A8" w14:textId="1C4FA646" w:rsidR="00AC4920" w:rsidRDefault="00AC4920" w:rsidP="00AC4920"/>
    <w:p w14:paraId="36AA8A98" w14:textId="77777777" w:rsidR="00AC4920" w:rsidRPr="00AC4920" w:rsidRDefault="00AC4920" w:rsidP="00AC4920"/>
    <w:p w14:paraId="6AE34EEF" w14:textId="77777777" w:rsidR="00AC4920" w:rsidRDefault="00AC4920">
      <w:pPr>
        <w:pStyle w:val="Heading1"/>
        <w:spacing w:after="280"/>
        <w:ind w:left="0"/>
        <w:rPr>
          <w:color w:val="000000"/>
          <w:kern w:val="0"/>
          <w:sz w:val="22"/>
          <w:szCs w:val="22"/>
        </w:rPr>
      </w:pPr>
    </w:p>
    <w:p w14:paraId="2A11DDE4" w14:textId="77777777" w:rsidR="00AC4920" w:rsidRDefault="00AC4920">
      <w:pPr>
        <w:pStyle w:val="Heading1"/>
        <w:spacing w:after="280"/>
        <w:ind w:left="0"/>
        <w:rPr>
          <w:color w:val="000000"/>
          <w:kern w:val="0"/>
          <w:sz w:val="22"/>
          <w:szCs w:val="22"/>
        </w:rPr>
      </w:pPr>
    </w:p>
    <w:p w14:paraId="0FF716D3" w14:textId="77777777" w:rsidR="00AC4920" w:rsidRDefault="00AC4920">
      <w:pPr>
        <w:pStyle w:val="Heading1"/>
        <w:spacing w:after="280"/>
        <w:ind w:left="0"/>
        <w:rPr>
          <w:color w:val="000000"/>
          <w:kern w:val="0"/>
          <w:sz w:val="22"/>
          <w:szCs w:val="22"/>
        </w:rPr>
      </w:pPr>
    </w:p>
    <w:p w14:paraId="6C763515" w14:textId="77777777" w:rsidR="00AC4920" w:rsidRDefault="00AC4920">
      <w:pPr>
        <w:pStyle w:val="Heading1"/>
        <w:spacing w:after="280"/>
        <w:ind w:left="0"/>
        <w:rPr>
          <w:color w:val="000000"/>
          <w:kern w:val="0"/>
          <w:sz w:val="22"/>
          <w:szCs w:val="22"/>
        </w:rPr>
      </w:pPr>
    </w:p>
    <w:p w14:paraId="1AB450A3" w14:textId="77777777" w:rsidR="004F549B" w:rsidRDefault="004F549B" w:rsidP="00AC4920">
      <w:pPr>
        <w:rPr>
          <w:rFonts w:ascii="Times New Roman" w:hAnsi="Times New Roman" w:cs="Times New Roman"/>
          <w:b/>
          <w:bCs/>
        </w:rPr>
      </w:pPr>
    </w:p>
    <w:p w14:paraId="76669730" w14:textId="0EC800DE" w:rsidR="00AC4920" w:rsidRDefault="00AC4920" w:rsidP="00AC4920">
      <w:pPr>
        <w:rPr>
          <w:rFonts w:ascii="Times New Roman" w:hAnsi="Times New Roman" w:cs="Times New Roman"/>
          <w:color w:val="000000"/>
        </w:rPr>
      </w:pPr>
      <w:r w:rsidRPr="003E0363">
        <w:rPr>
          <w:rFonts w:ascii="Times New Roman" w:hAnsi="Times New Roman" w:cs="Times New Roman"/>
          <w:b/>
          <w:bCs/>
        </w:rPr>
        <w:t xml:space="preserve">Fig </w:t>
      </w:r>
      <w:r>
        <w:rPr>
          <w:rFonts w:ascii="Times New Roman" w:hAnsi="Times New Roman" w:cs="Times New Roman"/>
          <w:b/>
          <w:bCs/>
        </w:rPr>
        <w:t>S1</w:t>
      </w:r>
      <w:r w:rsidRPr="003E0363">
        <w:rPr>
          <w:rFonts w:ascii="Times New Roman" w:hAnsi="Times New Roman" w:cs="Times New Roman"/>
        </w:rPr>
        <w:t>. The 19,320m spatial partitions used in this analysis to stratify the study area. The colors correspond to the modeling folds used during the spatial cross validation procedure. Red is fold 1, orange is fold 2, yellow is fold 3, light blue is fold 4 and dark blue is fold 5</w:t>
      </w:r>
      <w:r w:rsidRPr="00E04288">
        <w:rPr>
          <w:rFonts w:ascii="Times New Roman" w:hAnsi="Times New Roman" w:cs="Times New Roman"/>
        </w:rPr>
        <w:t xml:space="preserve">. </w:t>
      </w:r>
      <w:r w:rsidR="00E04288" w:rsidRPr="00E04288">
        <w:rPr>
          <w:rFonts w:ascii="Times New Roman" w:hAnsi="Times New Roman" w:cs="Times New Roman"/>
          <w:color w:val="000000"/>
        </w:rPr>
        <w:t xml:space="preserve">Map created in </w:t>
      </w:r>
      <w:proofErr w:type="spellStart"/>
      <w:r w:rsidR="00E04288" w:rsidRPr="00E04288">
        <w:rPr>
          <w:rFonts w:ascii="Times New Roman" w:hAnsi="Times New Roman" w:cs="Times New Roman"/>
          <w:color w:val="000000"/>
        </w:rPr>
        <w:t>QuantumGIS</w:t>
      </w:r>
      <w:proofErr w:type="spellEnd"/>
      <w:r w:rsidR="00E04288" w:rsidRPr="00E04288">
        <w:rPr>
          <w:rFonts w:ascii="Times New Roman" w:hAnsi="Times New Roman" w:cs="Times New Roman"/>
          <w:color w:val="000000"/>
        </w:rPr>
        <w:t xml:space="preserve"> 3.16</w:t>
      </w:r>
      <w:r w:rsidR="00287301">
        <w:rPr>
          <w:rFonts w:ascii="Times New Roman" w:hAnsi="Times New Roman" w:cs="Times New Roman"/>
          <w:color w:val="000000"/>
        </w:rPr>
        <w:t xml:space="preserve"> (</w:t>
      </w:r>
      <w:hyperlink r:id="rId7" w:history="1">
        <w:r w:rsidR="00287301" w:rsidRPr="00EF430F">
          <w:rPr>
            <w:rStyle w:val="Hyperlink"/>
            <w:rFonts w:ascii="Times New Roman" w:hAnsi="Times New Roman" w:cs="Times New Roman"/>
          </w:rPr>
          <w:t>https://www.qgis.org/en/site/</w:t>
        </w:r>
      </w:hyperlink>
      <w:r w:rsidR="00287301">
        <w:rPr>
          <w:rFonts w:ascii="Times New Roman" w:hAnsi="Times New Roman" w:cs="Times New Roman"/>
          <w:color w:val="000000"/>
        </w:rPr>
        <w:t>).</w:t>
      </w:r>
    </w:p>
    <w:p w14:paraId="415DCD8F" w14:textId="09384525" w:rsidR="00AC4920" w:rsidRDefault="00AC4920" w:rsidP="00AC4920">
      <w:pPr>
        <w:rPr>
          <w:rFonts w:ascii="Times New Roman" w:hAnsi="Times New Roman" w:cs="Times New Roman"/>
        </w:rPr>
      </w:pPr>
      <w:r w:rsidRPr="003E0363">
        <w:rPr>
          <w:rFonts w:ascii="Times New Roman" w:hAnsi="Times New Roman" w:cs="Times New Roman"/>
          <w:noProof/>
          <w:lang w:val="en-IN" w:eastAsia="en-IN"/>
        </w:rPr>
        <w:drawing>
          <wp:anchor distT="0" distB="0" distL="0" distR="0" simplePos="0" relativeHeight="251661312" behindDoc="0" locked="0" layoutInCell="1" allowOverlap="1" wp14:anchorId="582F7C6A" wp14:editId="718BA8B1">
            <wp:simplePos x="0" y="0"/>
            <wp:positionH relativeFrom="column">
              <wp:posOffset>616142</wp:posOffset>
            </wp:positionH>
            <wp:positionV relativeFrom="paragraph">
              <wp:posOffset>94940</wp:posOffset>
            </wp:positionV>
            <wp:extent cx="4889500" cy="2623185"/>
            <wp:effectExtent l="0" t="0" r="0" b="0"/>
            <wp:wrapSquare wrapText="largest"/>
            <wp:docPr id="2" name="Image2" descr="A picture containing text, shoj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 picture containing text, shoji&#10;&#10;Description automatically generated"/>
                    <pic:cNvPicPr>
                      <a:picLocks noChangeAspect="1" noChangeArrowheads="1"/>
                    </pic:cNvPicPr>
                  </pic:nvPicPr>
                  <pic:blipFill>
                    <a:blip r:embed="rId8"/>
                    <a:srcRect r="785" b="1454"/>
                    <a:stretch>
                      <a:fillRect/>
                    </a:stretch>
                  </pic:blipFill>
                  <pic:spPr bwMode="auto">
                    <a:xfrm>
                      <a:off x="0" y="0"/>
                      <a:ext cx="4889500" cy="2623185"/>
                    </a:xfrm>
                    <a:prstGeom prst="rect">
                      <a:avLst/>
                    </a:prstGeom>
                  </pic:spPr>
                </pic:pic>
              </a:graphicData>
            </a:graphic>
          </wp:anchor>
        </w:drawing>
      </w:r>
    </w:p>
    <w:p w14:paraId="11CC06B5" w14:textId="5B2A00B4" w:rsidR="00AC4920" w:rsidRDefault="00AC4920" w:rsidP="00AC4920">
      <w:pPr>
        <w:rPr>
          <w:rFonts w:ascii="Times New Roman" w:hAnsi="Times New Roman" w:cs="Times New Roman"/>
        </w:rPr>
      </w:pPr>
    </w:p>
    <w:p w14:paraId="7569E702" w14:textId="7AD02DF6" w:rsidR="00AC4920" w:rsidRDefault="00AC4920" w:rsidP="00AC4920">
      <w:pPr>
        <w:rPr>
          <w:rFonts w:ascii="Times New Roman" w:hAnsi="Times New Roman" w:cs="Times New Roman"/>
        </w:rPr>
      </w:pPr>
    </w:p>
    <w:p w14:paraId="1F80287C" w14:textId="129DE91A" w:rsidR="00AC4920" w:rsidRDefault="00AC4920" w:rsidP="00AC4920">
      <w:pPr>
        <w:rPr>
          <w:rFonts w:ascii="Times New Roman" w:hAnsi="Times New Roman" w:cs="Times New Roman"/>
        </w:rPr>
      </w:pPr>
    </w:p>
    <w:p w14:paraId="4F044BEF" w14:textId="72E1E038" w:rsidR="00AC4920" w:rsidRDefault="00AC4920" w:rsidP="00AC4920">
      <w:pPr>
        <w:rPr>
          <w:rFonts w:ascii="Times New Roman" w:hAnsi="Times New Roman" w:cs="Times New Roman"/>
        </w:rPr>
      </w:pPr>
    </w:p>
    <w:p w14:paraId="5E63C0B9" w14:textId="33E56721" w:rsidR="00AC4920" w:rsidRDefault="00AC4920" w:rsidP="00AC4920">
      <w:pPr>
        <w:rPr>
          <w:rFonts w:ascii="Times New Roman" w:hAnsi="Times New Roman" w:cs="Times New Roman"/>
        </w:rPr>
      </w:pPr>
    </w:p>
    <w:p w14:paraId="02B22260" w14:textId="06DD77FF" w:rsidR="00AC4920" w:rsidRDefault="00AC4920" w:rsidP="00AC4920">
      <w:pPr>
        <w:rPr>
          <w:rFonts w:ascii="Times New Roman" w:hAnsi="Times New Roman" w:cs="Times New Roman"/>
        </w:rPr>
      </w:pPr>
    </w:p>
    <w:p w14:paraId="7951312D" w14:textId="3AD87D61" w:rsidR="00AC4920" w:rsidRDefault="00AC4920" w:rsidP="00AC4920">
      <w:pPr>
        <w:rPr>
          <w:rFonts w:ascii="Times New Roman" w:hAnsi="Times New Roman" w:cs="Times New Roman"/>
        </w:rPr>
      </w:pPr>
    </w:p>
    <w:p w14:paraId="1E4ECE7A" w14:textId="5053E8CC" w:rsidR="00AC4920" w:rsidRDefault="00AC4920" w:rsidP="00AC4920">
      <w:pPr>
        <w:rPr>
          <w:rFonts w:ascii="Times New Roman" w:hAnsi="Times New Roman" w:cs="Times New Roman"/>
        </w:rPr>
      </w:pPr>
    </w:p>
    <w:p w14:paraId="3E16C914" w14:textId="0B2CDE7C" w:rsidR="00AC4920" w:rsidRDefault="00AC4920" w:rsidP="00AC4920">
      <w:pPr>
        <w:rPr>
          <w:rFonts w:ascii="Times New Roman" w:hAnsi="Times New Roman" w:cs="Times New Roman"/>
        </w:rPr>
      </w:pPr>
    </w:p>
    <w:p w14:paraId="535FE2D5" w14:textId="4EC14E91" w:rsidR="00AC4920" w:rsidRDefault="00AC4920" w:rsidP="00AC4920">
      <w:pPr>
        <w:rPr>
          <w:rFonts w:ascii="Times New Roman" w:hAnsi="Times New Roman" w:cs="Times New Roman"/>
        </w:rPr>
      </w:pPr>
    </w:p>
    <w:p w14:paraId="36DEF5EA" w14:textId="51B0C6A2" w:rsidR="00AC4920" w:rsidRPr="003E0363" w:rsidRDefault="00AC4920" w:rsidP="00AC4920">
      <w:pPr>
        <w:rPr>
          <w:rFonts w:ascii="Times New Roman" w:hAnsi="Times New Roman" w:cs="Times New Roman"/>
        </w:rPr>
      </w:pPr>
      <w:r w:rsidRPr="003E0363">
        <w:rPr>
          <w:rFonts w:ascii="Times New Roman" w:hAnsi="Times New Roman" w:cs="Times New Roman"/>
          <w:b/>
          <w:bCs/>
        </w:rPr>
        <w:t xml:space="preserve">Fig </w:t>
      </w:r>
      <w:r>
        <w:rPr>
          <w:rFonts w:ascii="Times New Roman" w:hAnsi="Times New Roman" w:cs="Times New Roman"/>
          <w:b/>
          <w:bCs/>
        </w:rPr>
        <w:t>S</w:t>
      </w:r>
      <w:r w:rsidRPr="003E0363">
        <w:rPr>
          <w:rFonts w:ascii="Times New Roman" w:hAnsi="Times New Roman" w:cs="Times New Roman"/>
          <w:b/>
          <w:bCs/>
        </w:rPr>
        <w:t>2.</w:t>
      </w:r>
      <w:r w:rsidRPr="003E0363">
        <w:rPr>
          <w:rFonts w:ascii="Times New Roman" w:hAnsi="Times New Roman" w:cs="Times New Roman"/>
        </w:rPr>
        <w:t xml:space="preserve"> A schematic showing how samples (red outlines) were drawn from each spatial partition (black). The right exhibits how 128-by-128 pixel examples could be extracted if each example was prohibited from overlapping. The left-hand side of the figure shows how examples were extracted in this analysis. Note that the squares are the same size on each figure but the squares on the left are overlap previous examples (horizontally and/or </w:t>
      </w:r>
      <w:r w:rsidR="00325AED" w:rsidRPr="003E0363">
        <w:rPr>
          <w:rFonts w:ascii="Times New Roman" w:hAnsi="Times New Roman" w:cs="Times New Roman"/>
        </w:rPr>
        <w:t>vertically) by</w:t>
      </w:r>
      <w:r w:rsidRPr="003E0363">
        <w:rPr>
          <w:rFonts w:ascii="Times New Roman" w:hAnsi="Times New Roman" w:cs="Times New Roman"/>
        </w:rPr>
        <w:t xml:space="preserve"> 96 pixels. </w:t>
      </w:r>
    </w:p>
    <w:p w14:paraId="167D8B1C" w14:textId="165FD5C4" w:rsidR="003E0363" w:rsidRDefault="00143998">
      <w:pPr>
        <w:pStyle w:val="Heading1"/>
        <w:spacing w:after="280"/>
        <w:ind w:left="0"/>
        <w:rPr>
          <w:color w:val="000000"/>
          <w:kern w:val="0"/>
          <w:sz w:val="22"/>
          <w:szCs w:val="22"/>
        </w:rPr>
      </w:pPr>
      <w:r w:rsidRPr="003E0363">
        <w:rPr>
          <w:color w:val="000000"/>
          <w:kern w:val="0"/>
          <w:sz w:val="22"/>
          <w:szCs w:val="22"/>
        </w:rPr>
        <w:t>Model Architecture</w:t>
      </w:r>
      <w:bookmarkEnd w:id="4"/>
    </w:p>
    <w:p w14:paraId="1C83CBCD" w14:textId="72B23AF4" w:rsidR="00181377" w:rsidRPr="003E0363" w:rsidRDefault="00143998">
      <w:pPr>
        <w:pStyle w:val="Heading1"/>
        <w:spacing w:after="280"/>
        <w:ind w:left="0"/>
        <w:rPr>
          <w:b w:val="0"/>
          <w:bCs w:val="0"/>
          <w:color w:val="000000"/>
          <w:kern w:val="0"/>
          <w:sz w:val="22"/>
          <w:szCs w:val="22"/>
        </w:rPr>
      </w:pPr>
      <w:r w:rsidRPr="003E0363">
        <w:rPr>
          <w:b w:val="0"/>
          <w:bCs w:val="0"/>
          <w:color w:val="000000"/>
          <w:kern w:val="0"/>
          <w:sz w:val="22"/>
          <w:szCs w:val="22"/>
        </w:rPr>
        <w:t xml:space="preserve">In this analysis, we used the </w:t>
      </w:r>
      <w:proofErr w:type="spellStart"/>
      <w:r w:rsidRPr="003E0363">
        <w:rPr>
          <w:b w:val="0"/>
          <w:bCs w:val="0"/>
          <w:color w:val="000000"/>
          <w:kern w:val="0"/>
          <w:sz w:val="22"/>
          <w:szCs w:val="22"/>
        </w:rPr>
        <w:t>UNet</w:t>
      </w:r>
      <w:proofErr w:type="spellEnd"/>
      <w:r w:rsidRPr="003E0363">
        <w:rPr>
          <w:b w:val="0"/>
          <w:bCs w:val="0"/>
          <w:color w:val="000000"/>
          <w:kern w:val="0"/>
          <w:sz w:val="22"/>
          <w:szCs w:val="22"/>
        </w:rPr>
        <w:t xml:space="preserve"> semantic segmentation architecture</w:t>
      </w:r>
      <w:r w:rsidR="00680969" w:rsidRPr="003E0363">
        <w:rPr>
          <w:b w:val="0"/>
          <w:bCs w:val="0"/>
          <w:color w:val="000000"/>
          <w:kern w:val="0"/>
          <w:sz w:val="22"/>
          <w:szCs w:val="22"/>
        </w:rPr>
        <w:t xml:space="preserve"> </w:t>
      </w:r>
      <w:r w:rsidR="00680969" w:rsidRPr="003E0363">
        <w:rPr>
          <w:b w:val="0"/>
          <w:bCs w:val="0"/>
          <w:color w:val="000000"/>
          <w:kern w:val="0"/>
          <w:sz w:val="22"/>
          <w:szCs w:val="22"/>
        </w:rPr>
        <w:fldChar w:fldCharType="begin" w:fldLock="1"/>
      </w:r>
      <w:r w:rsidR="00680969" w:rsidRPr="003E0363">
        <w:rPr>
          <w:b w:val="0"/>
          <w:bCs w:val="0"/>
          <w:color w:val="000000"/>
          <w:kern w:val="0"/>
          <w:sz w:val="22"/>
          <w:szCs w:val="22"/>
        </w:rPr>
        <w:instrText>ADDIN CSL_CITATION {"citationItems":[{"id":"ITEM-1","itemData":{"ISBN":"978-3-319-24574-4","abstract":"There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author":[{"dropping-particle":"","family":"Ronneberger","given":"Olaf","non-dropping-particle":"","parse-names":false,"suffix":""},{"dropping-particle":"","family":"Fischer","given":"Philipp","non-dropping-particle":"","parse-names":false,"suffix":""},{"dropping-particle":"","family":"Brox","given":"Thomas","non-dropping-particle":"","parse-names":false,"suffix":""}],"container-title":"Medical Image Computing and Computer-Assisted Intervention -- MICCAI 2015","editor":[{"dropping-particle":"","family":"Navab","given":"Nassir","non-dropping-particle":"","parse-names":false,"suffix":""},{"dropping-particle":"","family":"Hornegger","given":"Joachim","non-dropping-particle":"","parse-names":false,"suffix":""},{"dropping-particle":"","family":"Wells","given":"William M","non-dropping-particle":"","parse-names":false,"suffix":""},{"dropping-particle":"","family":"Frangi","given":"Alejandro F","non-dropping-particle":"","parse-names":false,"suffix":""}],"id":"ITEM-1","issued":{"date-parts":[["2015"]]},"page":"234-241","publisher":"Springer International Publishing","publisher-place":"Cham","title":"U-Net: Convolutional Networks for Biomedical Image Segmentation","type":"paper-conference"},"uris":["http://www.mendeley.com/documents/?uuid=90b3c598-7e45-45cb-a742-5a2bb7934f95"]}],"mendeley":{"formattedCitation":"(Ronneberger, Fischer and Brox, 2015)","plainTextFormattedCitation":"(Ronneberger, Fischer and Brox, 2015)","previouslyFormattedCitation":"(Ronneberger, Fischer and Brox, 2015)"},"properties":{"noteIndex":0},"schema":"https://github.com/citation-style-language/schema/raw/master/csl-citation.json"}</w:instrText>
      </w:r>
      <w:r w:rsidR="00680969" w:rsidRPr="003E0363">
        <w:rPr>
          <w:b w:val="0"/>
          <w:bCs w:val="0"/>
          <w:color w:val="000000"/>
          <w:kern w:val="0"/>
          <w:sz w:val="22"/>
          <w:szCs w:val="22"/>
        </w:rPr>
        <w:fldChar w:fldCharType="separate"/>
      </w:r>
      <w:r w:rsidR="00680969" w:rsidRPr="003E0363">
        <w:rPr>
          <w:b w:val="0"/>
          <w:bCs w:val="0"/>
          <w:noProof/>
          <w:color w:val="000000"/>
          <w:kern w:val="0"/>
          <w:sz w:val="22"/>
          <w:szCs w:val="22"/>
        </w:rPr>
        <w:t>(Ronneberger, Fischer and Brox, 2015)</w:t>
      </w:r>
      <w:r w:rsidR="00680969" w:rsidRPr="003E0363">
        <w:rPr>
          <w:b w:val="0"/>
          <w:bCs w:val="0"/>
          <w:color w:val="000000"/>
          <w:kern w:val="0"/>
          <w:sz w:val="22"/>
          <w:szCs w:val="22"/>
        </w:rPr>
        <w:fldChar w:fldCharType="end"/>
      </w:r>
      <w:r w:rsidRPr="003E0363">
        <w:rPr>
          <w:b w:val="0"/>
          <w:bCs w:val="0"/>
          <w:color w:val="000000"/>
          <w:kern w:val="0"/>
          <w:sz w:val="22"/>
          <w:szCs w:val="22"/>
        </w:rPr>
        <w:t xml:space="preserve"> to classify coca and pasture. The </w:t>
      </w:r>
      <w:proofErr w:type="spellStart"/>
      <w:r w:rsidRPr="003E0363">
        <w:rPr>
          <w:b w:val="0"/>
          <w:bCs w:val="0"/>
          <w:color w:val="000000"/>
          <w:kern w:val="0"/>
          <w:sz w:val="22"/>
          <w:szCs w:val="22"/>
        </w:rPr>
        <w:t>UNet</w:t>
      </w:r>
      <w:proofErr w:type="spellEnd"/>
      <w:r w:rsidRPr="003E0363">
        <w:rPr>
          <w:b w:val="0"/>
          <w:bCs w:val="0"/>
          <w:color w:val="000000"/>
          <w:kern w:val="0"/>
          <w:sz w:val="22"/>
          <w:szCs w:val="22"/>
        </w:rPr>
        <w:t xml:space="preserve"> architecture resembles a traditional convolutional </w:t>
      </w:r>
      <w:proofErr w:type="spellStart"/>
      <w:r w:rsidRPr="003E0363">
        <w:rPr>
          <w:b w:val="0"/>
          <w:bCs w:val="0"/>
          <w:color w:val="000000"/>
          <w:kern w:val="0"/>
          <w:sz w:val="22"/>
          <w:szCs w:val="22"/>
        </w:rPr>
        <w:t>autoencoder</w:t>
      </w:r>
      <w:proofErr w:type="spellEnd"/>
      <w:r w:rsidRPr="003E0363">
        <w:rPr>
          <w:b w:val="0"/>
          <w:bCs w:val="0"/>
          <w:color w:val="000000"/>
          <w:kern w:val="0"/>
          <w:sz w:val="22"/>
          <w:szCs w:val="22"/>
        </w:rPr>
        <w:t xml:space="preserve"> but incorporates skip-connections which concatenate feature maps produced by various layers in the encoder network with the feature maps produced by layers of the decoder network. These skip-connections allow for the feature maps produced encoder to be re-used in the decoder and significantly improve the quality of the segmentation results. The </w:t>
      </w:r>
      <w:proofErr w:type="spellStart"/>
      <w:r w:rsidRPr="003E0363">
        <w:rPr>
          <w:b w:val="0"/>
          <w:bCs w:val="0"/>
          <w:color w:val="000000"/>
          <w:kern w:val="0"/>
          <w:sz w:val="22"/>
          <w:szCs w:val="22"/>
        </w:rPr>
        <w:t>UNet</w:t>
      </w:r>
      <w:proofErr w:type="spellEnd"/>
      <w:r w:rsidRPr="003E0363">
        <w:rPr>
          <w:b w:val="0"/>
          <w:bCs w:val="0"/>
          <w:color w:val="000000"/>
          <w:kern w:val="0"/>
          <w:sz w:val="22"/>
          <w:szCs w:val="22"/>
        </w:rPr>
        <w:t xml:space="preserve"> model used in this analysis replaced the encoder network described in </w:t>
      </w:r>
      <w:proofErr w:type="spellStart"/>
      <w:r w:rsidRPr="003E0363">
        <w:rPr>
          <w:b w:val="0"/>
          <w:bCs w:val="0"/>
          <w:color w:val="000000"/>
          <w:kern w:val="0"/>
          <w:sz w:val="22"/>
          <w:szCs w:val="22"/>
        </w:rPr>
        <w:t>Ronneberger</w:t>
      </w:r>
      <w:proofErr w:type="spellEnd"/>
      <w:r w:rsidRPr="003E0363">
        <w:rPr>
          <w:b w:val="0"/>
          <w:bCs w:val="0"/>
          <w:color w:val="000000"/>
          <w:kern w:val="0"/>
          <w:sz w:val="22"/>
          <w:szCs w:val="22"/>
        </w:rPr>
        <w:t xml:space="preserve"> et al. 2015 with a MobileNetV3-style encoder</w:t>
      </w:r>
      <w:r w:rsidR="00680969" w:rsidRPr="003E0363">
        <w:rPr>
          <w:b w:val="0"/>
          <w:bCs w:val="0"/>
          <w:color w:val="000000"/>
          <w:kern w:val="0"/>
          <w:sz w:val="22"/>
          <w:szCs w:val="22"/>
        </w:rPr>
        <w:t xml:space="preserve"> </w:t>
      </w:r>
      <w:r w:rsidR="00680969" w:rsidRPr="003E0363">
        <w:rPr>
          <w:b w:val="0"/>
          <w:bCs w:val="0"/>
          <w:color w:val="000000"/>
          <w:kern w:val="0"/>
          <w:sz w:val="22"/>
          <w:szCs w:val="22"/>
        </w:rPr>
        <w:fldChar w:fldCharType="begin" w:fldLock="1"/>
      </w:r>
      <w:r w:rsidR="00680969" w:rsidRPr="003E0363">
        <w:rPr>
          <w:b w:val="0"/>
          <w:bCs w:val="0"/>
          <w:color w:val="000000"/>
          <w:kern w:val="0"/>
          <w:sz w:val="22"/>
          <w:szCs w:val="22"/>
        </w:rPr>
        <w:instrText>ADDIN CSL_CITATION {"citationItems":[{"id":"ITEM-1","itemData":{"DOI":"10.1109/ICCV.2019.00140","ISBN":"2380-7504 VO  -","author":[{"dropping-particle":"","family":"Howard","given":"A","non-dropping-particle":"","parse-names":false,"suffix":""},{"dropping-particle":"","family":"Sandler","given":"M","non-dropping-particle":"","parse-names":false,"suffix":""},{"dropping-particle":"","family":"Chen","given":"B","non-dropping-particle":"","parse-names":false,"suffix":""},{"dropping-particle":"","family":"Wang","given":"W","non-dropping-particle":"","parse-names":false,"suffix":""},{"dropping-particle":"","family":"Chen","given":"L -C.","non-dropping-particle":"","parse-names":false,"suffix":""},{"dropping-particle":"","family":"Tan","given":"M","non-dropping-particle":"","parse-names":false,"suffix":""},{"dropping-particle":"","family":"Chu","given":"G","non-dropping-particle":"","parse-names":false,"suffix":""},{"dropping-particle":"","family":"Vasudevan","given":"V","non-dropping-particle":"","parse-names":false,"suffix":""},{"dropping-particle":"","family":"Zhu","given":"Y","non-dropping-particle":"","parse-names":false,"suffix":""},{"dropping-particle":"","family":"Pang","given":"R","non-dropping-particle":"","parse-names":false,"suffix":""},{"dropping-particle":"","family":"Adam","given":"H","non-dropping-particle":"","parse-names":false,"suffix":""},{"dropping-particle":"","family":"Le","given":"Q","non-dropping-particle":"","parse-names":false,"suffix":""}],"container-title":"2019 IEEE/CVF International Conference on Computer Vision (ICCV)","id":"ITEM-1","issued":{"date-parts":[["2019"]]},"page":"1314-1324","title":"Searching for MobileNetV3","type":"paper-conference"},"uris":["http://www.mendeley.com/documents/?uuid=32cd4c27-104a-424d-98fa-855940e1ea71"]}],"mendeley":{"formattedCitation":"(Howard &lt;i&gt;et al.&lt;/i&gt;, 2019)","plainTextFormattedCitation":"(Howard et al., 2019)","previouslyFormattedCitation":"(Howard &lt;i&gt;et al.&lt;/i&gt;, 2019)"},"properties":{"noteIndex":0},"schema":"https://github.com/citation-style-language/schema/raw/master/csl-citation.json"}</w:instrText>
      </w:r>
      <w:r w:rsidR="00680969" w:rsidRPr="003E0363">
        <w:rPr>
          <w:b w:val="0"/>
          <w:bCs w:val="0"/>
          <w:color w:val="000000"/>
          <w:kern w:val="0"/>
          <w:sz w:val="22"/>
          <w:szCs w:val="22"/>
        </w:rPr>
        <w:fldChar w:fldCharType="separate"/>
      </w:r>
      <w:r w:rsidR="00680969" w:rsidRPr="003E0363">
        <w:rPr>
          <w:b w:val="0"/>
          <w:bCs w:val="0"/>
          <w:noProof/>
          <w:color w:val="000000"/>
          <w:kern w:val="0"/>
          <w:sz w:val="22"/>
          <w:szCs w:val="22"/>
        </w:rPr>
        <w:t xml:space="preserve">(Howard </w:t>
      </w:r>
      <w:r w:rsidR="00680969" w:rsidRPr="003E0363">
        <w:rPr>
          <w:b w:val="0"/>
          <w:bCs w:val="0"/>
          <w:i/>
          <w:noProof/>
          <w:color w:val="000000"/>
          <w:kern w:val="0"/>
          <w:sz w:val="22"/>
          <w:szCs w:val="22"/>
        </w:rPr>
        <w:t>et al.</w:t>
      </w:r>
      <w:r w:rsidR="00680969" w:rsidRPr="003E0363">
        <w:rPr>
          <w:b w:val="0"/>
          <w:bCs w:val="0"/>
          <w:noProof/>
          <w:color w:val="000000"/>
          <w:kern w:val="0"/>
          <w:sz w:val="22"/>
          <w:szCs w:val="22"/>
        </w:rPr>
        <w:t>, 2019)</w:t>
      </w:r>
      <w:r w:rsidR="00680969" w:rsidRPr="003E0363">
        <w:rPr>
          <w:b w:val="0"/>
          <w:bCs w:val="0"/>
          <w:color w:val="000000"/>
          <w:kern w:val="0"/>
          <w:sz w:val="22"/>
          <w:szCs w:val="22"/>
        </w:rPr>
        <w:fldChar w:fldCharType="end"/>
      </w:r>
      <w:r w:rsidR="00680969" w:rsidRPr="003E0363">
        <w:rPr>
          <w:b w:val="0"/>
          <w:bCs w:val="0"/>
          <w:color w:val="000000"/>
          <w:kern w:val="0"/>
          <w:sz w:val="22"/>
          <w:szCs w:val="22"/>
        </w:rPr>
        <w:t xml:space="preserve">. </w:t>
      </w:r>
      <w:r w:rsidRPr="003E0363">
        <w:rPr>
          <w:b w:val="0"/>
          <w:bCs w:val="0"/>
          <w:color w:val="000000"/>
          <w:kern w:val="0"/>
          <w:sz w:val="22"/>
          <w:szCs w:val="22"/>
        </w:rPr>
        <w:t xml:space="preserve">MobileNetV3 is a computationally efficient CNN architecture that was developed for mobile computing platforms. The model used in this analysis was implement using the </w:t>
      </w:r>
      <w:proofErr w:type="spellStart"/>
      <w:r w:rsidRPr="003E0363">
        <w:rPr>
          <w:b w:val="0"/>
          <w:bCs w:val="0"/>
          <w:color w:val="000000"/>
          <w:kern w:val="0"/>
          <w:sz w:val="22"/>
          <w:szCs w:val="22"/>
        </w:rPr>
        <w:t>PyTorch</w:t>
      </w:r>
      <w:proofErr w:type="spellEnd"/>
      <w:r w:rsidRPr="003E0363">
        <w:rPr>
          <w:b w:val="0"/>
          <w:bCs w:val="0"/>
          <w:color w:val="000000"/>
          <w:kern w:val="0"/>
          <w:sz w:val="22"/>
          <w:szCs w:val="22"/>
        </w:rPr>
        <w:t xml:space="preserve"> deep learning library </w:t>
      </w:r>
      <w:r w:rsidR="00680969" w:rsidRPr="003E0363">
        <w:rPr>
          <w:b w:val="0"/>
          <w:bCs w:val="0"/>
          <w:color w:val="000000"/>
          <w:kern w:val="0"/>
          <w:sz w:val="22"/>
          <w:szCs w:val="22"/>
        </w:rPr>
        <w:fldChar w:fldCharType="begin" w:fldLock="1"/>
      </w:r>
      <w:r w:rsidR="00680969" w:rsidRPr="003E0363">
        <w:rPr>
          <w:b w:val="0"/>
          <w:bCs w:val="0"/>
          <w:color w:val="000000"/>
          <w:kern w:val="0"/>
          <w:sz w:val="22"/>
          <w:szCs w:val="22"/>
        </w:rPr>
        <w:instrText>ADDIN CSL_CITATION {"citationItems":[{"id":"ITEM-1","itemData":{"author":[{"dropping-particle":"","family":"Paszke","given":"Adam","non-dropping-particle":"","parse-names":false,"suffix":""},{"dropping-particle":"","family":"Gross","given":"Sam","non-dropping-particle":"","parse-names":false,"suffix":""},{"dropping-particle":"","family":"Massa","given":"Francisco","non-dropping-particle":"","parse-names":false,"suffix":""},{"dropping-particle":"","family":"Lerer","given":"Adam","non-dropping-particle":"","parse-names":false,"suffix":""},{"dropping-particle":"","family":"Bradbury","given":"James","non-dropping-particle":"","parse-names":false,"suffix":""},{"dropping-particle":"","family":"Chanan","given":"Gregory","non-dropping-particle":"","parse-names":false,"suffix":""},{"dropping-particle":"","family":"Killeen","given":"Trevor","non-dropping-particle":"","parse-names":false,"suffix":""},{"dropping-particle":"","family":"Lin","given":"Zeming","non-dropping-particle":"","parse-names":false,"suffix":""},{"dropping-particle":"","family":"Gimelshein","given":"Natalia","non-dropping-particle":"","parse-names":false,"suffix":""},{"dropping-particle":"","family":"Antiga","given":"Luca","non-dropping-particle":"","parse-names":false,"suffix":""},{"dropping-particle":"","family":"Desmaison","given":"Alban","non-dropping-particle":"","parse-names":false,"suffix":""},{"dropping-particle":"","family":"Köpf","given":"Andreas","non-dropping-particle":"","parse-names":false,"suffix":""},{"dropping-particle":"","family":"Yang","given":"Edward","non-dropping-particle":"","parse-names":false,"suffix":""},{"dropping-particle":"","family":"DeVito","given":"Zach","non-dropping-particle":"","parse-names":false,"suffix":""},{"dropping-particle":"","family":"Raison","given":"Martin","non-dropping-particle":"","parse-names":false,"suffix":""},{"dropping-particle":"","family":"Tejani","given":"Alykhan","non-dropping-particle":"","parse-names":false,"suffix":""},{"dropping-particle":"","family":"Chilamkurthy","given":"Sasank","non-dropping-particle":"","parse-names":false,"suffix":""},{"dropping-particle":"","family":"Steiner","given":"Benoit","non-dropping-particle":"","parse-names":false,"suffix":""},{"dropping-particle":"","family":"Fang","given":"Lu","non-dropping-particle":"","parse-names":false,"suffix":""},{"dropping-particle":"","family":"Chintala","given":"Soumith","non-dropping-particle":"","parse-names":false,"suffix":""}],"id":"ITEM-1","issued":{"date-parts":[["2019"]]},"title":"PyTorch: An Imperative Style, High-Performance Deep Learning Library","type":"article"},"uris":["http://www.mendeley.com/documents/?uuid=510dcf7f-984b-404c-8e23-969b08fc0f04"]}],"mendeley":{"formattedCitation":"(Paszke &lt;i&gt;et al.&lt;/i&gt;, 2019)","plainTextFormattedCitation":"(Paszke et al., 2019)","previouslyFormattedCitation":"(Paszke &lt;i&gt;et al.&lt;/i&gt;, 2019)"},"properties":{"noteIndex":0},"schema":"https://github.com/citation-style-language/schema/raw/master/csl-citation.json"}</w:instrText>
      </w:r>
      <w:r w:rsidR="00680969" w:rsidRPr="003E0363">
        <w:rPr>
          <w:b w:val="0"/>
          <w:bCs w:val="0"/>
          <w:color w:val="000000"/>
          <w:kern w:val="0"/>
          <w:sz w:val="22"/>
          <w:szCs w:val="22"/>
        </w:rPr>
        <w:fldChar w:fldCharType="separate"/>
      </w:r>
      <w:r w:rsidR="00680969" w:rsidRPr="003E0363">
        <w:rPr>
          <w:b w:val="0"/>
          <w:bCs w:val="0"/>
          <w:noProof/>
          <w:color w:val="000000"/>
          <w:kern w:val="0"/>
          <w:sz w:val="22"/>
          <w:szCs w:val="22"/>
        </w:rPr>
        <w:t xml:space="preserve">(Paszke </w:t>
      </w:r>
      <w:r w:rsidR="00680969" w:rsidRPr="003E0363">
        <w:rPr>
          <w:b w:val="0"/>
          <w:bCs w:val="0"/>
          <w:i/>
          <w:noProof/>
          <w:color w:val="000000"/>
          <w:kern w:val="0"/>
          <w:sz w:val="22"/>
          <w:szCs w:val="22"/>
        </w:rPr>
        <w:t>et al.</w:t>
      </w:r>
      <w:r w:rsidR="00680969" w:rsidRPr="003E0363">
        <w:rPr>
          <w:b w:val="0"/>
          <w:bCs w:val="0"/>
          <w:noProof/>
          <w:color w:val="000000"/>
          <w:kern w:val="0"/>
          <w:sz w:val="22"/>
          <w:szCs w:val="22"/>
        </w:rPr>
        <w:t>, 2019)</w:t>
      </w:r>
      <w:r w:rsidR="00680969" w:rsidRPr="003E0363">
        <w:rPr>
          <w:b w:val="0"/>
          <w:bCs w:val="0"/>
          <w:color w:val="000000"/>
          <w:kern w:val="0"/>
          <w:sz w:val="22"/>
          <w:szCs w:val="22"/>
        </w:rPr>
        <w:fldChar w:fldCharType="end"/>
      </w:r>
      <w:r w:rsidR="00680969" w:rsidRPr="003E0363">
        <w:rPr>
          <w:b w:val="0"/>
          <w:bCs w:val="0"/>
          <w:color w:val="000000"/>
          <w:kern w:val="0"/>
          <w:sz w:val="22"/>
          <w:szCs w:val="22"/>
        </w:rPr>
        <w:t>.</w:t>
      </w:r>
      <w:r w:rsidRPr="003E0363">
        <w:rPr>
          <w:b w:val="0"/>
          <w:bCs w:val="0"/>
          <w:color w:val="000000"/>
          <w:kern w:val="0"/>
          <w:sz w:val="22"/>
          <w:szCs w:val="22"/>
        </w:rPr>
        <w:t xml:space="preserve"> During preliminary testing, we note that the deeper encoder architectures we evaluated (e.g., ResNet50, ResNeSt50, ResNeSt269) did not meaningfully improve the neural networks generalization capabilities to the testing set </w:t>
      </w:r>
      <w:r w:rsidR="00680969" w:rsidRPr="003E0363">
        <w:rPr>
          <w:b w:val="0"/>
          <w:bCs w:val="0"/>
          <w:color w:val="000000"/>
          <w:kern w:val="0"/>
          <w:sz w:val="22"/>
          <w:szCs w:val="22"/>
        </w:rPr>
        <w:fldChar w:fldCharType="begin" w:fldLock="1"/>
      </w:r>
      <w:r w:rsidR="00824F48">
        <w:rPr>
          <w:b w:val="0"/>
          <w:bCs w:val="0"/>
          <w:color w:val="000000"/>
          <w:kern w:val="0"/>
          <w:sz w:val="22"/>
          <w:szCs w:val="22"/>
        </w:rPr>
        <w:instrText>ADDIN CSL_CITATION {"citationItems":[{"id":"ITEM-1","itemData":{"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CoRR","id":"ITEM-1","issued":{"date-parts":[["2015"]]},"title":"Deep Residual Learning for Image Recognition","type":"article-journal","volume":"abs/1512.0"},"uris":["http://www.mendeley.com/documents/?uuid=8cc8c4a8-eae5-42a3-8fd5-639a76a6bd69"]},{"id":"ITEM-2","itemData":{"author":[{"dropping-particle":"","family":"Zhang","given":"Hang","non-dropping-particle":"","parse-names":false,"suffix":""},{"dropping-particle":"","family":"Wu","given":"Chongruo","non-dropping-particle":"","parse-names":false,"suffix":""},{"dropping-particle":"","family":"Zhang","given":"Zhongyue","non-dropping-particle":"","parse-names":false,"suffix":""},{"dropping-particle":"","family":"Zhu","given":"Yi","non-dropping-particle":"","parse-names":false,"suffix":""},{"dropping-particle":"","family":"Zhang","given":"Zhi-Li","non-dropping-particle":"","parse-names":false,"suffix":""},{"dropping-particle":"","family":"Lin","given":"Haibin","non-dropping-particle":"","parse-names":false,"suffix":""},{"dropping-particle":"","family":"Sun","given":"Yue","non-dropping-particle":"","parse-names":false,"suffix":""},{"dropping-particle":"","family":"He","given":"Tong","non-dropping-particle":"","parse-names":false,"suffix":""},{"dropping-particle":"","family":"Mueller","given":"Jonas","non-dropping-particle":"","parse-names":false,"suffix":""},{"dropping-particle":"","family":"Manmatha","given":"R","non-dropping-particle":"","parse-names":false,"suffix":""},{"dropping-particle":"","family":"Li","given":"Mu","non-dropping-particle":"","parse-names":false,"suffix":""},{"dropping-particle":"","family":"Smola","given":"Alex","non-dropping-particle":"","parse-names":false,"suffix":""}],"container-title":"ArXiv","id":"ITEM-2","issued":{"date-parts":[["2020"]]},"title":"ResNeSt: Split-Attention Networks","type":"article-journal","volume":"abs/2004.0"},"uris":["http://www.mendeley.com/documents/?uuid=00097e42-7732-4695-9aaf-f9ac6ed9affe"]}],"mendeley":{"formattedCitation":"(He &lt;i&gt;et al.&lt;/i&gt;, 2015; Zhang &lt;i&gt;et al.&lt;/i&gt;, 2020)","plainTextFormattedCitation":"(He et al., 2015; Zhang et al., 2020)","previouslyFormattedCitation":"(He &lt;i&gt;et al.&lt;/i&gt;, 2015; Zhang &lt;i&gt;et al.&lt;/i&gt;, 2020)"},"properties":{"noteIndex":0},"schema":"https://github.com/citation-style-language/schema/raw/master/csl-citation.json"}</w:instrText>
      </w:r>
      <w:r w:rsidR="00680969" w:rsidRPr="003E0363">
        <w:rPr>
          <w:b w:val="0"/>
          <w:bCs w:val="0"/>
          <w:color w:val="000000"/>
          <w:kern w:val="0"/>
          <w:sz w:val="22"/>
          <w:szCs w:val="22"/>
        </w:rPr>
        <w:fldChar w:fldCharType="separate"/>
      </w:r>
      <w:r w:rsidR="002727D3" w:rsidRPr="003E0363">
        <w:rPr>
          <w:b w:val="0"/>
          <w:bCs w:val="0"/>
          <w:noProof/>
          <w:color w:val="000000"/>
          <w:kern w:val="0"/>
          <w:sz w:val="22"/>
          <w:szCs w:val="22"/>
        </w:rPr>
        <w:t xml:space="preserve">(He </w:t>
      </w:r>
      <w:r w:rsidR="002727D3" w:rsidRPr="003E0363">
        <w:rPr>
          <w:b w:val="0"/>
          <w:bCs w:val="0"/>
          <w:i/>
          <w:noProof/>
          <w:color w:val="000000"/>
          <w:kern w:val="0"/>
          <w:sz w:val="22"/>
          <w:szCs w:val="22"/>
        </w:rPr>
        <w:t>et al.</w:t>
      </w:r>
      <w:r w:rsidR="002727D3" w:rsidRPr="003E0363">
        <w:rPr>
          <w:b w:val="0"/>
          <w:bCs w:val="0"/>
          <w:noProof/>
          <w:color w:val="000000"/>
          <w:kern w:val="0"/>
          <w:sz w:val="22"/>
          <w:szCs w:val="22"/>
        </w:rPr>
        <w:t xml:space="preserve">, 2015; Zhang </w:t>
      </w:r>
      <w:r w:rsidR="002727D3" w:rsidRPr="003E0363">
        <w:rPr>
          <w:b w:val="0"/>
          <w:bCs w:val="0"/>
          <w:i/>
          <w:noProof/>
          <w:color w:val="000000"/>
          <w:kern w:val="0"/>
          <w:sz w:val="22"/>
          <w:szCs w:val="22"/>
        </w:rPr>
        <w:t>et al.</w:t>
      </w:r>
      <w:r w:rsidR="002727D3" w:rsidRPr="003E0363">
        <w:rPr>
          <w:b w:val="0"/>
          <w:bCs w:val="0"/>
          <w:noProof/>
          <w:color w:val="000000"/>
          <w:kern w:val="0"/>
          <w:sz w:val="22"/>
          <w:szCs w:val="22"/>
        </w:rPr>
        <w:t>, 2020)</w:t>
      </w:r>
      <w:r w:rsidR="00680969" w:rsidRPr="003E0363">
        <w:rPr>
          <w:b w:val="0"/>
          <w:bCs w:val="0"/>
          <w:color w:val="000000"/>
          <w:kern w:val="0"/>
          <w:sz w:val="22"/>
          <w:szCs w:val="22"/>
        </w:rPr>
        <w:fldChar w:fldCharType="end"/>
      </w:r>
    </w:p>
    <w:p w14:paraId="2797591C" w14:textId="77777777" w:rsidR="00E0607F" w:rsidRDefault="00143998">
      <w:pPr>
        <w:pStyle w:val="Heading1"/>
        <w:spacing w:after="280"/>
        <w:ind w:left="0"/>
        <w:rPr>
          <w:color w:val="000000"/>
          <w:kern w:val="0"/>
          <w:sz w:val="22"/>
          <w:szCs w:val="22"/>
        </w:rPr>
      </w:pPr>
      <w:r w:rsidRPr="003E0363">
        <w:rPr>
          <w:color w:val="000000"/>
          <w:kern w:val="0"/>
          <w:sz w:val="22"/>
          <w:szCs w:val="22"/>
        </w:rPr>
        <w:t>Model training and validation</w:t>
      </w:r>
    </w:p>
    <w:p w14:paraId="072E4241" w14:textId="3E5492FE" w:rsidR="00181377" w:rsidRPr="003E0363" w:rsidRDefault="00143998">
      <w:pPr>
        <w:pStyle w:val="Heading1"/>
        <w:spacing w:after="280"/>
        <w:ind w:left="0"/>
        <w:rPr>
          <w:b w:val="0"/>
          <w:bCs w:val="0"/>
          <w:color w:val="000000"/>
          <w:kern w:val="0"/>
          <w:sz w:val="22"/>
          <w:szCs w:val="22"/>
        </w:rPr>
      </w:pPr>
      <w:proofErr w:type="spellStart"/>
      <w:r w:rsidRPr="003E0363">
        <w:rPr>
          <w:b w:val="0"/>
          <w:bCs w:val="0"/>
          <w:color w:val="000000"/>
          <w:kern w:val="0"/>
          <w:sz w:val="22"/>
          <w:szCs w:val="22"/>
        </w:rPr>
        <w:t>Hyperparameters</w:t>
      </w:r>
      <w:proofErr w:type="spellEnd"/>
      <w:r w:rsidRPr="003E0363">
        <w:rPr>
          <w:b w:val="0"/>
          <w:bCs w:val="0"/>
          <w:color w:val="000000"/>
          <w:kern w:val="0"/>
          <w:sz w:val="22"/>
          <w:szCs w:val="22"/>
        </w:rPr>
        <w:t xml:space="preserve"> were selected using 25 iterations of a random search for with an 80/20 split of the data </w:t>
      </w:r>
      <w:r w:rsidR="002727D3" w:rsidRPr="003E0363">
        <w:rPr>
          <w:b w:val="0"/>
          <w:bCs w:val="0"/>
          <w:color w:val="000000"/>
          <w:kern w:val="0"/>
          <w:sz w:val="22"/>
          <w:szCs w:val="22"/>
        </w:rPr>
        <w:fldChar w:fldCharType="begin" w:fldLock="1"/>
      </w:r>
      <w:r w:rsidR="002727D3" w:rsidRPr="003E0363">
        <w:rPr>
          <w:b w:val="0"/>
          <w:bCs w:val="0"/>
          <w:color w:val="000000"/>
          <w:kern w:val="0"/>
          <w:sz w:val="22"/>
          <w:szCs w:val="22"/>
        </w:rPr>
        <w:instrText>ADDIN CSL_CITATION {"citationItems":[{"id":"ITEM-1","itemData":{"ISSN":"1532-4435","abstract":"Grid search and manual search are the most widely used strategies for hyper-parameter optimization. This paper shows empirically and theoretically that randomly chosen trials are more efficient for hyper-parameter optimization than trials on a grid. Empirical evidence comes from a comparison with a large previous study that used grid search and manual search to configure neural networks and deep belief networks. Compared with neural networks configured by a pure grid search, we find that random search over the same domain is able to find models that are as good or better within a small fraction of the computation time. Granting random search the same computational budget, random search finds better models by effectively searching a larger, less promising configuration space. Compared with deep belief networks configured by a thoughtful combination of manual search and grid search, purely random search over the same 32-dimensional configuration space found statistically equal performance on four of seven data sets, and superior performance on one of seven. A Gaussian process analysis of the function from hyper-parameters to validation set performance reveals that for most data sets only a few of the hyper-parameters really matter, but that different hyper-parameters are important on different data sets. This phenomenon makes grid search a poor choice for configuring algorithms for new data sets. Our analysis casts some light on why recent \"High Throughput\" methods achieve surprising success--they appear to search through a large number of hyper-parameters because most hyper-parameters do not matter much. We anticipate that growing interest in large hierarchical models will place an increasing burden on techniques for hyper-parameter optimization; this work shows that random search is a natural baseline against which to judge progress in the development of adaptive (sequential) hyper-parameter optimization algorithms.","author":[{"dropping-particle":"","family":"Bergstra","given":"James","non-dropping-particle":"","parse-names":false,"suffix":""},{"dropping-particle":"","family":"Bengio","given":"Yoshua","non-dropping-particle":"","parse-names":false,"suffix":""}],"container-title":"J. Mach. Learn. Res.","id":"ITEM-1","issue":"null","issued":{"date-parts":[["2012","2"]]},"page":"281–305","publisher":"JMLR.org","title":"Random Search for Hyper-Parameter Optimization","type":"article-journal","volume":"13"},"uris":["http://www.mendeley.com/documents/?uuid=aad64045-d00a-456c-a62f-9b1d267b8e5e"]}],"mendeley":{"formattedCitation":"(Bergstra and Bengio, 2012)","plainTextFormattedCitation":"(Bergstra and Bengio, 2012)","previouslyFormattedCitation":"(Bergstra and Bengio, 2012)"},"properties":{"noteIndex":0},"schema":"https://github.com/citation-style-language/schema/raw/master/csl-citation.json"}</w:instrText>
      </w:r>
      <w:r w:rsidR="002727D3" w:rsidRPr="003E0363">
        <w:rPr>
          <w:b w:val="0"/>
          <w:bCs w:val="0"/>
          <w:color w:val="000000"/>
          <w:kern w:val="0"/>
          <w:sz w:val="22"/>
          <w:szCs w:val="22"/>
        </w:rPr>
        <w:fldChar w:fldCharType="separate"/>
      </w:r>
      <w:r w:rsidR="002727D3" w:rsidRPr="003E0363">
        <w:rPr>
          <w:b w:val="0"/>
          <w:bCs w:val="0"/>
          <w:noProof/>
          <w:color w:val="000000"/>
          <w:kern w:val="0"/>
          <w:sz w:val="22"/>
          <w:szCs w:val="22"/>
        </w:rPr>
        <w:t>(Bergstra and Bengio, 2012)</w:t>
      </w:r>
      <w:r w:rsidR="002727D3" w:rsidRPr="003E0363">
        <w:rPr>
          <w:b w:val="0"/>
          <w:bCs w:val="0"/>
          <w:color w:val="000000"/>
          <w:kern w:val="0"/>
          <w:sz w:val="22"/>
          <w:szCs w:val="22"/>
        </w:rPr>
        <w:fldChar w:fldCharType="end"/>
      </w:r>
      <w:r w:rsidR="002727D3" w:rsidRPr="003E0363">
        <w:rPr>
          <w:b w:val="0"/>
          <w:bCs w:val="0"/>
          <w:color w:val="000000"/>
          <w:kern w:val="0"/>
          <w:sz w:val="22"/>
          <w:szCs w:val="22"/>
        </w:rPr>
        <w:t>.</w:t>
      </w:r>
      <w:r w:rsidRPr="003E0363">
        <w:rPr>
          <w:b w:val="0"/>
          <w:bCs w:val="0"/>
          <w:color w:val="000000"/>
          <w:kern w:val="0"/>
          <w:sz w:val="22"/>
          <w:szCs w:val="22"/>
        </w:rPr>
        <w:t xml:space="preserve"> A learning rate of 0.0275 and a batch size of 128 yielded the best performance and were used when training all subsequent models. Model validation was performed using a spatially stratified, 5-fold cross-validation procedure (</w:t>
      </w:r>
      <w:r w:rsidRPr="003E0363">
        <w:rPr>
          <w:color w:val="000000"/>
          <w:kern w:val="0"/>
          <w:sz w:val="22"/>
          <w:szCs w:val="22"/>
        </w:rPr>
        <w:t>Fi</w:t>
      </w:r>
      <w:r w:rsidR="00AC4920">
        <w:rPr>
          <w:color w:val="000000"/>
          <w:kern w:val="0"/>
          <w:sz w:val="22"/>
          <w:szCs w:val="22"/>
        </w:rPr>
        <w:t>g</w:t>
      </w:r>
      <w:r w:rsidRPr="003E0363">
        <w:rPr>
          <w:color w:val="000000"/>
          <w:kern w:val="0"/>
          <w:sz w:val="22"/>
          <w:szCs w:val="22"/>
        </w:rPr>
        <w:t xml:space="preserve"> </w:t>
      </w:r>
      <w:r w:rsidR="002727D3" w:rsidRPr="003E0363">
        <w:rPr>
          <w:color w:val="000000"/>
          <w:kern w:val="0"/>
          <w:sz w:val="22"/>
          <w:szCs w:val="22"/>
        </w:rPr>
        <w:t>S</w:t>
      </w:r>
      <w:r w:rsidR="00AC4920">
        <w:rPr>
          <w:color w:val="000000"/>
          <w:kern w:val="0"/>
          <w:sz w:val="22"/>
          <w:szCs w:val="22"/>
        </w:rPr>
        <w:t>1</w:t>
      </w:r>
      <w:r w:rsidRPr="003E0363">
        <w:rPr>
          <w:b w:val="0"/>
          <w:bCs w:val="0"/>
          <w:color w:val="000000"/>
          <w:kern w:val="0"/>
          <w:sz w:val="22"/>
          <w:szCs w:val="22"/>
        </w:rPr>
        <w:t>;</w:t>
      </w:r>
      <w:r w:rsidR="002727D3" w:rsidRPr="003E0363">
        <w:rPr>
          <w:b w:val="0"/>
          <w:bCs w:val="0"/>
          <w:color w:val="000000"/>
          <w:kern w:val="0"/>
          <w:sz w:val="22"/>
          <w:szCs w:val="22"/>
        </w:rPr>
        <w:t xml:space="preserve"> </w:t>
      </w:r>
      <w:r w:rsidR="002727D3" w:rsidRPr="003E0363">
        <w:rPr>
          <w:b w:val="0"/>
          <w:bCs w:val="0"/>
          <w:color w:val="000000"/>
          <w:kern w:val="0"/>
          <w:sz w:val="22"/>
          <w:szCs w:val="22"/>
        </w:rPr>
        <w:fldChar w:fldCharType="begin" w:fldLock="1"/>
      </w:r>
      <w:r w:rsidR="008058D1" w:rsidRPr="003E0363">
        <w:rPr>
          <w:b w:val="0"/>
          <w:bCs w:val="0"/>
          <w:color w:val="000000"/>
          <w:kern w:val="0"/>
          <w:sz w:val="22"/>
          <w:szCs w:val="22"/>
        </w:rPr>
        <w:instrText>ADDIN CSL_CITATION {"citationItems":[{"id":"ITEM-1","itemData":{"DOI":"https://doi.org/10.1111/ecog.02881","abstract":"Ecological data often show temporal, spatial, hierarchical (random effects), or phylogenetic structure. Modern statistical approaches are increasingly accounting for such dependencies. However, when performing cross-validation, these structures are regularly ignored, resulting in serious underestimation of predictive error. One cause for the poor performance of uncorrected (random) cross-validation, noted often by modellers, are dependence structures in the data that persist as dependence structures in model residuals, violating the assumption of independence. Even more concerning, because often overlooked, is that structured data also provides ample opportunity for overfitting with non-causal predictors. This problem can persist even if remedies such as autoregressive models, generalized least squares, or mixed models are used. Block cross-validation, where data are split strategically rather than randomly, can address these issues. However, the blocking strategy must be carefully considered. Blocking in space, time, random effects or phylogenetic distance, while accounting for dependencies in the data, may also unwittingly induce extrapolations by restricting the ranges or combinations of predictor variables available for model training, thus overestimating interpolation errors. On the other hand, deliberate blocking in predictor space may also improve error estimates when extrapolation is the modelling goal. Here, we review the ecological literature on non-random and blocked cross-validation approaches. We also provide a series of simulations and case studies, in which we show that, for all instances tested, block cross-validation is nearly universally more appropriate than random cross-validation if the goal is predicting to new data or predictor space, or for selecting causal predictors. We recommend that block cross-validation be used wherever dependence structures exist in a dataset, even if no correlation structure is visible in the fitted model residuals, or if the fitted models account for such correlations.","author":[{"dropping-particle":"","family":"Roberts","given":"David R","non-dropping-particle":"","parse-names":false,"suffix":""},{"dropping-particle":"","family":"Bahn","given":"Volker","non-dropping-particle":"","parse-names":false,"suffix":""},{"dropping-particle":"","family":"Ciuti","given":"Simone","non-dropping-particle":"","parse-names":false,"suffix":""},{"dropping-particle":"","family":"Boyce","given":"Mark S","non-dropping-particle":"","parse-names":false,"suffix":""},{"dropping-particle":"","family":"Elith","given":"Jane","non-dropping-particle":"","parse-names":false,"suffix":""},{"dropping-particle":"","family":"Guillera-Arroita","given":"Gurutzeta","non-dropping-particle":"","parse-names":false,"suffix":""},{"dropping-particle":"","family":"Hauenstein","given":"Severin","non-dropping-particle":"","parse-names":false,"suffix":""},{"dropping-particle":"","family":"Lahoz-Monfort","given":"José J","non-dropping-particle":"","parse-names":false,"suffix":""},{"dropping-particle":"","family":"Schröder","given":"Boris","non-dropping-particle":"","parse-names":false,"suffix":""},{"dropping-particle":"","family":"Thuiller","given":"Wilfried","non-dropping-particle":"","parse-names":false,"suffix":""},{"dropping-particle":"","family":"Warton","given":"David I","non-dropping-particle":"","parse-names":false,"suffix":""},{"dropping-particle":"","family":"Wintle","given":"Brendan A","non-dropping-particle":"","parse-names":false,"suffix":""},{"dropping-particle":"","family":"Hartig","given":"Florian","non-dropping-particle":"","parse-names":false,"suffix":""},{"dropping-particle":"","family":"Dormann","given":"Carsten F","non-dropping-particle":"","parse-names":false,"suffix":""}],"container-title":"Ecography","id":"ITEM-1","issue":"8","issued":{"date-parts":[["2017"]]},"page":"913-929","title":"Cross-validation strategies for data with temporal, spatial, hierarchical, or phylogenetic structure","type":"article-journal","volume":"40"},"uris":["http://www.mendeley.com/documents/?uuid=cbdb6151-f805-45a5-9f32-48034f2a3da4"]}],"mendeley":{"formattedCitation":"(Roberts &lt;i&gt;et al.&lt;/i&gt;, 2017)","plainTextFormattedCitation":"(Roberts et al., 2017)","previouslyFormattedCitation":"(Roberts &lt;i&gt;et al.&lt;/i&gt;, 2017)"},"properties":{"noteIndex":0},"schema":"https://github.com/citation-style-language/schema/raw/master/csl-citation.json"}</w:instrText>
      </w:r>
      <w:r w:rsidR="002727D3" w:rsidRPr="003E0363">
        <w:rPr>
          <w:b w:val="0"/>
          <w:bCs w:val="0"/>
          <w:color w:val="000000"/>
          <w:kern w:val="0"/>
          <w:sz w:val="22"/>
          <w:szCs w:val="22"/>
        </w:rPr>
        <w:fldChar w:fldCharType="separate"/>
      </w:r>
      <w:r w:rsidR="002727D3" w:rsidRPr="003E0363">
        <w:rPr>
          <w:b w:val="0"/>
          <w:bCs w:val="0"/>
          <w:noProof/>
          <w:color w:val="000000"/>
          <w:kern w:val="0"/>
          <w:sz w:val="22"/>
          <w:szCs w:val="22"/>
        </w:rPr>
        <w:t xml:space="preserve">(Roberts </w:t>
      </w:r>
      <w:r w:rsidR="002727D3" w:rsidRPr="003E0363">
        <w:rPr>
          <w:b w:val="0"/>
          <w:bCs w:val="0"/>
          <w:i/>
          <w:noProof/>
          <w:color w:val="000000"/>
          <w:kern w:val="0"/>
          <w:sz w:val="22"/>
          <w:szCs w:val="22"/>
        </w:rPr>
        <w:t>et al.</w:t>
      </w:r>
      <w:r w:rsidR="002727D3" w:rsidRPr="003E0363">
        <w:rPr>
          <w:b w:val="0"/>
          <w:bCs w:val="0"/>
          <w:noProof/>
          <w:color w:val="000000"/>
          <w:kern w:val="0"/>
          <w:sz w:val="22"/>
          <w:szCs w:val="22"/>
        </w:rPr>
        <w:t>, 2017)</w:t>
      </w:r>
      <w:r w:rsidR="002727D3" w:rsidRPr="003E0363">
        <w:rPr>
          <w:b w:val="0"/>
          <w:bCs w:val="0"/>
          <w:color w:val="000000"/>
          <w:kern w:val="0"/>
          <w:sz w:val="22"/>
          <w:szCs w:val="22"/>
        </w:rPr>
        <w:fldChar w:fldCharType="end"/>
      </w:r>
      <w:r w:rsidRPr="003E0363">
        <w:rPr>
          <w:b w:val="0"/>
          <w:bCs w:val="0"/>
          <w:color w:val="000000"/>
          <w:kern w:val="0"/>
          <w:sz w:val="22"/>
          <w:szCs w:val="22"/>
        </w:rPr>
        <w:t xml:space="preserve">. During each iteration of the cross-validation procedure, the examples from 80% of the spatial partitions were allocated to the training set and the examples from the remaining partitions were allocated to the testing set. </w:t>
      </w:r>
      <w:proofErr w:type="spellStart"/>
      <w:r w:rsidRPr="003E0363">
        <w:rPr>
          <w:b w:val="0"/>
          <w:bCs w:val="0"/>
          <w:color w:val="000000"/>
          <w:kern w:val="0"/>
          <w:sz w:val="22"/>
          <w:szCs w:val="22"/>
        </w:rPr>
        <w:t>Tanimoto</w:t>
      </w:r>
      <w:proofErr w:type="spellEnd"/>
      <w:r w:rsidRPr="003E0363">
        <w:rPr>
          <w:b w:val="0"/>
          <w:bCs w:val="0"/>
          <w:color w:val="000000"/>
          <w:kern w:val="0"/>
          <w:sz w:val="22"/>
          <w:szCs w:val="22"/>
        </w:rPr>
        <w:t xml:space="preserve"> loss, a differentiable form of intersection over union (</w:t>
      </w:r>
      <w:proofErr w:type="spellStart"/>
      <w:proofErr w:type="gramStart"/>
      <w:r w:rsidRPr="003E0363">
        <w:rPr>
          <w:b w:val="0"/>
          <w:bCs w:val="0"/>
          <w:color w:val="000000"/>
          <w:kern w:val="0"/>
          <w:sz w:val="22"/>
          <w:szCs w:val="22"/>
        </w:rPr>
        <w:t>IoU</w:t>
      </w:r>
      <w:proofErr w:type="spellEnd"/>
      <w:proofErr w:type="gramEnd"/>
      <w:r w:rsidRPr="003E0363">
        <w:rPr>
          <w:b w:val="0"/>
          <w:bCs w:val="0"/>
          <w:color w:val="000000"/>
          <w:kern w:val="0"/>
          <w:sz w:val="22"/>
          <w:szCs w:val="22"/>
        </w:rPr>
        <w:t xml:space="preserve">) score, was used as cost function. </w:t>
      </w:r>
      <w:proofErr w:type="spellStart"/>
      <w:r w:rsidRPr="003E0363">
        <w:rPr>
          <w:b w:val="0"/>
          <w:bCs w:val="0"/>
          <w:color w:val="000000"/>
          <w:kern w:val="0"/>
          <w:sz w:val="22"/>
          <w:szCs w:val="22"/>
        </w:rPr>
        <w:t>Tanimoto</w:t>
      </w:r>
      <w:proofErr w:type="spellEnd"/>
      <w:r w:rsidRPr="003E0363">
        <w:rPr>
          <w:b w:val="0"/>
          <w:bCs w:val="0"/>
          <w:color w:val="000000"/>
          <w:kern w:val="0"/>
          <w:sz w:val="22"/>
          <w:szCs w:val="22"/>
        </w:rPr>
        <w:t xml:space="preserve"> loss is defined as</w:t>
      </w:r>
    </w:p>
    <w:p w14:paraId="14B075BB" w14:textId="77777777" w:rsidR="00181377" w:rsidRPr="003E0363" w:rsidRDefault="00143998">
      <w:pPr>
        <w:pStyle w:val="PreformattedText"/>
        <w:spacing w:after="280"/>
        <w:rPr>
          <w:rFonts w:ascii="Times New Roman" w:hAnsi="Times New Roman" w:cs="Times New Roman"/>
          <w:color w:val="000000"/>
          <w:sz w:val="22"/>
          <w:szCs w:val="22"/>
        </w:rPr>
      </w:pPr>
      <w:r w:rsidRPr="003E0363">
        <w:rPr>
          <w:rStyle w:val="SourceText"/>
          <w:rFonts w:ascii="Times New Roman" w:hAnsi="Times New Roman" w:cs="Times New Roman"/>
          <w:color w:val="000000"/>
          <w:sz w:val="22"/>
          <w:szCs w:val="22"/>
        </w:rPr>
        <w:t xml:space="preserve"> </w:t>
      </w:r>
      <m:oMath>
        <m:r>
          <w:rPr>
            <w:rFonts w:ascii="Cambria Math" w:hAnsi="Cambria Math" w:cs="Times New Roman"/>
            <w:sz w:val="22"/>
            <w:szCs w:val="22"/>
          </w:rPr>
          <m:t>T</m:t>
        </m:r>
        <m:d>
          <m:dPr>
            <m:ctrlPr>
              <w:rPr>
                <w:rFonts w:ascii="Cambria Math" w:hAnsi="Cambria Math" w:cs="Times New Roman"/>
                <w:sz w:val="22"/>
                <w:szCs w:val="22"/>
              </w:rPr>
            </m:ctrlPr>
          </m:dPr>
          <m:e>
            <m:r>
              <w:rPr>
                <w:rFonts w:ascii="Cambria Math" w:hAnsi="Cambria Math" w:cs="Times New Roman"/>
                <w:sz w:val="22"/>
                <w:szCs w:val="22"/>
              </w:rPr>
              <m:t>p,l</m:t>
            </m:r>
          </m:e>
        </m:d>
        <m:r>
          <w:rPr>
            <w:rFonts w:ascii="Cambria Math" w:hAnsi="Cambria Math" w:cs="Times New Roman"/>
            <w:sz w:val="22"/>
            <w:szCs w:val="22"/>
          </w:rPr>
          <m:t>=</m:t>
        </m:r>
        <m:f>
          <m:fPr>
            <m:ctrlPr>
              <w:rPr>
                <w:rFonts w:ascii="Cambria Math" w:hAnsi="Cambria Math" w:cs="Times New Roman"/>
                <w:sz w:val="22"/>
                <w:szCs w:val="22"/>
              </w:rPr>
            </m:ctrlPr>
          </m:fPr>
          <m:num>
            <m:nary>
              <m:naryPr>
                <m:chr m:val="∑"/>
                <m:subHide m:val="1"/>
                <m:supHide m:val="1"/>
                <m:ctrlPr>
                  <w:rPr>
                    <w:rFonts w:ascii="Cambria Math" w:hAnsi="Cambria Math" w:cs="Times New Roman"/>
                    <w:sz w:val="22"/>
                    <w:szCs w:val="22"/>
                  </w:rPr>
                </m:ctrlPr>
              </m:naryPr>
              <m:sub/>
              <m:sup/>
              <m:e>
                <m:sSub>
                  <m:sSubPr>
                    <m:ctrlPr>
                      <w:rPr>
                        <w:rFonts w:ascii="Cambria Math" w:hAnsi="Cambria Math" w:cs="Times New Roman"/>
                        <w:sz w:val="22"/>
                        <w:szCs w:val="22"/>
                      </w:rPr>
                    </m:ctrlPr>
                  </m:sSubPr>
                  <m:e>
                    <m:r>
                      <w:rPr>
                        <w:rFonts w:ascii="Cambria Math" w:hAnsi="Cambria Math" w:cs="Times New Roman"/>
                        <w:sz w:val="22"/>
                        <w:szCs w:val="22"/>
                      </w:rPr>
                      <m:t>p</m:t>
                    </m:r>
                  </m:e>
                  <m:sub>
                    <m:r>
                      <w:rPr>
                        <w:rFonts w:ascii="Cambria Math" w:hAnsi="Cambria Math" w:cs="Times New Roman"/>
                        <w:sz w:val="22"/>
                        <w:szCs w:val="22"/>
                      </w:rPr>
                      <m:t>i</m:t>
                    </m:r>
                  </m:sub>
                </m:sSub>
              </m:e>
            </m:nary>
            <m:sSub>
              <m:sSubPr>
                <m:ctrlPr>
                  <w:rPr>
                    <w:rFonts w:ascii="Cambria Math" w:hAnsi="Cambria Math" w:cs="Times New Roman"/>
                    <w:sz w:val="22"/>
                    <w:szCs w:val="22"/>
                  </w:rPr>
                </m:ctrlPr>
              </m:sSubPr>
              <m:e>
                <m:r>
                  <w:rPr>
                    <w:rFonts w:ascii="Cambria Math" w:hAnsi="Cambria Math" w:cs="Times New Roman"/>
                    <w:sz w:val="22"/>
                    <w:szCs w:val="22"/>
                  </w:rPr>
                  <m:t>l</m:t>
                </m:r>
              </m:e>
              <m:sub>
                <m:r>
                  <w:rPr>
                    <w:rFonts w:ascii="Cambria Math" w:hAnsi="Cambria Math" w:cs="Times New Roman"/>
                    <w:sz w:val="22"/>
                    <w:szCs w:val="22"/>
                  </w:rPr>
                  <m:t>i</m:t>
                </m:r>
              </m:sub>
            </m:sSub>
          </m:num>
          <m:den>
            <m:nary>
              <m:naryPr>
                <m:chr m:val="∑"/>
                <m:subHide m:val="1"/>
                <m:supHide m:val="1"/>
                <m:ctrlPr>
                  <w:rPr>
                    <w:rFonts w:ascii="Cambria Math" w:hAnsi="Cambria Math" w:cs="Times New Roman"/>
                    <w:sz w:val="22"/>
                    <w:szCs w:val="22"/>
                  </w:rPr>
                </m:ctrlPr>
              </m:naryPr>
              <m:sub/>
              <m:sup/>
              <m:e>
                <m:d>
                  <m:dPr>
                    <m:ctrlPr>
                      <w:rPr>
                        <w:rFonts w:ascii="Cambria Math" w:hAnsi="Cambria Math" w:cs="Times New Roman"/>
                        <w:sz w:val="22"/>
                        <w:szCs w:val="22"/>
                      </w:rPr>
                    </m:ctrlPr>
                  </m:dPr>
                  <m:e>
                    <m:sSubSup>
                      <m:sSubSupPr>
                        <m:ctrlPr>
                          <w:rPr>
                            <w:rFonts w:ascii="Cambria Math" w:hAnsi="Cambria Math" w:cs="Times New Roman"/>
                            <w:sz w:val="22"/>
                            <w:szCs w:val="22"/>
                          </w:rPr>
                        </m:ctrlPr>
                      </m:sSubSupPr>
                      <m:e>
                        <m:r>
                          <w:rPr>
                            <w:rFonts w:ascii="Cambria Math" w:hAnsi="Cambria Math" w:cs="Times New Roman"/>
                            <w:sz w:val="22"/>
                            <w:szCs w:val="22"/>
                          </w:rPr>
                          <m:t>p</m:t>
                        </m:r>
                      </m:e>
                      <m:sub>
                        <m:r>
                          <w:rPr>
                            <w:rFonts w:ascii="Cambria Math" w:hAnsi="Cambria Math" w:cs="Times New Roman"/>
                            <w:sz w:val="22"/>
                            <w:szCs w:val="22"/>
                          </w:rPr>
                          <m:t>i</m:t>
                        </m:r>
                      </m:sub>
                      <m:sup>
                        <m:r>
                          <w:rPr>
                            <w:rFonts w:ascii="Cambria Math" w:hAnsi="Cambria Math" w:cs="Times New Roman"/>
                            <w:sz w:val="22"/>
                            <w:szCs w:val="22"/>
                          </w:rPr>
                          <m:t>2</m:t>
                        </m:r>
                      </m:sup>
                    </m:sSubSup>
                    <m:sSubSup>
                      <m:sSubSupPr>
                        <m:ctrlPr>
                          <w:rPr>
                            <w:rFonts w:ascii="Cambria Math" w:hAnsi="Cambria Math" w:cs="Times New Roman"/>
                            <w:sz w:val="22"/>
                            <w:szCs w:val="22"/>
                          </w:rPr>
                        </m:ctrlPr>
                      </m:sSubSupPr>
                      <m:e>
                        <m:r>
                          <w:rPr>
                            <w:rFonts w:ascii="Cambria Math" w:hAnsi="Cambria Math" w:cs="Times New Roman"/>
                            <w:sz w:val="22"/>
                            <w:szCs w:val="22"/>
                          </w:rPr>
                          <m:t>l</m:t>
                        </m:r>
                      </m:e>
                      <m:sub>
                        <m:r>
                          <w:rPr>
                            <w:rFonts w:ascii="Cambria Math" w:hAnsi="Cambria Math" w:cs="Times New Roman"/>
                            <w:sz w:val="22"/>
                            <w:szCs w:val="22"/>
                          </w:rPr>
                          <m:t>i</m:t>
                        </m:r>
                      </m:sub>
                      <m:sup>
                        <m:r>
                          <w:rPr>
                            <w:rFonts w:ascii="Cambria Math" w:hAnsi="Cambria Math" w:cs="Times New Roman"/>
                            <w:sz w:val="22"/>
                            <w:szCs w:val="22"/>
                          </w:rPr>
                          <m:t>2</m:t>
                        </m:r>
                      </m:sup>
                    </m:sSubSup>
                  </m:e>
                </m:d>
              </m:e>
            </m:nary>
            <m:r>
              <w:rPr>
                <w:rFonts w:ascii="Cambria Math" w:hAnsi="Cambria Math" w:cs="Times New Roman"/>
                <w:sz w:val="22"/>
                <w:szCs w:val="22"/>
              </w:rPr>
              <m:t>-</m:t>
            </m:r>
            <m:nary>
              <m:naryPr>
                <m:chr m:val="∑"/>
                <m:subHide m:val="1"/>
                <m:supHide m:val="1"/>
                <m:ctrlPr>
                  <w:rPr>
                    <w:rFonts w:ascii="Cambria Math" w:hAnsi="Cambria Math" w:cs="Times New Roman"/>
                    <w:sz w:val="22"/>
                    <w:szCs w:val="22"/>
                  </w:rPr>
                </m:ctrlPr>
              </m:naryPr>
              <m:sub/>
              <m:sup/>
              <m:e>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p</m:t>
                        </m:r>
                      </m:e>
                      <m:sub>
                        <m:r>
                          <w:rPr>
                            <w:rFonts w:ascii="Cambria Math" w:hAnsi="Cambria Math" w:cs="Times New Roman"/>
                            <w:sz w:val="22"/>
                            <w:szCs w:val="22"/>
                          </w:rPr>
                          <m:t>i</m:t>
                        </m:r>
                      </m:sub>
                    </m:sSub>
                    <m:sSub>
                      <m:sSubPr>
                        <m:ctrlPr>
                          <w:rPr>
                            <w:rFonts w:ascii="Cambria Math" w:hAnsi="Cambria Math" w:cs="Times New Roman"/>
                            <w:sz w:val="22"/>
                            <w:szCs w:val="22"/>
                          </w:rPr>
                        </m:ctrlPr>
                      </m:sSubPr>
                      <m:e>
                        <m:r>
                          <w:rPr>
                            <w:rFonts w:ascii="Cambria Math" w:hAnsi="Cambria Math" w:cs="Times New Roman"/>
                            <w:sz w:val="22"/>
                            <w:szCs w:val="22"/>
                          </w:rPr>
                          <m:t>l</m:t>
                        </m:r>
                      </m:e>
                      <m:sub>
                        <m:r>
                          <w:rPr>
                            <w:rFonts w:ascii="Cambria Math" w:hAnsi="Cambria Math" w:cs="Times New Roman"/>
                            <w:sz w:val="22"/>
                            <w:szCs w:val="22"/>
                          </w:rPr>
                          <m:t>i</m:t>
                        </m:r>
                      </m:sub>
                    </m:sSub>
                  </m:e>
                </m:d>
              </m:e>
            </m:nary>
          </m:den>
        </m:f>
      </m:oMath>
    </w:p>
    <w:p w14:paraId="2FBF9D7F" w14:textId="1DA34407" w:rsidR="00AC4920" w:rsidRDefault="00143998" w:rsidP="00EB60EE">
      <w:pPr>
        <w:pStyle w:val="Heading1"/>
        <w:spacing w:before="100" w:after="100"/>
        <w:ind w:left="0"/>
        <w:rPr>
          <w:b w:val="0"/>
          <w:bCs w:val="0"/>
          <w:color w:val="000000"/>
          <w:kern w:val="0"/>
          <w:sz w:val="22"/>
          <w:szCs w:val="22"/>
        </w:rPr>
      </w:pPr>
      <w:r w:rsidRPr="003E0363">
        <w:rPr>
          <w:b w:val="0"/>
          <w:bCs w:val="0"/>
          <w:color w:val="000000"/>
          <w:kern w:val="0"/>
          <w:sz w:val="22"/>
          <w:szCs w:val="22"/>
        </w:rPr>
        <w:t xml:space="preserve">...where </w:t>
      </w:r>
      <w:r w:rsidRPr="003E0363">
        <w:rPr>
          <w:b w:val="0"/>
          <w:bCs w:val="0"/>
          <w:i/>
          <w:iCs/>
          <w:color w:val="000000"/>
          <w:kern w:val="0"/>
          <w:sz w:val="22"/>
          <w:szCs w:val="22"/>
        </w:rPr>
        <w:t>p</w:t>
      </w:r>
      <w:r w:rsidRPr="003E0363">
        <w:rPr>
          <w:b w:val="0"/>
          <w:bCs w:val="0"/>
          <w:color w:val="000000"/>
          <w:kern w:val="0"/>
          <w:sz w:val="22"/>
          <w:szCs w:val="22"/>
        </w:rPr>
        <w:t xml:space="preserve"> is a value between 0 and 1 and gives the probability for each class at the </w:t>
      </w:r>
      <w:proofErr w:type="spellStart"/>
      <w:r w:rsidRPr="003E0363">
        <w:rPr>
          <w:b w:val="0"/>
          <w:bCs w:val="0"/>
          <w:i/>
          <w:iCs/>
          <w:color w:val="000000"/>
          <w:kern w:val="0"/>
          <w:sz w:val="22"/>
          <w:szCs w:val="22"/>
        </w:rPr>
        <w:t>i</w:t>
      </w:r>
      <w:r w:rsidRPr="003E0363">
        <w:rPr>
          <w:b w:val="0"/>
          <w:bCs w:val="0"/>
          <w:color w:val="000000"/>
          <w:kern w:val="0"/>
          <w:sz w:val="22"/>
          <w:szCs w:val="22"/>
          <w:vertAlign w:val="superscript"/>
        </w:rPr>
        <w:t>th</w:t>
      </w:r>
      <w:proofErr w:type="spellEnd"/>
      <w:r w:rsidRPr="003E0363">
        <w:rPr>
          <w:b w:val="0"/>
          <w:bCs w:val="0"/>
          <w:color w:val="000000"/>
          <w:kern w:val="0"/>
          <w:sz w:val="22"/>
          <w:szCs w:val="22"/>
        </w:rPr>
        <w:t xml:space="preserve"> pixel location and</w:t>
      </w:r>
      <w:r w:rsidRPr="003E0363">
        <w:rPr>
          <w:b w:val="0"/>
          <w:bCs w:val="0"/>
          <w:i/>
          <w:iCs/>
          <w:color w:val="000000"/>
          <w:kern w:val="0"/>
          <w:sz w:val="22"/>
          <w:szCs w:val="22"/>
        </w:rPr>
        <w:t xml:space="preserve"> l</w:t>
      </w:r>
      <w:r w:rsidRPr="003E0363">
        <w:rPr>
          <w:b w:val="0"/>
          <w:bCs w:val="0"/>
          <w:color w:val="000000"/>
          <w:kern w:val="0"/>
          <w:sz w:val="22"/>
          <w:szCs w:val="22"/>
        </w:rPr>
        <w:t xml:space="preserve"> is a binary vector indicating which class is present at </w:t>
      </w:r>
      <w:r w:rsidRPr="003E0363">
        <w:rPr>
          <w:b w:val="0"/>
          <w:bCs w:val="0"/>
          <w:i/>
          <w:iCs/>
          <w:color w:val="000000"/>
          <w:kern w:val="0"/>
          <w:sz w:val="22"/>
          <w:szCs w:val="22"/>
        </w:rPr>
        <w:t xml:space="preserve"> </w:t>
      </w:r>
      <w:proofErr w:type="spellStart"/>
      <w:r w:rsidRPr="003E0363">
        <w:rPr>
          <w:b w:val="0"/>
          <w:bCs w:val="0"/>
          <w:i/>
          <w:iCs/>
          <w:color w:val="000000"/>
          <w:kern w:val="0"/>
          <w:sz w:val="22"/>
          <w:szCs w:val="22"/>
        </w:rPr>
        <w:t>i</w:t>
      </w:r>
      <w:r w:rsidRPr="003E0363">
        <w:rPr>
          <w:b w:val="0"/>
          <w:bCs w:val="0"/>
          <w:color w:val="000000"/>
          <w:kern w:val="0"/>
          <w:sz w:val="22"/>
          <w:szCs w:val="22"/>
          <w:vertAlign w:val="superscript"/>
        </w:rPr>
        <w:t>th</w:t>
      </w:r>
      <w:proofErr w:type="spellEnd"/>
      <w:r w:rsidRPr="003E0363">
        <w:rPr>
          <w:b w:val="0"/>
          <w:bCs w:val="0"/>
          <w:color w:val="000000"/>
          <w:kern w:val="0"/>
          <w:sz w:val="22"/>
          <w:szCs w:val="22"/>
        </w:rPr>
        <w:t xml:space="preserve"> pixel location</w:t>
      </w:r>
      <w:r w:rsidR="002727D3" w:rsidRPr="003E0363">
        <w:rPr>
          <w:b w:val="0"/>
          <w:bCs w:val="0"/>
          <w:color w:val="000000"/>
          <w:kern w:val="0"/>
          <w:sz w:val="22"/>
          <w:szCs w:val="22"/>
        </w:rPr>
        <w:t xml:space="preserve"> </w:t>
      </w:r>
      <w:r w:rsidR="008058D1" w:rsidRPr="003E0363">
        <w:rPr>
          <w:b w:val="0"/>
          <w:bCs w:val="0"/>
          <w:color w:val="000000"/>
          <w:kern w:val="0"/>
          <w:sz w:val="22"/>
          <w:szCs w:val="22"/>
        </w:rPr>
        <w:fldChar w:fldCharType="begin" w:fldLock="1"/>
      </w:r>
      <w:r w:rsidR="008058D1" w:rsidRPr="003E0363">
        <w:rPr>
          <w:b w:val="0"/>
          <w:bCs w:val="0"/>
          <w:color w:val="000000"/>
          <w:kern w:val="0"/>
          <w:sz w:val="22"/>
          <w:szCs w:val="22"/>
        </w:rPr>
        <w:instrText>ADDIN CSL_CITATION {"citationItems":[{"id":"ITEM-1","itemData":{"DOI":"https://doi.org/10.1016/j.isprsjprs.2020.01.013","ISSN":"0924-2716","abstract":"Scene understanding of high resolution aerial images is of great importance for the task of automated monitoring in various remote sensing applications. Due to the large within-class and small between-class variance in pixel values of objects of interest, this remains a challenging task. In recent years, deep convolutional neural networks have started being used in remote sensing applications and demonstrate state of the art performance for pixel level classification of objects. Here we propose a reliable framework for performant results for the task of semantic segmentation of monotemporal very high resolution aerial images. Our framework consists of a novel deep learning architecture, ResUNet-a, and a novel loss function based on the Dice loss. ResUNet-a uses a UNet encoder/decoder backbone, in combination with residual connections, atrous convolutions, pyramid scene parsing pooling and multi-tasking inference. ResUNet-a infers sequentially the boundary of the objects, the distance transform of the segmentation mask, the segmentation mask and a colored reconstruction of the input. Each of the tasks is conditioned on the inference of the previous ones, thus establishing a conditioned relationship between the various tasks, as this is described through the architecture’s computation graph. We analyse the performance of several flavours of the Generalized Dice loss for semantic segmentation, and we introduce a novel variant loss function for semantic segmentation of objects that has excellent convergence properties and behaves well even under the presence of highly imbalanced classes. The performance of our modeling framework is evaluated on the ISPRS 2D Potsdam dataset. Results show state-of-the-art performance with an average F1 score of 92.9% over all classes for our best model.","author":[{"dropping-particle":"","family":"Diakogiannis","given":"Foivos I","non-dropping-particle":"","parse-names":false,"suffix":""},{"dropping-particle":"","family":"Waldner","given":"François","non-dropping-particle":"","parse-names":false,"suffix":""},{"dropping-particle":"","family":"Caccetta","given":"Peter","non-dropping-particle":"","parse-names":false,"suffix":""},{"dropping-particle":"","family":"Wu","given":"Chen","non-dropping-particle":"","parse-names":false,"suffix":""}],"container-title":"ISPRS Journal of Photogrammetry and Remote Sensing","id":"ITEM-1","issued":{"date-parts":[["2020"]]},"page":"94-114","title":"ResUNet-a: A deep learning framework for semantic segmentation of remotely sensed data","type":"article-journal","volume":"162"},"uris":["http://www.mendeley.com/documents/?uuid=1fd3a998-c789-476b-9a78-d41b0940dc84"]}],"mendeley":{"formattedCitation":"(Diakogiannis &lt;i&gt;et al.&lt;/i&gt;, 2020)","plainTextFormattedCitation":"(Diakogiannis et al., 2020)","previouslyFormattedCitation":"(Diakogiannis &lt;i&gt;et al.&lt;/i&gt;, 2020)"},"properties":{"noteIndex":0},"schema":"https://github.com/citation-style-language/schema/raw/master/csl-citation.json"}</w:instrText>
      </w:r>
      <w:r w:rsidR="008058D1" w:rsidRPr="003E0363">
        <w:rPr>
          <w:b w:val="0"/>
          <w:bCs w:val="0"/>
          <w:color w:val="000000"/>
          <w:kern w:val="0"/>
          <w:sz w:val="22"/>
          <w:szCs w:val="22"/>
        </w:rPr>
        <w:fldChar w:fldCharType="separate"/>
      </w:r>
      <w:r w:rsidR="008058D1" w:rsidRPr="003E0363">
        <w:rPr>
          <w:b w:val="0"/>
          <w:bCs w:val="0"/>
          <w:noProof/>
          <w:color w:val="000000"/>
          <w:kern w:val="0"/>
          <w:sz w:val="22"/>
          <w:szCs w:val="22"/>
        </w:rPr>
        <w:t xml:space="preserve">(Diakogiannis </w:t>
      </w:r>
      <w:r w:rsidR="008058D1" w:rsidRPr="003E0363">
        <w:rPr>
          <w:b w:val="0"/>
          <w:bCs w:val="0"/>
          <w:i/>
          <w:noProof/>
          <w:color w:val="000000"/>
          <w:kern w:val="0"/>
          <w:sz w:val="22"/>
          <w:szCs w:val="22"/>
        </w:rPr>
        <w:t>et al.</w:t>
      </w:r>
      <w:r w:rsidR="008058D1" w:rsidRPr="003E0363">
        <w:rPr>
          <w:b w:val="0"/>
          <w:bCs w:val="0"/>
          <w:noProof/>
          <w:color w:val="000000"/>
          <w:kern w:val="0"/>
          <w:sz w:val="22"/>
          <w:szCs w:val="22"/>
        </w:rPr>
        <w:t>, 2020)</w:t>
      </w:r>
      <w:r w:rsidR="008058D1" w:rsidRPr="003E0363">
        <w:rPr>
          <w:b w:val="0"/>
          <w:bCs w:val="0"/>
          <w:color w:val="000000"/>
          <w:kern w:val="0"/>
          <w:sz w:val="22"/>
          <w:szCs w:val="22"/>
        </w:rPr>
        <w:fldChar w:fldCharType="end"/>
      </w:r>
      <w:r w:rsidRPr="003E0363">
        <w:rPr>
          <w:b w:val="0"/>
          <w:bCs w:val="0"/>
          <w:color w:val="000000"/>
          <w:kern w:val="0"/>
          <w:sz w:val="22"/>
          <w:szCs w:val="22"/>
        </w:rPr>
        <w:t>.</w:t>
      </w:r>
      <w:r w:rsidRPr="003E0363">
        <w:rPr>
          <w:b w:val="0"/>
          <w:bCs w:val="0"/>
          <w:i/>
          <w:iCs/>
          <w:color w:val="000000"/>
          <w:kern w:val="0"/>
          <w:sz w:val="22"/>
          <w:szCs w:val="22"/>
        </w:rPr>
        <w:t xml:space="preserve"> </w:t>
      </w:r>
      <w:r w:rsidRPr="003E0363">
        <w:rPr>
          <w:b w:val="0"/>
          <w:bCs w:val="0"/>
          <w:color w:val="000000"/>
          <w:kern w:val="0"/>
          <w:sz w:val="22"/>
          <w:szCs w:val="22"/>
        </w:rPr>
        <w:t xml:space="preserve">During training, we tracked the accuracy and the </w:t>
      </w:r>
      <w:proofErr w:type="spellStart"/>
      <w:proofErr w:type="gramStart"/>
      <w:r w:rsidRPr="003E0363">
        <w:rPr>
          <w:b w:val="0"/>
          <w:bCs w:val="0"/>
          <w:color w:val="000000"/>
          <w:kern w:val="0"/>
          <w:sz w:val="22"/>
          <w:szCs w:val="22"/>
        </w:rPr>
        <w:t>IoU</w:t>
      </w:r>
      <w:proofErr w:type="spellEnd"/>
      <w:proofErr w:type="gramEnd"/>
      <w:r w:rsidRPr="003E0363">
        <w:rPr>
          <w:b w:val="0"/>
          <w:bCs w:val="0"/>
          <w:color w:val="000000"/>
          <w:kern w:val="0"/>
          <w:sz w:val="22"/>
          <w:szCs w:val="22"/>
        </w:rPr>
        <w:t xml:space="preserve"> score. For each metric, we computed each score using an unweighted average which results in a more conservative estimate of accuracy as we are weighting each class equally. We report the mean value of the cross-validation and the confidence envelope (+/- 2 standard deviations) for each metric. Model parameters were optimized using ADAM</w:t>
      </w:r>
      <w:r w:rsidR="008058D1" w:rsidRPr="003E0363">
        <w:rPr>
          <w:b w:val="0"/>
          <w:bCs w:val="0"/>
          <w:color w:val="000000"/>
          <w:kern w:val="0"/>
          <w:sz w:val="22"/>
          <w:szCs w:val="22"/>
        </w:rPr>
        <w:t xml:space="preserve"> </w:t>
      </w:r>
      <w:r w:rsidR="008058D1" w:rsidRPr="003E0363">
        <w:rPr>
          <w:b w:val="0"/>
          <w:bCs w:val="0"/>
          <w:color w:val="000000"/>
          <w:kern w:val="0"/>
          <w:sz w:val="22"/>
          <w:szCs w:val="22"/>
        </w:rPr>
        <w:fldChar w:fldCharType="begin" w:fldLock="1"/>
      </w:r>
      <w:r w:rsidR="00824F48">
        <w:rPr>
          <w:b w:val="0"/>
          <w:bCs w:val="0"/>
          <w:color w:val="000000"/>
          <w:kern w:val="0"/>
          <w:sz w:val="22"/>
          <w:szCs w:val="22"/>
        </w:rPr>
        <w:instrText>ADDIN CSL_CITATION {"citationItems":[{"id":"ITEM-1","itemData":{"author":[{"dropping-particle":"","family":"Kingma","given":"Diederik","non-dropping-particle":"","parse-names":false,"suffix":""},{"dropping-particle":"","family":"Ba","given":"Jimmy","non-dropping-particle":"","parse-names":false,"suffix":""}],"container-title":"International Conference on Learning Representations","id":"ITEM-1","issued":{"date-parts":[["2014"]]},"title":"Adam: A Method for Stochastic Optimization","type":"article-journal"},"uris":["http://www.mendeley.com/documents/?uuid=8d678a75-5a38-45d3-8e92-3d375282f608"]}],"mendeley":{"formattedCitation":"(Kingma and Ba, 2014)","plainTextFormattedCitation":"(Kingma and Ba, 2014)","previouslyFormattedCitation":"(Kingma and Ba, 2014)"},"properties":{"noteIndex":0},"schema":"https://github.com/citation-style-language/schema/raw/master/csl-citation.json"}</w:instrText>
      </w:r>
      <w:r w:rsidR="008058D1" w:rsidRPr="003E0363">
        <w:rPr>
          <w:b w:val="0"/>
          <w:bCs w:val="0"/>
          <w:color w:val="000000"/>
          <w:kern w:val="0"/>
          <w:sz w:val="22"/>
          <w:szCs w:val="22"/>
        </w:rPr>
        <w:fldChar w:fldCharType="separate"/>
      </w:r>
      <w:r w:rsidR="008058D1" w:rsidRPr="003E0363">
        <w:rPr>
          <w:b w:val="0"/>
          <w:bCs w:val="0"/>
          <w:noProof/>
          <w:color w:val="000000"/>
          <w:kern w:val="0"/>
          <w:sz w:val="22"/>
          <w:szCs w:val="22"/>
        </w:rPr>
        <w:t>(Kingma and Ba, 2014)</w:t>
      </w:r>
      <w:r w:rsidR="008058D1" w:rsidRPr="003E0363">
        <w:rPr>
          <w:b w:val="0"/>
          <w:bCs w:val="0"/>
          <w:color w:val="000000"/>
          <w:kern w:val="0"/>
          <w:sz w:val="22"/>
          <w:szCs w:val="22"/>
        </w:rPr>
        <w:fldChar w:fldCharType="end"/>
      </w:r>
      <w:r w:rsidRPr="003E0363">
        <w:rPr>
          <w:b w:val="0"/>
          <w:bCs w:val="0"/>
          <w:color w:val="000000"/>
          <w:kern w:val="0"/>
          <w:sz w:val="22"/>
          <w:szCs w:val="22"/>
        </w:rPr>
        <w:t xml:space="preserve">. Early stopping, a technique where the test set loss is monitored during training to monitor for over-fitting (i.e., decreased generalization accuracy), was used during the cross validation procedure. The </w:t>
      </w:r>
      <w:proofErr w:type="spellStart"/>
      <w:r w:rsidRPr="003E0363">
        <w:rPr>
          <w:b w:val="0"/>
          <w:bCs w:val="0"/>
          <w:color w:val="000000"/>
          <w:kern w:val="0"/>
          <w:sz w:val="22"/>
          <w:szCs w:val="22"/>
        </w:rPr>
        <w:t>PyTorch</w:t>
      </w:r>
      <w:proofErr w:type="spellEnd"/>
      <w:r w:rsidRPr="003E0363">
        <w:rPr>
          <w:b w:val="0"/>
          <w:bCs w:val="0"/>
          <w:color w:val="000000"/>
          <w:kern w:val="0"/>
          <w:sz w:val="22"/>
          <w:szCs w:val="22"/>
        </w:rPr>
        <w:t xml:space="preserve">-Lightning library was used to facilitate distributed processing across two </w:t>
      </w:r>
      <w:proofErr w:type="spellStart"/>
      <w:r w:rsidRPr="003E0363">
        <w:rPr>
          <w:b w:val="0"/>
          <w:bCs w:val="0"/>
          <w:color w:val="000000"/>
          <w:kern w:val="0"/>
          <w:sz w:val="22"/>
          <w:szCs w:val="22"/>
        </w:rPr>
        <w:t>Nvidia</w:t>
      </w:r>
      <w:proofErr w:type="spellEnd"/>
      <w:r w:rsidRPr="003E0363">
        <w:rPr>
          <w:b w:val="0"/>
          <w:bCs w:val="0"/>
          <w:color w:val="000000"/>
          <w:kern w:val="0"/>
          <w:sz w:val="22"/>
          <w:szCs w:val="22"/>
        </w:rPr>
        <w:t xml:space="preserve"> RTX 2080 </w:t>
      </w:r>
      <w:proofErr w:type="spellStart"/>
      <w:r w:rsidRPr="003E0363">
        <w:rPr>
          <w:b w:val="0"/>
          <w:bCs w:val="0"/>
          <w:color w:val="000000"/>
          <w:kern w:val="0"/>
          <w:sz w:val="22"/>
          <w:szCs w:val="22"/>
        </w:rPr>
        <w:t>Ti</w:t>
      </w:r>
      <w:proofErr w:type="spellEnd"/>
      <w:r w:rsidRPr="003E0363">
        <w:rPr>
          <w:b w:val="0"/>
          <w:bCs w:val="0"/>
          <w:color w:val="000000"/>
          <w:kern w:val="0"/>
          <w:sz w:val="22"/>
          <w:szCs w:val="22"/>
        </w:rPr>
        <w:t xml:space="preserve"> graphical processing units (GPUs) </w:t>
      </w:r>
      <w:r w:rsidR="00824F48">
        <w:rPr>
          <w:b w:val="0"/>
          <w:bCs w:val="0"/>
          <w:color w:val="000000"/>
          <w:kern w:val="0"/>
          <w:sz w:val="22"/>
          <w:szCs w:val="22"/>
        </w:rPr>
        <w:fldChar w:fldCharType="begin" w:fldLock="1"/>
      </w:r>
      <w:r w:rsidR="0082001D">
        <w:rPr>
          <w:b w:val="0"/>
          <w:bCs w:val="0"/>
          <w:color w:val="000000"/>
          <w:kern w:val="0"/>
          <w:sz w:val="22"/>
          <w:szCs w:val="22"/>
        </w:rPr>
        <w:instrText>ADDIN CSL_CITATION {"citationItems":[{"id":"ITEM-1","itemData":{"DOI":"10.5281/zenodo.3743165","author":[{"dropping-particle":"","family":"Falcon","given":"William","non-dropping-particle":"","parse-names":false,"suffix":""},{"dropping-particle":"","family":"Borovec","given":"Jirka","non-dropping-particle":"","parse-names":false,"suffix":""},{"dropping-particle":"","family":"Wälchli","given":"Adrian","non-dropping-particle":"","parse-names":false,"suffix":""},{"dropping-particle":"","family":"Eggert","given":"Nic","non-dropping-particle":"","parse-names":false,"suffix":""},{"dropping-particle":"","family":"Jordan","given":"Jeremy","non-dropping-particle":"","parse-names":false,"suffix":""},{"dropping-particle":"","family":"Bereznyuk","given":"Vadim","non-dropping-particle":"","parse-names":false,"suffix":""},{"dropping-particle":"","family":"Ir1dXD","given":"","non-dropping-particle":"","parse-names":false,"suffix":""},{"dropping-particle":"","family":"Harris","given":"Ethan","non-dropping-particle":"","parse-names":false,"suffix":""},{"dropping-particle":"","family":"Murrell","given":"Tullie","non-dropping-particle":"","parse-names":false,"suffix":""},{"dropping-particle":"","family":"Præsius","given":"Sebastian","non-dropping-particle":"","parse-names":false,"suffix":""},{"dropping-particle":"","family":"Skafte","given":"Nicki","non-dropping-particle":"","parse-names":false,"suffix":""},{"dropping-particle":"","family":"Bapat","given":"Shreyas","non-dropping-particle":"","parse-names":false,"suffix":""},{"dropping-particle":"","family":"Schröter","given":"Hendrik","non-dropping-particle":"","parse-names":false,"suffix":""},{"dropping-particle":"","family":"Kulkarni","given":"Akshay","non-dropping-particle":"","parse-names":false,"suffix":""},{"dropping-particle":"","family":"Haunschmid","given":"Verena","non-dropping-particle":"","parse-names":false,"suffix":""},{"dropping-particle":"","family":"Lipin","given":"Dmitry","non-dropping-particle":"","parse-names":false,"suffix":""},{"dropping-particle":"","family":"Singh","given":"Alok","non-dropping-particle":"","parse-names":false,"suffix":""},{"dropping-particle":"","family":"Fan","given":"Thomas J","non-dropping-particle":"","parse-names":false,"suffix":""},{"dropping-particle":"","family":"Uchida","given":"So","non-dropping-particle":"","parse-names":false,"suffix":""},{"dropping-particle":"","family":"Schock","given":"Justus","non-dropping-particle":"","parse-names":false,"suffix":""},{"dropping-particle":"","family":"Mary","given":"Hadrien","non-dropping-particle":"","parse-names":false,"suffix":""},{"dropping-particle":"","family":"Byrne","given":"Donal","non-dropping-particle":"","parse-names":false,"suffix":""},{"dropping-particle":"","family":"Eyzaguirre","given":"Cristobal","non-dropping-particle":"","parse-names":false,"suffix":""},{"dropping-particle":"","family":"cinjon","given":"","non-dropping-particle":"","parse-names":false,"suffix":""},{"dropping-particle":"","family":"Bakhtin","given":"Anton","non-dropping-particle":"","parse-names":false,"suffix":""}],"id":"ITEM-1","issued":{"date-parts":[["2020","4"]]},"publisher":"Zenodo","title":"PyTorchLightning/pytorch-lightning: 0.7.2rc3 - Test release before 0.7.2","type":"article"},"uris":["http://www.mendeley.com/documents/?uuid=cec9980d-5dc0-44bf-bf89-f4445c90acaa"]}],"mendeley":{"formattedCitation":"(Falcon &lt;i&gt;et al.&lt;/i&gt;, 2020)","plainTextFormattedCitation":"(Falcon et al., 2020)","previouslyFormattedCitation":"(Falcon &lt;i&gt;et al.&lt;/i&gt;, 2020)"},"properties":{"noteIndex":0},"schema":"https://github.com/citation-style-language/schema/raw/master/csl-citation.json"}</w:instrText>
      </w:r>
      <w:r w:rsidR="00824F48">
        <w:rPr>
          <w:b w:val="0"/>
          <w:bCs w:val="0"/>
          <w:color w:val="000000"/>
          <w:kern w:val="0"/>
          <w:sz w:val="22"/>
          <w:szCs w:val="22"/>
        </w:rPr>
        <w:fldChar w:fldCharType="separate"/>
      </w:r>
      <w:r w:rsidR="00824F48" w:rsidRPr="00824F48">
        <w:rPr>
          <w:b w:val="0"/>
          <w:bCs w:val="0"/>
          <w:noProof/>
          <w:color w:val="000000"/>
          <w:kern w:val="0"/>
          <w:sz w:val="22"/>
          <w:szCs w:val="22"/>
        </w:rPr>
        <w:t xml:space="preserve">(Falcon </w:t>
      </w:r>
      <w:r w:rsidR="00824F48" w:rsidRPr="00824F48">
        <w:rPr>
          <w:b w:val="0"/>
          <w:bCs w:val="0"/>
          <w:i/>
          <w:noProof/>
          <w:color w:val="000000"/>
          <w:kern w:val="0"/>
          <w:sz w:val="22"/>
          <w:szCs w:val="22"/>
        </w:rPr>
        <w:t>et al.</w:t>
      </w:r>
      <w:r w:rsidR="00824F48" w:rsidRPr="00824F48">
        <w:rPr>
          <w:b w:val="0"/>
          <w:bCs w:val="0"/>
          <w:noProof/>
          <w:color w:val="000000"/>
          <w:kern w:val="0"/>
          <w:sz w:val="22"/>
          <w:szCs w:val="22"/>
        </w:rPr>
        <w:t>, 2020)</w:t>
      </w:r>
      <w:r w:rsidR="00824F48">
        <w:rPr>
          <w:b w:val="0"/>
          <w:bCs w:val="0"/>
          <w:color w:val="000000"/>
          <w:kern w:val="0"/>
          <w:sz w:val="22"/>
          <w:szCs w:val="22"/>
        </w:rPr>
        <w:fldChar w:fldCharType="end"/>
      </w:r>
      <w:r w:rsidR="00824F48">
        <w:rPr>
          <w:b w:val="0"/>
          <w:bCs w:val="0"/>
          <w:color w:val="000000"/>
          <w:kern w:val="0"/>
          <w:sz w:val="22"/>
          <w:szCs w:val="22"/>
        </w:rPr>
        <w:t>.</w:t>
      </w:r>
    </w:p>
    <w:p w14:paraId="57A05968" w14:textId="5B407E24" w:rsidR="00181377" w:rsidRDefault="00143998">
      <w:pPr>
        <w:pStyle w:val="Heading1"/>
        <w:spacing w:after="280"/>
        <w:ind w:left="0"/>
        <w:rPr>
          <w:b w:val="0"/>
          <w:bCs w:val="0"/>
          <w:color w:val="000000"/>
          <w:kern w:val="0"/>
          <w:sz w:val="22"/>
          <w:szCs w:val="22"/>
        </w:rPr>
      </w:pPr>
      <w:r w:rsidRPr="003E0363">
        <w:rPr>
          <w:b w:val="0"/>
          <w:bCs w:val="0"/>
          <w:color w:val="000000"/>
          <w:kern w:val="0"/>
          <w:sz w:val="22"/>
          <w:szCs w:val="22"/>
        </w:rPr>
        <w:t xml:space="preserve">The models developed during the cross-validation procedure had a training accuracy of 79.7% (+/- 0.006) and </w:t>
      </w:r>
      <w:proofErr w:type="gramStart"/>
      <w:r w:rsidRPr="003E0363">
        <w:rPr>
          <w:b w:val="0"/>
          <w:bCs w:val="0"/>
          <w:color w:val="000000"/>
          <w:kern w:val="0"/>
          <w:sz w:val="22"/>
          <w:szCs w:val="22"/>
        </w:rPr>
        <w:t>a</w:t>
      </w:r>
      <w:proofErr w:type="gramEnd"/>
      <w:r w:rsidRPr="003E0363">
        <w:rPr>
          <w:b w:val="0"/>
          <w:bCs w:val="0"/>
          <w:color w:val="000000"/>
          <w:kern w:val="0"/>
          <w:sz w:val="22"/>
          <w:szCs w:val="22"/>
        </w:rPr>
        <w:t xml:space="preserve"> </w:t>
      </w:r>
      <w:proofErr w:type="spellStart"/>
      <w:r w:rsidRPr="003E0363">
        <w:rPr>
          <w:b w:val="0"/>
          <w:bCs w:val="0"/>
          <w:color w:val="000000"/>
          <w:kern w:val="0"/>
          <w:sz w:val="22"/>
          <w:szCs w:val="22"/>
        </w:rPr>
        <w:t>IoU</w:t>
      </w:r>
      <w:proofErr w:type="spellEnd"/>
      <w:r w:rsidRPr="003E0363">
        <w:rPr>
          <w:b w:val="0"/>
          <w:bCs w:val="0"/>
          <w:color w:val="000000"/>
          <w:kern w:val="0"/>
          <w:sz w:val="22"/>
          <w:szCs w:val="22"/>
        </w:rPr>
        <w:t xml:space="preserve"> score of 0.72 (+/- 0.006) (</w:t>
      </w:r>
      <w:r w:rsidRPr="003D7355">
        <w:rPr>
          <w:color w:val="000000"/>
          <w:kern w:val="0"/>
          <w:sz w:val="22"/>
          <w:szCs w:val="22"/>
        </w:rPr>
        <w:t>Fi</w:t>
      </w:r>
      <w:r w:rsidR="00AC4920" w:rsidRPr="003D7355">
        <w:rPr>
          <w:color w:val="000000"/>
          <w:kern w:val="0"/>
          <w:sz w:val="22"/>
          <w:szCs w:val="22"/>
        </w:rPr>
        <w:t>g S</w:t>
      </w:r>
      <w:r w:rsidRPr="003D7355">
        <w:rPr>
          <w:color w:val="000000"/>
          <w:kern w:val="0"/>
          <w:sz w:val="22"/>
          <w:szCs w:val="22"/>
        </w:rPr>
        <w:t>3</w:t>
      </w:r>
      <w:r w:rsidRPr="003E0363">
        <w:rPr>
          <w:b w:val="0"/>
          <w:bCs w:val="0"/>
          <w:color w:val="000000"/>
          <w:kern w:val="0"/>
          <w:sz w:val="22"/>
          <w:szCs w:val="22"/>
        </w:rPr>
        <w:t xml:space="preserve">). The models developed in this analysis had a validation accuracy of 0.72 % (+/- 0.007) and an </w:t>
      </w:r>
      <w:proofErr w:type="spellStart"/>
      <w:proofErr w:type="gramStart"/>
      <w:r w:rsidRPr="003E0363">
        <w:rPr>
          <w:b w:val="0"/>
          <w:bCs w:val="0"/>
          <w:color w:val="000000"/>
          <w:kern w:val="0"/>
          <w:sz w:val="22"/>
          <w:szCs w:val="22"/>
        </w:rPr>
        <w:t>IoU</w:t>
      </w:r>
      <w:proofErr w:type="spellEnd"/>
      <w:proofErr w:type="gramEnd"/>
      <w:r w:rsidRPr="003E0363">
        <w:rPr>
          <w:b w:val="0"/>
          <w:bCs w:val="0"/>
          <w:color w:val="000000"/>
          <w:kern w:val="0"/>
          <w:sz w:val="22"/>
          <w:szCs w:val="22"/>
        </w:rPr>
        <w:t xml:space="preserve"> score of 0.71 (+/- 0.006) (</w:t>
      </w:r>
      <w:r w:rsidRPr="003D7355">
        <w:rPr>
          <w:color w:val="000000"/>
          <w:kern w:val="0"/>
          <w:sz w:val="22"/>
          <w:szCs w:val="22"/>
        </w:rPr>
        <w:t>Fig</w:t>
      </w:r>
      <w:r w:rsidR="003D7355" w:rsidRPr="003D7355">
        <w:rPr>
          <w:color w:val="000000"/>
          <w:kern w:val="0"/>
          <w:sz w:val="22"/>
          <w:szCs w:val="22"/>
        </w:rPr>
        <w:t xml:space="preserve"> S</w:t>
      </w:r>
      <w:r w:rsidRPr="003D7355">
        <w:rPr>
          <w:color w:val="000000"/>
          <w:kern w:val="0"/>
          <w:sz w:val="22"/>
          <w:szCs w:val="22"/>
        </w:rPr>
        <w:t>4</w:t>
      </w:r>
      <w:r w:rsidRPr="003E0363">
        <w:rPr>
          <w:b w:val="0"/>
          <w:bCs w:val="0"/>
          <w:color w:val="000000"/>
          <w:kern w:val="0"/>
          <w:sz w:val="22"/>
          <w:szCs w:val="22"/>
        </w:rPr>
        <w:t xml:space="preserve">). The background class had a validation </w:t>
      </w:r>
      <w:proofErr w:type="spellStart"/>
      <w:proofErr w:type="gramStart"/>
      <w:r w:rsidRPr="003E0363">
        <w:rPr>
          <w:b w:val="0"/>
          <w:bCs w:val="0"/>
          <w:color w:val="000000"/>
          <w:kern w:val="0"/>
          <w:sz w:val="22"/>
          <w:szCs w:val="22"/>
        </w:rPr>
        <w:t>IoU</w:t>
      </w:r>
      <w:proofErr w:type="spellEnd"/>
      <w:proofErr w:type="gramEnd"/>
      <w:r w:rsidRPr="003E0363">
        <w:rPr>
          <w:b w:val="0"/>
          <w:bCs w:val="0"/>
          <w:color w:val="000000"/>
          <w:kern w:val="0"/>
          <w:sz w:val="22"/>
          <w:szCs w:val="22"/>
        </w:rPr>
        <w:t xml:space="preserve"> score of 0.92 (+/- 0.013). The pasture class had a validation </w:t>
      </w:r>
      <w:proofErr w:type="spellStart"/>
      <w:proofErr w:type="gramStart"/>
      <w:r w:rsidRPr="003E0363">
        <w:rPr>
          <w:b w:val="0"/>
          <w:bCs w:val="0"/>
          <w:color w:val="000000"/>
          <w:kern w:val="0"/>
          <w:sz w:val="22"/>
          <w:szCs w:val="22"/>
        </w:rPr>
        <w:t>IoU</w:t>
      </w:r>
      <w:proofErr w:type="spellEnd"/>
      <w:proofErr w:type="gramEnd"/>
      <w:r w:rsidRPr="003E0363">
        <w:rPr>
          <w:b w:val="0"/>
          <w:bCs w:val="0"/>
          <w:color w:val="000000"/>
          <w:kern w:val="0"/>
          <w:sz w:val="22"/>
          <w:szCs w:val="22"/>
        </w:rPr>
        <w:t xml:space="preserve"> score of 0.92 (+/- 0.014). The coca class had a validation </w:t>
      </w:r>
      <w:proofErr w:type="spellStart"/>
      <w:proofErr w:type="gramStart"/>
      <w:r w:rsidRPr="003E0363">
        <w:rPr>
          <w:b w:val="0"/>
          <w:bCs w:val="0"/>
          <w:color w:val="000000"/>
          <w:kern w:val="0"/>
          <w:sz w:val="22"/>
          <w:szCs w:val="22"/>
        </w:rPr>
        <w:t>IoU</w:t>
      </w:r>
      <w:proofErr w:type="spellEnd"/>
      <w:proofErr w:type="gramEnd"/>
      <w:r w:rsidRPr="003E0363">
        <w:rPr>
          <w:b w:val="0"/>
          <w:bCs w:val="0"/>
          <w:color w:val="000000"/>
          <w:kern w:val="0"/>
          <w:sz w:val="22"/>
          <w:szCs w:val="22"/>
        </w:rPr>
        <w:t xml:space="preserve"> score of 0.6</w:t>
      </w:r>
      <w:r w:rsidR="007511B8" w:rsidRPr="003E0363">
        <w:rPr>
          <w:b w:val="0"/>
          <w:bCs w:val="0"/>
          <w:color w:val="000000"/>
          <w:kern w:val="0"/>
          <w:sz w:val="22"/>
          <w:szCs w:val="22"/>
        </w:rPr>
        <w:t>2</w:t>
      </w:r>
      <w:r w:rsidRPr="003E0363">
        <w:rPr>
          <w:b w:val="0"/>
          <w:bCs w:val="0"/>
          <w:color w:val="000000"/>
          <w:kern w:val="0"/>
          <w:sz w:val="22"/>
          <w:szCs w:val="22"/>
        </w:rPr>
        <w:t xml:space="preserve"> (+/- 0.04). </w:t>
      </w:r>
    </w:p>
    <w:p w14:paraId="6280F563" w14:textId="40A4D791" w:rsidR="00E404EE" w:rsidRPr="003E0363" w:rsidRDefault="00E404EE" w:rsidP="00E404EE">
      <w:pPr>
        <w:rPr>
          <w:rFonts w:ascii="Times New Roman" w:hAnsi="Times New Roman" w:cs="Times New Roman"/>
        </w:rPr>
      </w:pPr>
      <w:r w:rsidRPr="003E0363">
        <w:rPr>
          <w:rFonts w:ascii="Times New Roman" w:hAnsi="Times New Roman" w:cs="Times New Roman"/>
          <w:noProof/>
          <w:lang w:val="en-IN" w:eastAsia="en-IN"/>
        </w:rPr>
        <w:drawing>
          <wp:anchor distT="0" distB="0" distL="0" distR="0" simplePos="0" relativeHeight="251663360" behindDoc="0" locked="0" layoutInCell="1" allowOverlap="1" wp14:anchorId="40E896C9" wp14:editId="35ED6F38">
            <wp:simplePos x="0" y="0"/>
            <wp:positionH relativeFrom="column">
              <wp:posOffset>31750</wp:posOffset>
            </wp:positionH>
            <wp:positionV relativeFrom="paragraph">
              <wp:posOffset>36830</wp:posOffset>
            </wp:positionV>
            <wp:extent cx="5943600" cy="1868170"/>
            <wp:effectExtent l="0" t="0" r="0" b="0"/>
            <wp:wrapSquare wrapText="largest"/>
            <wp:docPr id="3" name="Image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Chart, line chart&#10;&#10;Description automatically generated"/>
                    <pic:cNvPicPr>
                      <a:picLocks noChangeAspect="1" noChangeArrowheads="1"/>
                    </pic:cNvPicPr>
                  </pic:nvPicPr>
                  <pic:blipFill>
                    <a:blip r:embed="rId9"/>
                    <a:stretch>
                      <a:fillRect/>
                    </a:stretch>
                  </pic:blipFill>
                  <pic:spPr bwMode="auto">
                    <a:xfrm>
                      <a:off x="0" y="0"/>
                      <a:ext cx="5943600" cy="1868170"/>
                    </a:xfrm>
                    <a:prstGeom prst="rect">
                      <a:avLst/>
                    </a:prstGeom>
                  </pic:spPr>
                </pic:pic>
              </a:graphicData>
            </a:graphic>
          </wp:anchor>
        </w:drawing>
      </w:r>
      <w:r w:rsidRPr="003E0363">
        <w:rPr>
          <w:rFonts w:ascii="Times New Roman" w:hAnsi="Times New Roman" w:cs="Times New Roman"/>
          <w:b/>
          <w:bCs/>
        </w:rPr>
        <w:t xml:space="preserve">Fig </w:t>
      </w:r>
      <w:r>
        <w:rPr>
          <w:rFonts w:ascii="Times New Roman" w:hAnsi="Times New Roman" w:cs="Times New Roman"/>
          <w:b/>
          <w:bCs/>
        </w:rPr>
        <w:t>S</w:t>
      </w:r>
      <w:r w:rsidRPr="003E0363">
        <w:rPr>
          <w:rFonts w:ascii="Times New Roman" w:hAnsi="Times New Roman" w:cs="Times New Roman"/>
          <w:b/>
          <w:bCs/>
        </w:rPr>
        <w:t>3.</w:t>
      </w:r>
      <w:r w:rsidRPr="003E0363">
        <w:rPr>
          <w:rFonts w:ascii="Times New Roman" w:hAnsi="Times New Roman" w:cs="Times New Roman"/>
        </w:rPr>
        <w:t xml:space="preserve"> Training set statistics aggregated during the cross validation procedure. The first panel shows the loss computed during each iteration of training (Jaccard loss). The second panel shows the average accuracy of the model (across all classes), with respect to the training set, after each epoch of training. The third panel shows the average Intersection over Union (</w:t>
      </w:r>
      <w:proofErr w:type="spellStart"/>
      <w:proofErr w:type="gramStart"/>
      <w:r w:rsidRPr="003E0363">
        <w:rPr>
          <w:rFonts w:ascii="Times New Roman" w:hAnsi="Times New Roman" w:cs="Times New Roman"/>
        </w:rPr>
        <w:t>IoU</w:t>
      </w:r>
      <w:proofErr w:type="spellEnd"/>
      <w:proofErr w:type="gramEnd"/>
      <w:r w:rsidRPr="003E0363">
        <w:rPr>
          <w:rFonts w:ascii="Times New Roman" w:hAnsi="Times New Roman" w:cs="Times New Roman"/>
        </w:rPr>
        <w:t xml:space="preserve">) score of the model (averaged across all classes), with respect to the training set, after each epoch of training. </w:t>
      </w:r>
    </w:p>
    <w:p w14:paraId="0852C018" w14:textId="77777777" w:rsidR="00E404EE" w:rsidRPr="003E0363" w:rsidRDefault="00E404EE" w:rsidP="00E404EE">
      <w:pPr>
        <w:rPr>
          <w:rFonts w:ascii="Times New Roman" w:hAnsi="Times New Roman" w:cs="Times New Roman"/>
        </w:rPr>
      </w:pPr>
    </w:p>
    <w:p w14:paraId="69A00620" w14:textId="77777777" w:rsidR="00E404EE" w:rsidRPr="003E0363" w:rsidRDefault="00E404EE" w:rsidP="00E404EE">
      <w:pPr>
        <w:rPr>
          <w:rFonts w:ascii="Times New Roman" w:hAnsi="Times New Roman" w:cs="Times New Roman"/>
        </w:rPr>
      </w:pPr>
      <w:r w:rsidRPr="003E0363">
        <w:rPr>
          <w:rFonts w:ascii="Times New Roman" w:hAnsi="Times New Roman" w:cs="Times New Roman"/>
          <w:noProof/>
          <w:lang w:val="en-IN" w:eastAsia="en-IN"/>
        </w:rPr>
        <w:drawing>
          <wp:anchor distT="0" distB="0" distL="0" distR="0" simplePos="0" relativeHeight="251664384" behindDoc="0" locked="0" layoutInCell="1" allowOverlap="1" wp14:anchorId="70D074C8" wp14:editId="081D1AC4">
            <wp:simplePos x="0" y="0"/>
            <wp:positionH relativeFrom="column">
              <wp:posOffset>728345</wp:posOffset>
            </wp:positionH>
            <wp:positionV relativeFrom="paragraph">
              <wp:posOffset>21590</wp:posOffset>
            </wp:positionV>
            <wp:extent cx="4317365" cy="1851660"/>
            <wp:effectExtent l="0" t="0" r="0" b="0"/>
            <wp:wrapSquare wrapText="largest"/>
            <wp:docPr id="4" name="Image4"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Chart, line chart, scatter chart&#10;&#10;Description automatically generated"/>
                    <pic:cNvPicPr>
                      <a:picLocks noChangeAspect="1" noChangeArrowheads="1"/>
                    </pic:cNvPicPr>
                  </pic:nvPicPr>
                  <pic:blipFill>
                    <a:blip r:embed="rId10"/>
                    <a:srcRect r="1461" b="5007"/>
                    <a:stretch>
                      <a:fillRect/>
                    </a:stretch>
                  </pic:blipFill>
                  <pic:spPr bwMode="auto">
                    <a:xfrm>
                      <a:off x="0" y="0"/>
                      <a:ext cx="4317365" cy="1851660"/>
                    </a:xfrm>
                    <a:prstGeom prst="rect">
                      <a:avLst/>
                    </a:prstGeom>
                  </pic:spPr>
                </pic:pic>
              </a:graphicData>
            </a:graphic>
          </wp:anchor>
        </w:drawing>
      </w:r>
    </w:p>
    <w:p w14:paraId="3B17D650" w14:textId="77777777" w:rsidR="00E404EE" w:rsidRPr="003E0363" w:rsidRDefault="00E404EE" w:rsidP="00E404EE">
      <w:pPr>
        <w:rPr>
          <w:rFonts w:ascii="Times New Roman" w:hAnsi="Times New Roman" w:cs="Times New Roman"/>
        </w:rPr>
      </w:pPr>
    </w:p>
    <w:p w14:paraId="1C8588FE" w14:textId="77777777" w:rsidR="00E404EE" w:rsidRPr="003E0363" w:rsidRDefault="00E404EE" w:rsidP="00E404EE">
      <w:pPr>
        <w:rPr>
          <w:rFonts w:ascii="Times New Roman" w:hAnsi="Times New Roman" w:cs="Times New Roman"/>
        </w:rPr>
      </w:pPr>
    </w:p>
    <w:p w14:paraId="49E52827" w14:textId="77777777" w:rsidR="00E404EE" w:rsidRPr="003E0363" w:rsidRDefault="00E404EE" w:rsidP="00E404EE">
      <w:pPr>
        <w:rPr>
          <w:rFonts w:ascii="Times New Roman" w:hAnsi="Times New Roman" w:cs="Times New Roman"/>
        </w:rPr>
      </w:pPr>
    </w:p>
    <w:p w14:paraId="77423CA0" w14:textId="77777777" w:rsidR="00E404EE" w:rsidRPr="003E0363" w:rsidRDefault="00E404EE" w:rsidP="00E404EE">
      <w:pPr>
        <w:rPr>
          <w:rFonts w:ascii="Times New Roman" w:hAnsi="Times New Roman" w:cs="Times New Roman"/>
        </w:rPr>
      </w:pPr>
    </w:p>
    <w:p w14:paraId="431CCBDF" w14:textId="77777777" w:rsidR="00E404EE" w:rsidRPr="003E0363" w:rsidRDefault="00E404EE" w:rsidP="00E404EE">
      <w:pPr>
        <w:rPr>
          <w:rFonts w:ascii="Times New Roman" w:hAnsi="Times New Roman" w:cs="Times New Roman"/>
        </w:rPr>
      </w:pPr>
    </w:p>
    <w:p w14:paraId="42C60CB1" w14:textId="77777777" w:rsidR="00E404EE" w:rsidRPr="003E0363" w:rsidRDefault="00E404EE" w:rsidP="00E404EE">
      <w:pPr>
        <w:rPr>
          <w:rFonts w:ascii="Times New Roman" w:hAnsi="Times New Roman" w:cs="Times New Roman"/>
        </w:rPr>
      </w:pPr>
    </w:p>
    <w:p w14:paraId="42E1C49B" w14:textId="77777777" w:rsidR="00E404EE" w:rsidRPr="003E0363" w:rsidRDefault="00E404EE" w:rsidP="00E404EE">
      <w:pPr>
        <w:rPr>
          <w:rFonts w:ascii="Times New Roman" w:hAnsi="Times New Roman" w:cs="Times New Roman"/>
          <w:b/>
          <w:bCs/>
        </w:rPr>
      </w:pPr>
    </w:p>
    <w:p w14:paraId="6A405422" w14:textId="1571622B" w:rsidR="00E404EE" w:rsidRPr="003E0363" w:rsidRDefault="00E404EE" w:rsidP="00E404EE">
      <w:pPr>
        <w:rPr>
          <w:rFonts w:ascii="Times New Roman" w:hAnsi="Times New Roman" w:cs="Times New Roman"/>
        </w:rPr>
      </w:pPr>
      <w:r w:rsidRPr="003E0363">
        <w:rPr>
          <w:rFonts w:ascii="Times New Roman" w:hAnsi="Times New Roman" w:cs="Times New Roman"/>
          <w:b/>
          <w:bCs/>
        </w:rPr>
        <w:t xml:space="preserve">Fig </w:t>
      </w:r>
      <w:r>
        <w:rPr>
          <w:rFonts w:ascii="Times New Roman" w:hAnsi="Times New Roman" w:cs="Times New Roman"/>
          <w:b/>
          <w:bCs/>
        </w:rPr>
        <w:t>S</w:t>
      </w:r>
      <w:r w:rsidRPr="003E0363">
        <w:rPr>
          <w:rFonts w:ascii="Times New Roman" w:hAnsi="Times New Roman" w:cs="Times New Roman"/>
          <w:b/>
          <w:bCs/>
        </w:rPr>
        <w:t>4.</w:t>
      </w:r>
      <w:r w:rsidRPr="003E0363">
        <w:rPr>
          <w:rFonts w:ascii="Times New Roman" w:hAnsi="Times New Roman" w:cs="Times New Roman"/>
        </w:rPr>
        <w:t xml:space="preserve"> Test set statistics aggregated during the cross validation procedure. The first panel shows the average accuracy of the model (across all classes), with respect to the test set, after each epoch of training. The third panel shows the average Intersection over Union (</w:t>
      </w:r>
      <w:proofErr w:type="spellStart"/>
      <w:proofErr w:type="gramStart"/>
      <w:r w:rsidRPr="003E0363">
        <w:rPr>
          <w:rFonts w:ascii="Times New Roman" w:hAnsi="Times New Roman" w:cs="Times New Roman"/>
        </w:rPr>
        <w:t>IoU</w:t>
      </w:r>
      <w:proofErr w:type="spellEnd"/>
      <w:proofErr w:type="gramEnd"/>
      <w:r w:rsidRPr="003E0363">
        <w:rPr>
          <w:rFonts w:ascii="Times New Roman" w:hAnsi="Times New Roman" w:cs="Times New Roman"/>
        </w:rPr>
        <w:t xml:space="preserve">) score of the model (averaged across all classes), with respect to the test set, after each epoch of training. Note, although the two plots are similar, the actual values between the curves differ by small amounts. </w:t>
      </w:r>
    </w:p>
    <w:p w14:paraId="54341746" w14:textId="6D6DBD5B" w:rsidR="00E404EE" w:rsidRDefault="00E404EE" w:rsidP="00E404EE"/>
    <w:p w14:paraId="731086B4" w14:textId="77777777" w:rsidR="00E0607F" w:rsidRDefault="00143998">
      <w:pPr>
        <w:pStyle w:val="Heading1"/>
        <w:spacing w:before="280" w:after="280"/>
        <w:ind w:left="0"/>
        <w:rPr>
          <w:color w:val="000000"/>
          <w:kern w:val="0"/>
          <w:sz w:val="22"/>
          <w:szCs w:val="22"/>
        </w:rPr>
      </w:pPr>
      <w:r w:rsidRPr="003E0363">
        <w:rPr>
          <w:color w:val="000000"/>
          <w:kern w:val="0"/>
          <w:sz w:val="22"/>
          <w:szCs w:val="22"/>
        </w:rPr>
        <w:t>Inference procedure</w:t>
      </w:r>
    </w:p>
    <w:p w14:paraId="3D92C7D8" w14:textId="4AFFE7B6" w:rsidR="00181377" w:rsidRDefault="00143998" w:rsidP="00EB60EE">
      <w:pPr>
        <w:pStyle w:val="Heading1"/>
        <w:spacing w:before="100" w:after="100"/>
        <w:ind w:left="0"/>
        <w:rPr>
          <w:b w:val="0"/>
          <w:bCs w:val="0"/>
          <w:color w:val="000000"/>
          <w:kern w:val="0"/>
          <w:sz w:val="22"/>
          <w:szCs w:val="22"/>
        </w:rPr>
      </w:pPr>
      <w:r w:rsidRPr="003E0363">
        <w:rPr>
          <w:b w:val="0"/>
          <w:bCs w:val="0"/>
          <w:color w:val="000000"/>
          <w:kern w:val="0"/>
          <w:sz w:val="22"/>
          <w:szCs w:val="22"/>
        </w:rPr>
        <w:t xml:space="preserve">Each of the 5 models developed during cross-validation procedure were applied to the entire time series of composited Landsat imagery. Fully convolutional neural networks, such as </w:t>
      </w:r>
      <w:proofErr w:type="spellStart"/>
      <w:r w:rsidRPr="003E0363">
        <w:rPr>
          <w:b w:val="0"/>
          <w:bCs w:val="0"/>
          <w:color w:val="000000"/>
          <w:kern w:val="0"/>
          <w:sz w:val="22"/>
          <w:szCs w:val="22"/>
        </w:rPr>
        <w:t>UNet</w:t>
      </w:r>
      <w:proofErr w:type="spellEnd"/>
      <w:r w:rsidRPr="003E0363">
        <w:rPr>
          <w:b w:val="0"/>
          <w:bCs w:val="0"/>
          <w:color w:val="000000"/>
          <w:kern w:val="0"/>
          <w:sz w:val="22"/>
          <w:szCs w:val="22"/>
        </w:rPr>
        <w:t xml:space="preserve">, can be applied to images with arbitrary dimensions. However, classifying the entire study region at once would require very large amounts of GPU memory. Instead, each image in the time series was first broken into smaller 128-by-128 subsets which were individually classified and then reassembled to obtain a land cover map with wall-to-wall coverage. To avoid edge effects during inference, only the center 64-by-64 pixel subset of each 128-by-128 subset was used to create each classified map. Applying each of the 5 models to the time series of Landsat composites produced 5 classified time-series. For each year of classifications, the mode of the five maps was computed at each pixel location which yielded the final classified time series.   </w:t>
      </w:r>
    </w:p>
    <w:p w14:paraId="07050CA8" w14:textId="77777777" w:rsidR="00E0607F" w:rsidRDefault="00BC3733" w:rsidP="007225C4">
      <w:pPr>
        <w:pStyle w:val="Heading1"/>
        <w:spacing w:before="280" w:after="280"/>
        <w:ind w:left="0"/>
        <w:rPr>
          <w:color w:val="000000"/>
          <w:kern w:val="0"/>
          <w:sz w:val="22"/>
          <w:szCs w:val="22"/>
        </w:rPr>
      </w:pPr>
      <w:r w:rsidRPr="003E0363">
        <w:rPr>
          <w:color w:val="000000"/>
          <w:kern w:val="0"/>
          <w:sz w:val="22"/>
          <w:szCs w:val="22"/>
        </w:rPr>
        <w:t>Area estimation</w:t>
      </w:r>
    </w:p>
    <w:p w14:paraId="268947C6" w14:textId="695ADB78" w:rsidR="00BC3733" w:rsidRDefault="007511B8" w:rsidP="00EB60EE">
      <w:pPr>
        <w:pStyle w:val="Heading1"/>
        <w:spacing w:before="100" w:after="100"/>
        <w:ind w:left="0"/>
        <w:rPr>
          <w:b w:val="0"/>
          <w:bCs w:val="0"/>
          <w:color w:val="000000"/>
          <w:kern w:val="0"/>
          <w:sz w:val="22"/>
          <w:szCs w:val="22"/>
        </w:rPr>
      </w:pPr>
      <w:r w:rsidRPr="003E0363">
        <w:rPr>
          <w:b w:val="0"/>
          <w:bCs w:val="0"/>
          <w:color w:val="000000"/>
          <w:kern w:val="0"/>
          <w:sz w:val="22"/>
          <w:szCs w:val="22"/>
        </w:rPr>
        <w:t xml:space="preserve">After </w:t>
      </w:r>
      <w:r w:rsidR="009E0780" w:rsidRPr="003E0363">
        <w:rPr>
          <w:b w:val="0"/>
          <w:bCs w:val="0"/>
          <w:color w:val="000000"/>
          <w:kern w:val="0"/>
          <w:sz w:val="22"/>
          <w:szCs w:val="22"/>
        </w:rPr>
        <w:t>classified time series for land uses classes an independent accuracy assessment was created. Initially, a</w:t>
      </w:r>
      <w:r w:rsidR="00DF601A" w:rsidRPr="003E0363">
        <w:rPr>
          <w:b w:val="0"/>
          <w:bCs w:val="0"/>
          <w:color w:val="000000"/>
          <w:kern w:val="0"/>
          <w:sz w:val="22"/>
          <w:szCs w:val="22"/>
        </w:rPr>
        <w:t xml:space="preserve"> random stratified procedure was </w:t>
      </w:r>
      <w:r w:rsidR="009E0780" w:rsidRPr="003E0363">
        <w:rPr>
          <w:b w:val="0"/>
          <w:bCs w:val="0"/>
          <w:color w:val="000000"/>
          <w:kern w:val="0"/>
          <w:sz w:val="22"/>
          <w:szCs w:val="22"/>
        </w:rPr>
        <w:t>elaborated</w:t>
      </w:r>
      <w:r w:rsidR="00DF601A" w:rsidRPr="003E0363">
        <w:rPr>
          <w:b w:val="0"/>
          <w:bCs w:val="0"/>
          <w:color w:val="000000"/>
          <w:kern w:val="0"/>
          <w:sz w:val="22"/>
          <w:szCs w:val="22"/>
        </w:rPr>
        <w:t xml:space="preserve"> to evaluate areas estimation. </w:t>
      </w:r>
      <w:r w:rsidR="007225C4" w:rsidRPr="003E0363">
        <w:rPr>
          <w:b w:val="0"/>
          <w:bCs w:val="0"/>
          <w:color w:val="000000"/>
          <w:kern w:val="0"/>
          <w:sz w:val="22"/>
          <w:szCs w:val="22"/>
        </w:rPr>
        <w:t xml:space="preserve">We follow </w:t>
      </w:r>
      <w:r w:rsidR="0000039A" w:rsidRPr="003E0363">
        <w:rPr>
          <w:b w:val="0"/>
          <w:bCs w:val="0"/>
          <w:color w:val="000000"/>
          <w:kern w:val="0"/>
          <w:sz w:val="22"/>
          <w:szCs w:val="22"/>
        </w:rPr>
        <w:fldChar w:fldCharType="begin" w:fldLock="1"/>
      </w:r>
      <w:r w:rsidR="00680969" w:rsidRPr="003E0363">
        <w:rPr>
          <w:b w:val="0"/>
          <w:bCs w:val="0"/>
          <w:color w:val="000000"/>
          <w:kern w:val="0"/>
          <w:sz w:val="22"/>
          <w:szCs w:val="22"/>
        </w:rPr>
        <w:instrText>ADDIN CSL_CITATION {"citationItems":[{"id":"ITEM-1","itemData":{"DOI":"10.1016/j.rse.2014.02.015","ISBN":"0034-4257","ISSN":"00344257","abstract":"The remote sensing science and application communities have developed increasingly reliable, consistent, and robust approaches for capturing land dynamics to meet a range of information needs. Statistically robust and transparent approaches for assessing accuracy and estimating area of change are critical to ensure the integrity of land change information. We provide practitioners with a set of \"good practice\" recommendations for designing and implementing an accuracy assessment of a change map and estimating area based on the reference sample data. The good practice recommendations address the three major components: sampling design, response design and analysis. The primary good practice recommendations for assessing accuracy and estimating area are: (i) implement a probability sampling design that is chosen to achieve the priority objectives of accuracy and area estimation while also satisfying practical constraints such as cost and available sources of reference data; (ii) implement a response design protocol that is based on reference data sources that provide sufficient spatial and temporal representation to accurately label each unit in the sample (i.e., the \"reference classification\" will be considerably more accurate than the map classification being evaluated); (iii) implement an analysis that is consistent with the sampling design and response design protocols; (iv) summarize the accuracy assessment by reporting the estimated error matrix in terms of proportion of area and estimates of overall accuracy, user's accuracy (or commission error), and producer's accuracy (or omission error); (v) estimate area of classes (e.g., types of change such as wetland loss or types of persistence such as stable forest) based on the reference classification of the sample units; (vi) quantify uncertainty by reporting confidence intervals for accuracy and area parameters; (vii) evaluate variability and potential error in the reference classification; and (viii) document deviations from good practice that may substantially affect the results. An example application is provided to illustrate the recommended process. © 2014 Elsevier Inc.","author":[{"dropping-particle":"","family":"Olofsson","given":"Pontus","non-dropping-particle":"","parse-names":false,"suffix":""},{"dropping-particle":"","family":"Foody","given":"Giles M.","non-dropping-particle":"","parse-names":false,"suffix":""},{"dropping-particle":"","family":"Herold","given":"Martin","non-dropping-particle":"","parse-names":false,"suffix":""},{"dropping-particle":"V.","family":"Stehman","given":"Stephen","non-dropping-particle":"","parse-names":false,"suffix":""},{"dropping-particle":"","family":"Woodcock","given":"Curtis E.","non-dropping-particle":"","parse-names":false,"suffix":""},{"dropping-particle":"","family":"Wulder","given":"Michael a.","non-dropping-particle":"","parse-names":false,"suffix":""}],"container-title":"Remote Sensing of Environment","id":"ITEM-1","issued":{"date-parts":[["2014"]]},"page":"42-57","publisher":"Elsevier Inc.","title":"Good practices for estimating area and assessing accuracy of land change","type":"article-journal","volume":"148"},"uris":["http://www.mendeley.com/documents/?uuid=b374af86-4a85-4c73-a144-9df775a68ec9"]}],"mendeley":{"formattedCitation":"(Olofsson &lt;i&gt;et al.&lt;/i&gt;, 2014)","plainTextFormattedCitation":"(Olofsson et al., 2014)","previouslyFormattedCitation":"(Olofsson &lt;i&gt;et al.&lt;/i&gt;, 2014)"},"properties":{"noteIndex":0},"schema":"https://github.com/citation-style-language/schema/raw/master/csl-citation.json"}</w:instrText>
      </w:r>
      <w:r w:rsidR="0000039A" w:rsidRPr="003E0363">
        <w:rPr>
          <w:b w:val="0"/>
          <w:bCs w:val="0"/>
          <w:color w:val="000000"/>
          <w:kern w:val="0"/>
          <w:sz w:val="22"/>
          <w:szCs w:val="22"/>
        </w:rPr>
        <w:fldChar w:fldCharType="separate"/>
      </w:r>
      <w:r w:rsidR="0000039A" w:rsidRPr="003E0363">
        <w:rPr>
          <w:b w:val="0"/>
          <w:bCs w:val="0"/>
          <w:noProof/>
          <w:color w:val="000000"/>
          <w:kern w:val="0"/>
          <w:sz w:val="22"/>
          <w:szCs w:val="22"/>
        </w:rPr>
        <w:t xml:space="preserve">(Olofsson </w:t>
      </w:r>
      <w:r w:rsidR="0000039A" w:rsidRPr="003E0363">
        <w:rPr>
          <w:b w:val="0"/>
          <w:bCs w:val="0"/>
          <w:i/>
          <w:noProof/>
          <w:color w:val="000000"/>
          <w:kern w:val="0"/>
          <w:sz w:val="22"/>
          <w:szCs w:val="22"/>
        </w:rPr>
        <w:t>et al.</w:t>
      </w:r>
      <w:r w:rsidR="0000039A" w:rsidRPr="003E0363">
        <w:rPr>
          <w:b w:val="0"/>
          <w:bCs w:val="0"/>
          <w:noProof/>
          <w:color w:val="000000"/>
          <w:kern w:val="0"/>
          <w:sz w:val="22"/>
          <w:szCs w:val="22"/>
        </w:rPr>
        <w:t>, 2014)</w:t>
      </w:r>
      <w:r w:rsidR="0000039A" w:rsidRPr="003E0363">
        <w:rPr>
          <w:b w:val="0"/>
          <w:bCs w:val="0"/>
          <w:color w:val="000000"/>
          <w:kern w:val="0"/>
          <w:sz w:val="22"/>
          <w:szCs w:val="22"/>
        </w:rPr>
        <w:fldChar w:fldCharType="end"/>
      </w:r>
      <w:r w:rsidR="0000039A" w:rsidRPr="003E0363">
        <w:rPr>
          <w:b w:val="0"/>
          <w:bCs w:val="0"/>
          <w:color w:val="000000"/>
          <w:kern w:val="0"/>
          <w:sz w:val="22"/>
          <w:szCs w:val="22"/>
        </w:rPr>
        <w:t xml:space="preserve"> </w:t>
      </w:r>
      <w:r w:rsidR="007225C4" w:rsidRPr="003E0363">
        <w:rPr>
          <w:b w:val="0"/>
          <w:bCs w:val="0"/>
          <w:color w:val="000000"/>
          <w:kern w:val="0"/>
          <w:sz w:val="22"/>
          <w:szCs w:val="22"/>
        </w:rPr>
        <w:t xml:space="preserve">approach to evaluate the accuracy of nine change classes between </w:t>
      </w:r>
      <w:r w:rsidR="007225C4" w:rsidRPr="003E0363">
        <w:rPr>
          <w:b w:val="0"/>
          <w:bCs w:val="0"/>
          <w:i/>
          <w:iCs/>
          <w:color w:val="000000"/>
          <w:kern w:val="0"/>
          <w:sz w:val="22"/>
          <w:szCs w:val="22"/>
        </w:rPr>
        <w:t>forest-cattle-coca</w:t>
      </w:r>
      <w:r w:rsidR="007225C4" w:rsidRPr="003E0363">
        <w:rPr>
          <w:b w:val="0"/>
          <w:bCs w:val="0"/>
          <w:color w:val="000000"/>
          <w:kern w:val="0"/>
          <w:sz w:val="22"/>
          <w:szCs w:val="22"/>
        </w:rPr>
        <w:t xml:space="preserve">. The most common transition is </w:t>
      </w:r>
      <w:r w:rsidR="007225C4" w:rsidRPr="003E0363">
        <w:rPr>
          <w:b w:val="0"/>
          <w:bCs w:val="0"/>
          <w:i/>
          <w:iCs/>
          <w:color w:val="000000"/>
          <w:kern w:val="0"/>
          <w:sz w:val="22"/>
          <w:szCs w:val="22"/>
        </w:rPr>
        <w:t>forest to cattle</w:t>
      </w:r>
      <w:r w:rsidR="007225C4" w:rsidRPr="003E0363">
        <w:rPr>
          <w:b w:val="0"/>
          <w:bCs w:val="0"/>
          <w:color w:val="000000"/>
          <w:kern w:val="0"/>
          <w:sz w:val="22"/>
          <w:szCs w:val="22"/>
        </w:rPr>
        <w:t xml:space="preserve"> </w:t>
      </w:r>
      <w:r w:rsidR="0000039A" w:rsidRPr="003E0363">
        <w:rPr>
          <w:b w:val="0"/>
          <w:bCs w:val="0"/>
          <w:color w:val="000000"/>
          <w:kern w:val="0"/>
          <w:sz w:val="22"/>
          <w:szCs w:val="22"/>
        </w:rPr>
        <w:t>from which</w:t>
      </w:r>
      <w:r w:rsidR="007225C4" w:rsidRPr="003E0363">
        <w:rPr>
          <w:b w:val="0"/>
          <w:bCs w:val="0"/>
          <w:color w:val="000000"/>
          <w:kern w:val="0"/>
          <w:sz w:val="22"/>
          <w:szCs w:val="22"/>
        </w:rPr>
        <w:t xml:space="preserve"> we determined the sample size using a standard error of 0.5%. We anticipated an accuracy for </w:t>
      </w:r>
      <w:r w:rsidR="007225C4" w:rsidRPr="003E0363">
        <w:rPr>
          <w:b w:val="0"/>
          <w:bCs w:val="0"/>
          <w:i/>
          <w:iCs/>
          <w:color w:val="000000"/>
          <w:kern w:val="0"/>
          <w:sz w:val="22"/>
          <w:szCs w:val="22"/>
        </w:rPr>
        <w:t>forest to cattle</w:t>
      </w:r>
      <w:r w:rsidR="007225C4" w:rsidRPr="003E0363">
        <w:rPr>
          <w:b w:val="0"/>
          <w:bCs w:val="0"/>
          <w:color w:val="000000"/>
          <w:kern w:val="0"/>
          <w:sz w:val="22"/>
          <w:szCs w:val="22"/>
        </w:rPr>
        <w:t xml:space="preserve"> equals to 0.8 and </w:t>
      </w:r>
      <w:r w:rsidR="007B40A1" w:rsidRPr="003E0363">
        <w:rPr>
          <w:b w:val="0"/>
          <w:bCs w:val="0"/>
          <w:color w:val="000000"/>
          <w:kern w:val="0"/>
          <w:sz w:val="22"/>
          <w:szCs w:val="22"/>
        </w:rPr>
        <w:t>a</w:t>
      </w:r>
      <w:r w:rsidR="007225C4" w:rsidRPr="003E0363">
        <w:rPr>
          <w:b w:val="0"/>
          <w:bCs w:val="0"/>
          <w:color w:val="000000"/>
          <w:kern w:val="0"/>
          <w:sz w:val="22"/>
          <w:szCs w:val="22"/>
        </w:rPr>
        <w:t xml:space="preserve"> proportion of this class in the rest of change classes of 1%. </w:t>
      </w:r>
      <w:r w:rsidR="007B40A1" w:rsidRPr="003E0363">
        <w:rPr>
          <w:b w:val="0"/>
          <w:bCs w:val="0"/>
          <w:color w:val="000000"/>
          <w:kern w:val="0"/>
          <w:sz w:val="22"/>
          <w:szCs w:val="22"/>
        </w:rPr>
        <w:t xml:space="preserve">Using this </w:t>
      </w:r>
      <w:r w:rsidR="0000039A" w:rsidRPr="003E0363">
        <w:rPr>
          <w:b w:val="0"/>
          <w:bCs w:val="0"/>
          <w:color w:val="000000"/>
          <w:kern w:val="0"/>
          <w:sz w:val="22"/>
          <w:szCs w:val="22"/>
        </w:rPr>
        <w:t>information,</w:t>
      </w:r>
      <w:r w:rsidR="007B40A1" w:rsidRPr="003E0363">
        <w:rPr>
          <w:b w:val="0"/>
          <w:bCs w:val="0"/>
          <w:color w:val="000000"/>
          <w:kern w:val="0"/>
          <w:sz w:val="22"/>
          <w:szCs w:val="22"/>
        </w:rPr>
        <w:t xml:space="preserve"> we </w:t>
      </w:r>
      <w:r w:rsidR="00117748">
        <w:rPr>
          <w:b w:val="0"/>
          <w:bCs w:val="0"/>
          <w:color w:val="000000"/>
          <w:kern w:val="0"/>
          <w:sz w:val="22"/>
          <w:szCs w:val="22"/>
        </w:rPr>
        <w:t>found</w:t>
      </w:r>
      <w:r w:rsidR="007B40A1" w:rsidRPr="003E0363">
        <w:rPr>
          <w:b w:val="0"/>
          <w:bCs w:val="0"/>
          <w:color w:val="000000"/>
          <w:kern w:val="0"/>
          <w:sz w:val="22"/>
          <w:szCs w:val="22"/>
        </w:rPr>
        <w:t xml:space="preserve"> a sample size of 550 samples. We allocated 300 samples for </w:t>
      </w:r>
      <w:r w:rsidR="0000039A" w:rsidRPr="003E0363">
        <w:rPr>
          <w:b w:val="0"/>
          <w:bCs w:val="0"/>
          <w:i/>
          <w:iCs/>
          <w:color w:val="000000"/>
          <w:kern w:val="0"/>
          <w:sz w:val="22"/>
          <w:szCs w:val="22"/>
        </w:rPr>
        <w:t xml:space="preserve">stable </w:t>
      </w:r>
      <w:r w:rsidR="007B40A1" w:rsidRPr="003E0363">
        <w:rPr>
          <w:b w:val="0"/>
          <w:bCs w:val="0"/>
          <w:i/>
          <w:iCs/>
          <w:color w:val="000000"/>
          <w:kern w:val="0"/>
          <w:sz w:val="22"/>
          <w:szCs w:val="22"/>
        </w:rPr>
        <w:t>forest</w:t>
      </w:r>
      <w:r w:rsidR="007B40A1" w:rsidRPr="003E0363">
        <w:rPr>
          <w:b w:val="0"/>
          <w:bCs w:val="0"/>
          <w:color w:val="000000"/>
          <w:kern w:val="0"/>
          <w:sz w:val="22"/>
          <w:szCs w:val="22"/>
        </w:rPr>
        <w:t xml:space="preserve">, 50 </w:t>
      </w:r>
      <w:r w:rsidR="0000039A" w:rsidRPr="003E0363">
        <w:rPr>
          <w:b w:val="0"/>
          <w:bCs w:val="0"/>
          <w:color w:val="000000"/>
          <w:kern w:val="0"/>
          <w:sz w:val="22"/>
          <w:szCs w:val="22"/>
        </w:rPr>
        <w:t>for</w:t>
      </w:r>
      <w:r w:rsidR="007B40A1" w:rsidRPr="003E0363">
        <w:rPr>
          <w:b w:val="0"/>
          <w:bCs w:val="0"/>
          <w:color w:val="000000"/>
          <w:kern w:val="0"/>
          <w:sz w:val="22"/>
          <w:szCs w:val="22"/>
        </w:rPr>
        <w:t xml:space="preserve"> </w:t>
      </w:r>
      <w:r w:rsidR="007B40A1" w:rsidRPr="003E0363">
        <w:rPr>
          <w:b w:val="0"/>
          <w:bCs w:val="0"/>
          <w:i/>
          <w:iCs/>
          <w:color w:val="000000"/>
          <w:kern w:val="0"/>
          <w:sz w:val="22"/>
          <w:szCs w:val="22"/>
        </w:rPr>
        <w:t>forest</w:t>
      </w:r>
      <w:r w:rsidR="0000039A" w:rsidRPr="003E0363">
        <w:rPr>
          <w:b w:val="0"/>
          <w:bCs w:val="0"/>
          <w:i/>
          <w:iCs/>
          <w:color w:val="000000"/>
          <w:kern w:val="0"/>
          <w:sz w:val="22"/>
          <w:szCs w:val="22"/>
        </w:rPr>
        <w:t xml:space="preserve"> to cattle</w:t>
      </w:r>
      <w:r w:rsidR="0000039A" w:rsidRPr="003E0363">
        <w:rPr>
          <w:b w:val="0"/>
          <w:bCs w:val="0"/>
          <w:color w:val="000000"/>
          <w:kern w:val="0"/>
          <w:sz w:val="22"/>
          <w:szCs w:val="22"/>
        </w:rPr>
        <w:t xml:space="preserve"> and</w:t>
      </w:r>
      <w:r w:rsidR="007B40A1" w:rsidRPr="003E0363">
        <w:rPr>
          <w:b w:val="0"/>
          <w:bCs w:val="0"/>
          <w:color w:val="000000"/>
          <w:kern w:val="0"/>
          <w:sz w:val="22"/>
          <w:szCs w:val="22"/>
        </w:rPr>
        <w:t xml:space="preserve"> 30 for the rest of the classes</w:t>
      </w:r>
      <w:r w:rsidR="00117748">
        <w:rPr>
          <w:b w:val="0"/>
          <w:bCs w:val="0"/>
          <w:color w:val="000000"/>
          <w:kern w:val="0"/>
          <w:sz w:val="22"/>
          <w:szCs w:val="22"/>
        </w:rPr>
        <w:t xml:space="preserve"> (total allocation of 560 samples)</w:t>
      </w:r>
      <w:r w:rsidR="0000039A" w:rsidRPr="003E0363">
        <w:rPr>
          <w:b w:val="0"/>
          <w:bCs w:val="0"/>
          <w:color w:val="000000"/>
          <w:kern w:val="0"/>
          <w:sz w:val="22"/>
          <w:szCs w:val="22"/>
        </w:rPr>
        <w:t xml:space="preserve">. The analysis was built for the change period 1987-2019.  We employed Collect Earth to link samples with reference information from Landsat subsets, NDFI time-series and Planet data. A summary </w:t>
      </w:r>
      <w:r w:rsidR="00C11BC5" w:rsidRPr="003E0363">
        <w:rPr>
          <w:b w:val="0"/>
          <w:bCs w:val="0"/>
          <w:color w:val="000000"/>
          <w:kern w:val="0"/>
          <w:sz w:val="22"/>
          <w:szCs w:val="22"/>
        </w:rPr>
        <w:t xml:space="preserve">of accuracy and area estimation </w:t>
      </w:r>
      <w:r w:rsidR="0000039A" w:rsidRPr="003E0363">
        <w:rPr>
          <w:b w:val="0"/>
          <w:bCs w:val="0"/>
          <w:color w:val="000000"/>
          <w:kern w:val="0"/>
          <w:sz w:val="22"/>
          <w:szCs w:val="22"/>
        </w:rPr>
        <w:t xml:space="preserve">from each change class is presented in </w:t>
      </w:r>
      <w:r w:rsidR="0000039A" w:rsidRPr="003E0363">
        <w:rPr>
          <w:color w:val="000000"/>
          <w:kern w:val="0"/>
          <w:sz w:val="22"/>
          <w:szCs w:val="22"/>
        </w:rPr>
        <w:t xml:space="preserve">Table </w:t>
      </w:r>
      <w:r w:rsidR="00AC4920">
        <w:rPr>
          <w:color w:val="000000"/>
          <w:kern w:val="0"/>
          <w:sz w:val="22"/>
          <w:szCs w:val="22"/>
        </w:rPr>
        <w:t>S1</w:t>
      </w:r>
      <w:r w:rsidR="0000039A" w:rsidRPr="003E0363">
        <w:rPr>
          <w:b w:val="0"/>
          <w:bCs w:val="0"/>
          <w:color w:val="000000"/>
          <w:kern w:val="0"/>
          <w:sz w:val="22"/>
          <w:szCs w:val="22"/>
        </w:rPr>
        <w:t>.</w:t>
      </w:r>
    </w:p>
    <w:p w14:paraId="6F95BA3C" w14:textId="77777777" w:rsidR="00995AA7" w:rsidRDefault="00995AA7" w:rsidP="00995AA7">
      <w:pPr>
        <w:pStyle w:val="Heading1"/>
        <w:spacing w:before="280" w:after="280"/>
        <w:ind w:left="0"/>
        <w:rPr>
          <w:color w:val="000000"/>
          <w:kern w:val="0"/>
          <w:sz w:val="22"/>
          <w:szCs w:val="22"/>
        </w:rPr>
      </w:pPr>
    </w:p>
    <w:p w14:paraId="4DD0FDDA" w14:textId="5B30861C" w:rsidR="00AC4920" w:rsidRPr="00995AA7" w:rsidRDefault="00AC4920" w:rsidP="00995AA7">
      <w:pPr>
        <w:pStyle w:val="Heading1"/>
        <w:spacing w:before="280" w:after="280"/>
        <w:ind w:left="0"/>
        <w:rPr>
          <w:b w:val="0"/>
          <w:bCs w:val="0"/>
          <w:color w:val="000000"/>
          <w:kern w:val="0"/>
          <w:sz w:val="22"/>
          <w:szCs w:val="22"/>
        </w:rPr>
      </w:pPr>
      <w:r w:rsidRPr="00995AA7">
        <w:rPr>
          <w:color w:val="000000"/>
          <w:kern w:val="0"/>
          <w:sz w:val="22"/>
          <w:szCs w:val="22"/>
        </w:rPr>
        <w:t>Table S1</w:t>
      </w:r>
      <w:r w:rsidRPr="00995AA7">
        <w:rPr>
          <w:b w:val="0"/>
          <w:bCs w:val="0"/>
          <w:color w:val="000000"/>
          <w:kern w:val="0"/>
          <w:sz w:val="22"/>
          <w:szCs w:val="22"/>
        </w:rPr>
        <w:t xml:space="preserve">. </w:t>
      </w:r>
      <w:r w:rsidR="00995AA7">
        <w:rPr>
          <w:b w:val="0"/>
          <w:bCs w:val="0"/>
          <w:color w:val="000000"/>
          <w:kern w:val="0"/>
          <w:sz w:val="22"/>
          <w:szCs w:val="22"/>
        </w:rPr>
        <w:t xml:space="preserve"> Area estimates, confidence intervals and accuracies for the nine change classes using the map change 1987-2019.</w:t>
      </w:r>
    </w:p>
    <w:tbl>
      <w:tblPr>
        <w:tblW w:w="9787" w:type="dxa"/>
        <w:tblLook w:val="04A0" w:firstRow="1" w:lastRow="0" w:firstColumn="1" w:lastColumn="0" w:noHBand="0" w:noVBand="1"/>
      </w:tblPr>
      <w:tblGrid>
        <w:gridCol w:w="504"/>
        <w:gridCol w:w="1291"/>
        <w:gridCol w:w="1266"/>
        <w:gridCol w:w="1166"/>
        <w:gridCol w:w="1266"/>
        <w:gridCol w:w="1266"/>
        <w:gridCol w:w="1266"/>
        <w:gridCol w:w="1054"/>
        <w:gridCol w:w="712"/>
      </w:tblGrid>
      <w:tr w:rsidR="00E0607F" w:rsidRPr="00051696" w14:paraId="52B11EEB" w14:textId="77777777" w:rsidTr="00E0607F">
        <w:trPr>
          <w:trHeight w:val="158"/>
        </w:trPr>
        <w:tc>
          <w:tcPr>
            <w:tcW w:w="504" w:type="dxa"/>
            <w:tcBorders>
              <w:top w:val="single" w:sz="8" w:space="0" w:color="auto"/>
              <w:left w:val="single" w:sz="8" w:space="0" w:color="auto"/>
              <w:bottom w:val="single" w:sz="8" w:space="0" w:color="auto"/>
              <w:right w:val="nil"/>
            </w:tcBorders>
            <w:shd w:val="clear" w:color="auto" w:fill="auto"/>
            <w:noWrap/>
            <w:vAlign w:val="bottom"/>
            <w:hideMark/>
          </w:tcPr>
          <w:p w14:paraId="49C1FBA9"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 </w:t>
            </w:r>
          </w:p>
        </w:tc>
        <w:tc>
          <w:tcPr>
            <w:tcW w:w="1291" w:type="dxa"/>
            <w:tcBorders>
              <w:top w:val="single" w:sz="8" w:space="0" w:color="auto"/>
              <w:left w:val="nil"/>
              <w:bottom w:val="single" w:sz="8" w:space="0" w:color="auto"/>
              <w:right w:val="nil"/>
            </w:tcBorders>
            <w:shd w:val="clear" w:color="auto" w:fill="auto"/>
            <w:noWrap/>
            <w:vAlign w:val="bottom"/>
            <w:hideMark/>
          </w:tcPr>
          <w:p w14:paraId="31E056FD"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Class</w:t>
            </w:r>
          </w:p>
        </w:tc>
        <w:tc>
          <w:tcPr>
            <w:tcW w:w="1265" w:type="dxa"/>
            <w:tcBorders>
              <w:top w:val="single" w:sz="8" w:space="0" w:color="auto"/>
              <w:left w:val="nil"/>
              <w:bottom w:val="single" w:sz="8" w:space="0" w:color="auto"/>
              <w:right w:val="nil"/>
            </w:tcBorders>
            <w:shd w:val="clear" w:color="auto" w:fill="auto"/>
            <w:noWrap/>
            <w:vAlign w:val="bottom"/>
            <w:hideMark/>
          </w:tcPr>
          <w:p w14:paraId="06760486" w14:textId="40AE0342"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Area Estimated</w:t>
            </w:r>
            <w:r w:rsidRPr="00051696">
              <w:rPr>
                <w:b w:val="0"/>
                <w:bCs w:val="0"/>
                <w:color w:val="000000"/>
                <w:kern w:val="0"/>
                <w:sz w:val="20"/>
                <w:szCs w:val="20"/>
              </w:rPr>
              <w:t xml:space="preserve"> (ha)</w:t>
            </w:r>
          </w:p>
        </w:tc>
        <w:tc>
          <w:tcPr>
            <w:tcW w:w="1166" w:type="dxa"/>
            <w:tcBorders>
              <w:top w:val="single" w:sz="8" w:space="0" w:color="auto"/>
              <w:left w:val="nil"/>
              <w:bottom w:val="single" w:sz="8" w:space="0" w:color="auto"/>
              <w:right w:val="nil"/>
            </w:tcBorders>
            <w:shd w:val="clear" w:color="auto" w:fill="auto"/>
            <w:noWrap/>
            <w:vAlign w:val="bottom"/>
            <w:hideMark/>
          </w:tcPr>
          <w:p w14:paraId="78984FA2"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CI (95%)</w:t>
            </w:r>
          </w:p>
        </w:tc>
        <w:tc>
          <w:tcPr>
            <w:tcW w:w="1265" w:type="dxa"/>
            <w:tcBorders>
              <w:top w:val="single" w:sz="8" w:space="0" w:color="auto"/>
              <w:left w:val="nil"/>
              <w:bottom w:val="single" w:sz="8" w:space="0" w:color="auto"/>
              <w:right w:val="nil"/>
            </w:tcBorders>
            <w:shd w:val="clear" w:color="auto" w:fill="auto"/>
            <w:noWrap/>
            <w:vAlign w:val="bottom"/>
            <w:hideMark/>
          </w:tcPr>
          <w:p w14:paraId="0633FA95" w14:textId="77777777" w:rsidR="00BC3733" w:rsidRPr="00BC3733" w:rsidRDefault="00BC3733" w:rsidP="00BC3733">
            <w:pPr>
              <w:pStyle w:val="Heading1"/>
              <w:spacing w:before="280" w:after="280"/>
              <w:ind w:left="0"/>
              <w:rPr>
                <w:b w:val="0"/>
                <w:bCs w:val="0"/>
                <w:color w:val="000000"/>
                <w:kern w:val="0"/>
                <w:sz w:val="20"/>
                <w:szCs w:val="20"/>
              </w:rPr>
            </w:pPr>
            <w:proofErr w:type="spellStart"/>
            <w:r w:rsidRPr="00BC3733">
              <w:rPr>
                <w:b w:val="0"/>
                <w:bCs w:val="0"/>
                <w:color w:val="000000"/>
                <w:kern w:val="0"/>
                <w:sz w:val="20"/>
                <w:szCs w:val="20"/>
              </w:rPr>
              <w:t>MoE</w:t>
            </w:r>
            <w:proofErr w:type="spellEnd"/>
          </w:p>
        </w:tc>
        <w:tc>
          <w:tcPr>
            <w:tcW w:w="1265" w:type="dxa"/>
            <w:tcBorders>
              <w:top w:val="single" w:sz="8" w:space="0" w:color="auto"/>
              <w:left w:val="nil"/>
              <w:bottom w:val="single" w:sz="8" w:space="0" w:color="auto"/>
              <w:right w:val="nil"/>
            </w:tcBorders>
            <w:shd w:val="clear" w:color="auto" w:fill="auto"/>
            <w:noWrap/>
            <w:vAlign w:val="bottom"/>
            <w:hideMark/>
          </w:tcPr>
          <w:p w14:paraId="1320DC01"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Area Mapped (ha)</w:t>
            </w:r>
          </w:p>
        </w:tc>
        <w:tc>
          <w:tcPr>
            <w:tcW w:w="1265" w:type="dxa"/>
            <w:tcBorders>
              <w:top w:val="single" w:sz="8" w:space="0" w:color="auto"/>
              <w:left w:val="nil"/>
              <w:bottom w:val="single" w:sz="8" w:space="0" w:color="auto"/>
              <w:right w:val="nil"/>
            </w:tcBorders>
            <w:shd w:val="clear" w:color="auto" w:fill="auto"/>
            <w:noWrap/>
            <w:vAlign w:val="bottom"/>
            <w:hideMark/>
          </w:tcPr>
          <w:p w14:paraId="6EA4DCD7"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Map Bias</w:t>
            </w:r>
          </w:p>
        </w:tc>
        <w:tc>
          <w:tcPr>
            <w:tcW w:w="1054" w:type="dxa"/>
            <w:tcBorders>
              <w:top w:val="single" w:sz="8" w:space="0" w:color="auto"/>
              <w:left w:val="nil"/>
              <w:bottom w:val="single" w:sz="8" w:space="0" w:color="auto"/>
              <w:right w:val="nil"/>
            </w:tcBorders>
            <w:shd w:val="clear" w:color="auto" w:fill="auto"/>
            <w:noWrap/>
            <w:vAlign w:val="bottom"/>
            <w:hideMark/>
          </w:tcPr>
          <w:p w14:paraId="45B9131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Producer's</w:t>
            </w:r>
          </w:p>
        </w:tc>
        <w:tc>
          <w:tcPr>
            <w:tcW w:w="712" w:type="dxa"/>
            <w:tcBorders>
              <w:top w:val="single" w:sz="8" w:space="0" w:color="auto"/>
              <w:left w:val="nil"/>
              <w:bottom w:val="single" w:sz="8" w:space="0" w:color="auto"/>
              <w:right w:val="single" w:sz="8" w:space="0" w:color="auto"/>
            </w:tcBorders>
            <w:shd w:val="clear" w:color="auto" w:fill="auto"/>
            <w:noWrap/>
            <w:vAlign w:val="bottom"/>
            <w:hideMark/>
          </w:tcPr>
          <w:p w14:paraId="681D9A30"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User's</w:t>
            </w:r>
          </w:p>
        </w:tc>
      </w:tr>
      <w:tr w:rsidR="00E0607F" w:rsidRPr="00051696" w14:paraId="489FBECD"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6FFC046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c>
          <w:tcPr>
            <w:tcW w:w="1291" w:type="dxa"/>
            <w:tcBorders>
              <w:top w:val="nil"/>
              <w:left w:val="nil"/>
              <w:bottom w:val="nil"/>
              <w:right w:val="nil"/>
            </w:tcBorders>
            <w:shd w:val="clear" w:color="auto" w:fill="auto"/>
            <w:noWrap/>
            <w:vAlign w:val="bottom"/>
            <w:hideMark/>
          </w:tcPr>
          <w:p w14:paraId="32418D87" w14:textId="5E425822" w:rsidR="00BC3733" w:rsidRPr="00AA4077" w:rsidRDefault="00051696"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forest</w:t>
            </w:r>
            <w:proofErr w:type="gramEnd"/>
            <w:r w:rsidR="00BC3733" w:rsidRPr="00AA4077">
              <w:rPr>
                <w:b w:val="0"/>
                <w:bCs w:val="0"/>
                <w:i/>
                <w:iCs/>
                <w:color w:val="000000"/>
                <w:kern w:val="0"/>
                <w:sz w:val="20"/>
                <w:szCs w:val="20"/>
              </w:rPr>
              <w:t xml:space="preserve"> to coca</w:t>
            </w:r>
          </w:p>
        </w:tc>
        <w:tc>
          <w:tcPr>
            <w:tcW w:w="1265" w:type="dxa"/>
            <w:tcBorders>
              <w:top w:val="nil"/>
              <w:left w:val="nil"/>
              <w:bottom w:val="nil"/>
              <w:right w:val="nil"/>
            </w:tcBorders>
            <w:shd w:val="clear" w:color="auto" w:fill="auto"/>
            <w:noWrap/>
            <w:vAlign w:val="bottom"/>
            <w:hideMark/>
          </w:tcPr>
          <w:p w14:paraId="17DF512E"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30632.81</w:t>
            </w:r>
          </w:p>
        </w:tc>
        <w:tc>
          <w:tcPr>
            <w:tcW w:w="1166" w:type="dxa"/>
            <w:tcBorders>
              <w:top w:val="nil"/>
              <w:left w:val="nil"/>
              <w:bottom w:val="nil"/>
              <w:right w:val="nil"/>
            </w:tcBorders>
            <w:shd w:val="clear" w:color="auto" w:fill="auto"/>
            <w:noWrap/>
            <w:vAlign w:val="bottom"/>
            <w:hideMark/>
          </w:tcPr>
          <w:p w14:paraId="6D3A231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125.569</w:t>
            </w:r>
          </w:p>
        </w:tc>
        <w:tc>
          <w:tcPr>
            <w:tcW w:w="1265" w:type="dxa"/>
            <w:tcBorders>
              <w:top w:val="nil"/>
              <w:left w:val="nil"/>
              <w:bottom w:val="nil"/>
              <w:right w:val="nil"/>
            </w:tcBorders>
            <w:shd w:val="clear" w:color="auto" w:fill="auto"/>
            <w:noWrap/>
            <w:vAlign w:val="bottom"/>
            <w:hideMark/>
          </w:tcPr>
          <w:p w14:paraId="6A60C082"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0.409916687</w:t>
            </w:r>
          </w:p>
        </w:tc>
        <w:tc>
          <w:tcPr>
            <w:tcW w:w="1265" w:type="dxa"/>
            <w:tcBorders>
              <w:top w:val="nil"/>
              <w:left w:val="nil"/>
              <w:bottom w:val="nil"/>
              <w:right w:val="nil"/>
            </w:tcBorders>
            <w:shd w:val="clear" w:color="auto" w:fill="auto"/>
            <w:noWrap/>
            <w:vAlign w:val="bottom"/>
            <w:hideMark/>
          </w:tcPr>
          <w:p w14:paraId="1CC61A0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30442.47862</w:t>
            </w:r>
          </w:p>
        </w:tc>
        <w:tc>
          <w:tcPr>
            <w:tcW w:w="1265" w:type="dxa"/>
            <w:tcBorders>
              <w:top w:val="nil"/>
              <w:left w:val="nil"/>
              <w:bottom w:val="nil"/>
              <w:right w:val="nil"/>
            </w:tcBorders>
            <w:shd w:val="clear" w:color="auto" w:fill="auto"/>
            <w:noWrap/>
            <w:vAlign w:val="bottom"/>
            <w:hideMark/>
          </w:tcPr>
          <w:p w14:paraId="76E0B64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190.331377</w:t>
            </w:r>
          </w:p>
        </w:tc>
        <w:tc>
          <w:tcPr>
            <w:tcW w:w="1054" w:type="dxa"/>
            <w:tcBorders>
              <w:top w:val="nil"/>
              <w:left w:val="nil"/>
              <w:bottom w:val="nil"/>
              <w:right w:val="nil"/>
            </w:tcBorders>
            <w:shd w:val="clear" w:color="auto" w:fill="auto"/>
            <w:noWrap/>
            <w:vAlign w:val="bottom"/>
            <w:hideMark/>
          </w:tcPr>
          <w:p w14:paraId="25BEF102"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0.994</w:t>
            </w:r>
          </w:p>
        </w:tc>
        <w:tc>
          <w:tcPr>
            <w:tcW w:w="712" w:type="dxa"/>
            <w:tcBorders>
              <w:top w:val="nil"/>
              <w:left w:val="nil"/>
              <w:bottom w:val="nil"/>
              <w:right w:val="single" w:sz="8" w:space="0" w:color="auto"/>
            </w:tcBorders>
            <w:shd w:val="clear" w:color="auto" w:fill="auto"/>
            <w:noWrap/>
            <w:vAlign w:val="bottom"/>
            <w:hideMark/>
          </w:tcPr>
          <w:p w14:paraId="29309A64"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r>
      <w:tr w:rsidR="00E0607F" w:rsidRPr="00051696" w14:paraId="546F4584"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33679B76"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2</w:t>
            </w:r>
          </w:p>
        </w:tc>
        <w:tc>
          <w:tcPr>
            <w:tcW w:w="1291" w:type="dxa"/>
            <w:tcBorders>
              <w:top w:val="nil"/>
              <w:left w:val="nil"/>
              <w:bottom w:val="nil"/>
              <w:right w:val="nil"/>
            </w:tcBorders>
            <w:shd w:val="clear" w:color="auto" w:fill="auto"/>
            <w:noWrap/>
            <w:vAlign w:val="bottom"/>
            <w:hideMark/>
          </w:tcPr>
          <w:p w14:paraId="28C3C14E" w14:textId="2C6DF9C2" w:rsidR="00BC3733" w:rsidRPr="00AA4077" w:rsidRDefault="00051696"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forest</w:t>
            </w:r>
            <w:proofErr w:type="gramEnd"/>
            <w:r w:rsidR="00BC3733" w:rsidRPr="00AA4077">
              <w:rPr>
                <w:b w:val="0"/>
                <w:bCs w:val="0"/>
                <w:i/>
                <w:iCs/>
                <w:color w:val="000000"/>
                <w:kern w:val="0"/>
                <w:sz w:val="20"/>
                <w:szCs w:val="20"/>
              </w:rPr>
              <w:t xml:space="preserve"> to cattle</w:t>
            </w:r>
          </w:p>
        </w:tc>
        <w:tc>
          <w:tcPr>
            <w:tcW w:w="1265" w:type="dxa"/>
            <w:tcBorders>
              <w:top w:val="nil"/>
              <w:left w:val="nil"/>
              <w:bottom w:val="nil"/>
              <w:right w:val="nil"/>
            </w:tcBorders>
            <w:shd w:val="clear" w:color="auto" w:fill="auto"/>
            <w:noWrap/>
            <w:vAlign w:val="bottom"/>
            <w:hideMark/>
          </w:tcPr>
          <w:p w14:paraId="78DB9317"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1977252.765</w:t>
            </w:r>
          </w:p>
        </w:tc>
        <w:tc>
          <w:tcPr>
            <w:tcW w:w="1166" w:type="dxa"/>
            <w:tcBorders>
              <w:top w:val="nil"/>
              <w:left w:val="nil"/>
              <w:bottom w:val="nil"/>
              <w:right w:val="nil"/>
            </w:tcBorders>
            <w:shd w:val="clear" w:color="auto" w:fill="auto"/>
            <w:noWrap/>
            <w:vAlign w:val="bottom"/>
            <w:hideMark/>
          </w:tcPr>
          <w:p w14:paraId="1AA6DDAE"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163252.335</w:t>
            </w:r>
          </w:p>
        </w:tc>
        <w:tc>
          <w:tcPr>
            <w:tcW w:w="1265" w:type="dxa"/>
            <w:tcBorders>
              <w:top w:val="nil"/>
              <w:left w:val="nil"/>
              <w:bottom w:val="nil"/>
              <w:right w:val="nil"/>
            </w:tcBorders>
            <w:shd w:val="clear" w:color="auto" w:fill="auto"/>
            <w:noWrap/>
            <w:vAlign w:val="bottom"/>
            <w:hideMark/>
          </w:tcPr>
          <w:p w14:paraId="0E932DA9"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8.256523288</w:t>
            </w:r>
          </w:p>
        </w:tc>
        <w:tc>
          <w:tcPr>
            <w:tcW w:w="1265" w:type="dxa"/>
            <w:tcBorders>
              <w:top w:val="nil"/>
              <w:left w:val="nil"/>
              <w:bottom w:val="nil"/>
              <w:right w:val="nil"/>
            </w:tcBorders>
            <w:shd w:val="clear" w:color="auto" w:fill="auto"/>
            <w:noWrap/>
            <w:vAlign w:val="bottom"/>
            <w:hideMark/>
          </w:tcPr>
          <w:p w14:paraId="3F4B70E1"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2149128.679</w:t>
            </w:r>
          </w:p>
        </w:tc>
        <w:tc>
          <w:tcPr>
            <w:tcW w:w="1265" w:type="dxa"/>
            <w:tcBorders>
              <w:top w:val="nil"/>
              <w:left w:val="nil"/>
              <w:bottom w:val="nil"/>
              <w:right w:val="nil"/>
            </w:tcBorders>
            <w:shd w:val="clear" w:color="auto" w:fill="auto"/>
            <w:noWrap/>
            <w:vAlign w:val="bottom"/>
            <w:hideMark/>
          </w:tcPr>
          <w:p w14:paraId="4C36425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-171875.9139</w:t>
            </w:r>
          </w:p>
        </w:tc>
        <w:tc>
          <w:tcPr>
            <w:tcW w:w="1054" w:type="dxa"/>
            <w:tcBorders>
              <w:top w:val="nil"/>
              <w:left w:val="nil"/>
              <w:bottom w:val="nil"/>
              <w:right w:val="nil"/>
            </w:tcBorders>
            <w:shd w:val="clear" w:color="auto" w:fill="auto"/>
            <w:noWrap/>
            <w:vAlign w:val="bottom"/>
            <w:hideMark/>
          </w:tcPr>
          <w:p w14:paraId="589B5B2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c>
          <w:tcPr>
            <w:tcW w:w="712" w:type="dxa"/>
            <w:tcBorders>
              <w:top w:val="nil"/>
              <w:left w:val="nil"/>
              <w:bottom w:val="nil"/>
              <w:right w:val="single" w:sz="8" w:space="0" w:color="auto"/>
            </w:tcBorders>
            <w:shd w:val="clear" w:color="auto" w:fill="auto"/>
            <w:noWrap/>
            <w:vAlign w:val="bottom"/>
            <w:hideMark/>
          </w:tcPr>
          <w:p w14:paraId="5B0470F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0.92</w:t>
            </w:r>
          </w:p>
        </w:tc>
      </w:tr>
      <w:tr w:rsidR="00E0607F" w:rsidRPr="00051696" w14:paraId="17E699DD"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4BCACE37"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3</w:t>
            </w:r>
          </w:p>
        </w:tc>
        <w:tc>
          <w:tcPr>
            <w:tcW w:w="1291" w:type="dxa"/>
            <w:tcBorders>
              <w:top w:val="nil"/>
              <w:left w:val="nil"/>
              <w:bottom w:val="nil"/>
              <w:right w:val="nil"/>
            </w:tcBorders>
            <w:shd w:val="clear" w:color="auto" w:fill="auto"/>
            <w:noWrap/>
            <w:vAlign w:val="bottom"/>
            <w:hideMark/>
          </w:tcPr>
          <w:p w14:paraId="3E55F816" w14:textId="77777777"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stable</w:t>
            </w:r>
            <w:proofErr w:type="gramEnd"/>
            <w:r w:rsidRPr="00AA4077">
              <w:rPr>
                <w:b w:val="0"/>
                <w:bCs w:val="0"/>
                <w:i/>
                <w:iCs/>
                <w:color w:val="000000"/>
                <w:kern w:val="0"/>
                <w:sz w:val="20"/>
                <w:szCs w:val="20"/>
              </w:rPr>
              <w:t xml:space="preserve"> natural</w:t>
            </w:r>
          </w:p>
        </w:tc>
        <w:tc>
          <w:tcPr>
            <w:tcW w:w="1265" w:type="dxa"/>
            <w:tcBorders>
              <w:top w:val="nil"/>
              <w:left w:val="nil"/>
              <w:bottom w:val="nil"/>
              <w:right w:val="nil"/>
            </w:tcBorders>
            <w:shd w:val="clear" w:color="auto" w:fill="auto"/>
            <w:noWrap/>
            <w:vAlign w:val="bottom"/>
            <w:hideMark/>
          </w:tcPr>
          <w:p w14:paraId="031B313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44498299.7</w:t>
            </w:r>
          </w:p>
        </w:tc>
        <w:tc>
          <w:tcPr>
            <w:tcW w:w="1166" w:type="dxa"/>
            <w:tcBorders>
              <w:top w:val="nil"/>
              <w:left w:val="nil"/>
              <w:bottom w:val="nil"/>
              <w:right w:val="nil"/>
            </w:tcBorders>
            <w:shd w:val="clear" w:color="auto" w:fill="auto"/>
            <w:noWrap/>
            <w:vAlign w:val="bottom"/>
            <w:hideMark/>
          </w:tcPr>
          <w:p w14:paraId="453CFBC7"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142909.139</w:t>
            </w:r>
          </w:p>
        </w:tc>
        <w:tc>
          <w:tcPr>
            <w:tcW w:w="1265" w:type="dxa"/>
            <w:tcBorders>
              <w:top w:val="nil"/>
              <w:left w:val="nil"/>
              <w:bottom w:val="nil"/>
              <w:right w:val="nil"/>
            </w:tcBorders>
            <w:shd w:val="clear" w:color="auto" w:fill="auto"/>
            <w:noWrap/>
            <w:vAlign w:val="bottom"/>
            <w:hideMark/>
          </w:tcPr>
          <w:p w14:paraId="4F93DC7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0.321156404</w:t>
            </w:r>
          </w:p>
        </w:tc>
        <w:tc>
          <w:tcPr>
            <w:tcW w:w="1265" w:type="dxa"/>
            <w:tcBorders>
              <w:top w:val="nil"/>
              <w:left w:val="nil"/>
              <w:bottom w:val="nil"/>
              <w:right w:val="nil"/>
            </w:tcBorders>
            <w:shd w:val="clear" w:color="auto" w:fill="auto"/>
            <w:noWrap/>
            <w:vAlign w:val="bottom"/>
            <w:hideMark/>
          </w:tcPr>
          <w:p w14:paraId="767E4DB2"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44369351.97</w:t>
            </w:r>
          </w:p>
        </w:tc>
        <w:tc>
          <w:tcPr>
            <w:tcW w:w="1265" w:type="dxa"/>
            <w:tcBorders>
              <w:top w:val="nil"/>
              <w:left w:val="nil"/>
              <w:bottom w:val="nil"/>
              <w:right w:val="nil"/>
            </w:tcBorders>
            <w:shd w:val="clear" w:color="auto" w:fill="auto"/>
            <w:noWrap/>
            <w:vAlign w:val="bottom"/>
            <w:hideMark/>
          </w:tcPr>
          <w:p w14:paraId="66779EE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128947.721</w:t>
            </w:r>
          </w:p>
        </w:tc>
        <w:tc>
          <w:tcPr>
            <w:tcW w:w="1054" w:type="dxa"/>
            <w:tcBorders>
              <w:top w:val="nil"/>
              <w:left w:val="nil"/>
              <w:bottom w:val="nil"/>
              <w:right w:val="nil"/>
            </w:tcBorders>
            <w:shd w:val="clear" w:color="auto" w:fill="auto"/>
            <w:noWrap/>
            <w:vAlign w:val="bottom"/>
            <w:hideMark/>
          </w:tcPr>
          <w:p w14:paraId="1617B380"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0.997</w:t>
            </w:r>
          </w:p>
        </w:tc>
        <w:tc>
          <w:tcPr>
            <w:tcW w:w="712" w:type="dxa"/>
            <w:tcBorders>
              <w:top w:val="nil"/>
              <w:left w:val="nil"/>
              <w:bottom w:val="nil"/>
              <w:right w:val="single" w:sz="8" w:space="0" w:color="auto"/>
            </w:tcBorders>
            <w:shd w:val="clear" w:color="auto" w:fill="auto"/>
            <w:noWrap/>
            <w:vAlign w:val="bottom"/>
            <w:hideMark/>
          </w:tcPr>
          <w:p w14:paraId="264DF617"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r>
      <w:tr w:rsidR="00E0607F" w:rsidRPr="00051696" w14:paraId="7DEC4450"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04A96E08"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4</w:t>
            </w:r>
          </w:p>
        </w:tc>
        <w:tc>
          <w:tcPr>
            <w:tcW w:w="1291" w:type="dxa"/>
            <w:tcBorders>
              <w:top w:val="nil"/>
              <w:left w:val="nil"/>
              <w:bottom w:val="nil"/>
              <w:right w:val="nil"/>
            </w:tcBorders>
            <w:shd w:val="clear" w:color="auto" w:fill="auto"/>
            <w:noWrap/>
            <w:vAlign w:val="bottom"/>
            <w:hideMark/>
          </w:tcPr>
          <w:p w14:paraId="72EEEBF7" w14:textId="77777777"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cattle</w:t>
            </w:r>
            <w:proofErr w:type="gramEnd"/>
            <w:r w:rsidRPr="00AA4077">
              <w:rPr>
                <w:b w:val="0"/>
                <w:bCs w:val="0"/>
                <w:i/>
                <w:iCs/>
                <w:color w:val="000000"/>
                <w:kern w:val="0"/>
                <w:sz w:val="20"/>
                <w:szCs w:val="20"/>
              </w:rPr>
              <w:t xml:space="preserve"> to coca</w:t>
            </w:r>
          </w:p>
        </w:tc>
        <w:tc>
          <w:tcPr>
            <w:tcW w:w="1265" w:type="dxa"/>
            <w:tcBorders>
              <w:top w:val="nil"/>
              <w:left w:val="nil"/>
              <w:bottom w:val="nil"/>
              <w:right w:val="nil"/>
            </w:tcBorders>
            <w:shd w:val="clear" w:color="auto" w:fill="auto"/>
            <w:noWrap/>
            <w:vAlign w:val="bottom"/>
            <w:hideMark/>
          </w:tcPr>
          <w:p w14:paraId="52DF525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435.044</w:t>
            </w:r>
          </w:p>
        </w:tc>
        <w:tc>
          <w:tcPr>
            <w:tcW w:w="1166" w:type="dxa"/>
            <w:tcBorders>
              <w:top w:val="nil"/>
              <w:left w:val="nil"/>
              <w:bottom w:val="nil"/>
              <w:right w:val="nil"/>
            </w:tcBorders>
            <w:shd w:val="clear" w:color="auto" w:fill="auto"/>
            <w:noWrap/>
            <w:vAlign w:val="bottom"/>
            <w:hideMark/>
          </w:tcPr>
          <w:p w14:paraId="5C67F93A"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148.113</w:t>
            </w:r>
          </w:p>
        </w:tc>
        <w:tc>
          <w:tcPr>
            <w:tcW w:w="1265" w:type="dxa"/>
            <w:tcBorders>
              <w:top w:val="nil"/>
              <w:left w:val="nil"/>
              <w:bottom w:val="nil"/>
              <w:right w:val="nil"/>
            </w:tcBorders>
            <w:shd w:val="clear" w:color="auto" w:fill="auto"/>
            <w:noWrap/>
            <w:vAlign w:val="bottom"/>
            <w:hideMark/>
          </w:tcPr>
          <w:p w14:paraId="1BD1036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34.04552183</w:t>
            </w:r>
          </w:p>
        </w:tc>
        <w:tc>
          <w:tcPr>
            <w:tcW w:w="1265" w:type="dxa"/>
            <w:tcBorders>
              <w:top w:val="nil"/>
              <w:left w:val="nil"/>
              <w:bottom w:val="nil"/>
              <w:right w:val="nil"/>
            </w:tcBorders>
            <w:shd w:val="clear" w:color="auto" w:fill="auto"/>
            <w:noWrap/>
            <w:vAlign w:val="bottom"/>
            <w:hideMark/>
          </w:tcPr>
          <w:p w14:paraId="3C7D793D"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815.7072563</w:t>
            </w:r>
          </w:p>
        </w:tc>
        <w:tc>
          <w:tcPr>
            <w:tcW w:w="1265" w:type="dxa"/>
            <w:tcBorders>
              <w:top w:val="nil"/>
              <w:left w:val="nil"/>
              <w:bottom w:val="nil"/>
              <w:right w:val="nil"/>
            </w:tcBorders>
            <w:shd w:val="clear" w:color="auto" w:fill="auto"/>
            <w:noWrap/>
            <w:vAlign w:val="bottom"/>
            <w:hideMark/>
          </w:tcPr>
          <w:p w14:paraId="34A0F0AD"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-380.6632563</w:t>
            </w:r>
          </w:p>
        </w:tc>
        <w:tc>
          <w:tcPr>
            <w:tcW w:w="1054" w:type="dxa"/>
            <w:tcBorders>
              <w:top w:val="nil"/>
              <w:left w:val="nil"/>
              <w:bottom w:val="nil"/>
              <w:right w:val="nil"/>
            </w:tcBorders>
            <w:shd w:val="clear" w:color="auto" w:fill="auto"/>
            <w:noWrap/>
            <w:vAlign w:val="bottom"/>
            <w:hideMark/>
          </w:tcPr>
          <w:p w14:paraId="1D3DFCA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c>
          <w:tcPr>
            <w:tcW w:w="712" w:type="dxa"/>
            <w:tcBorders>
              <w:top w:val="nil"/>
              <w:left w:val="nil"/>
              <w:bottom w:val="nil"/>
              <w:right w:val="single" w:sz="8" w:space="0" w:color="auto"/>
            </w:tcBorders>
            <w:shd w:val="clear" w:color="auto" w:fill="auto"/>
            <w:noWrap/>
            <w:vAlign w:val="bottom"/>
            <w:hideMark/>
          </w:tcPr>
          <w:p w14:paraId="6E13854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0.533</w:t>
            </w:r>
          </w:p>
        </w:tc>
      </w:tr>
      <w:tr w:rsidR="00E0607F" w:rsidRPr="00051696" w14:paraId="241C5F25"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6C059D5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5</w:t>
            </w:r>
          </w:p>
        </w:tc>
        <w:tc>
          <w:tcPr>
            <w:tcW w:w="1291" w:type="dxa"/>
            <w:tcBorders>
              <w:top w:val="nil"/>
              <w:left w:val="nil"/>
              <w:bottom w:val="nil"/>
              <w:right w:val="nil"/>
            </w:tcBorders>
            <w:shd w:val="clear" w:color="auto" w:fill="auto"/>
            <w:noWrap/>
            <w:vAlign w:val="bottom"/>
            <w:hideMark/>
          </w:tcPr>
          <w:p w14:paraId="2E71B1DA" w14:textId="77777777"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stable</w:t>
            </w:r>
            <w:proofErr w:type="gramEnd"/>
            <w:r w:rsidRPr="00AA4077">
              <w:rPr>
                <w:b w:val="0"/>
                <w:bCs w:val="0"/>
                <w:i/>
                <w:iCs/>
                <w:color w:val="000000"/>
                <w:kern w:val="0"/>
                <w:sz w:val="20"/>
                <w:szCs w:val="20"/>
              </w:rPr>
              <w:t xml:space="preserve"> cattle</w:t>
            </w:r>
          </w:p>
        </w:tc>
        <w:tc>
          <w:tcPr>
            <w:tcW w:w="1265" w:type="dxa"/>
            <w:tcBorders>
              <w:top w:val="nil"/>
              <w:left w:val="nil"/>
              <w:bottom w:val="nil"/>
              <w:right w:val="nil"/>
            </w:tcBorders>
            <w:shd w:val="clear" w:color="auto" w:fill="auto"/>
            <w:noWrap/>
            <w:vAlign w:val="bottom"/>
            <w:hideMark/>
          </w:tcPr>
          <w:p w14:paraId="5AC0C84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993255.766</w:t>
            </w:r>
          </w:p>
        </w:tc>
        <w:tc>
          <w:tcPr>
            <w:tcW w:w="1166" w:type="dxa"/>
            <w:tcBorders>
              <w:top w:val="nil"/>
              <w:left w:val="nil"/>
              <w:bottom w:val="nil"/>
              <w:right w:val="nil"/>
            </w:tcBorders>
            <w:shd w:val="clear" w:color="auto" w:fill="auto"/>
            <w:noWrap/>
            <w:vAlign w:val="bottom"/>
            <w:hideMark/>
          </w:tcPr>
          <w:p w14:paraId="30D0C5C1"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106975.602</w:t>
            </w:r>
          </w:p>
        </w:tc>
        <w:tc>
          <w:tcPr>
            <w:tcW w:w="1265" w:type="dxa"/>
            <w:tcBorders>
              <w:top w:val="nil"/>
              <w:left w:val="nil"/>
              <w:bottom w:val="nil"/>
              <w:right w:val="nil"/>
            </w:tcBorders>
            <w:shd w:val="clear" w:color="auto" w:fill="auto"/>
            <w:noWrap/>
            <w:vAlign w:val="bottom"/>
            <w:hideMark/>
          </w:tcPr>
          <w:p w14:paraId="543F5527"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10.77019693</w:t>
            </w:r>
          </w:p>
        </w:tc>
        <w:tc>
          <w:tcPr>
            <w:tcW w:w="1265" w:type="dxa"/>
            <w:tcBorders>
              <w:top w:val="nil"/>
              <w:left w:val="nil"/>
              <w:bottom w:val="nil"/>
              <w:right w:val="nil"/>
            </w:tcBorders>
            <w:shd w:val="clear" w:color="auto" w:fill="auto"/>
            <w:noWrap/>
            <w:vAlign w:val="bottom"/>
            <w:hideMark/>
          </w:tcPr>
          <w:p w14:paraId="1CB2A36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973936.5551</w:t>
            </w:r>
          </w:p>
        </w:tc>
        <w:tc>
          <w:tcPr>
            <w:tcW w:w="1265" w:type="dxa"/>
            <w:tcBorders>
              <w:top w:val="nil"/>
              <w:left w:val="nil"/>
              <w:bottom w:val="nil"/>
              <w:right w:val="nil"/>
            </w:tcBorders>
            <w:shd w:val="clear" w:color="auto" w:fill="auto"/>
            <w:noWrap/>
            <w:vAlign w:val="bottom"/>
            <w:hideMark/>
          </w:tcPr>
          <w:p w14:paraId="0C340914"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19319.2109</w:t>
            </w:r>
          </w:p>
        </w:tc>
        <w:tc>
          <w:tcPr>
            <w:tcW w:w="1054" w:type="dxa"/>
            <w:tcBorders>
              <w:top w:val="nil"/>
              <w:left w:val="nil"/>
              <w:bottom w:val="nil"/>
              <w:right w:val="nil"/>
            </w:tcBorders>
            <w:shd w:val="clear" w:color="auto" w:fill="auto"/>
            <w:noWrap/>
            <w:vAlign w:val="bottom"/>
            <w:hideMark/>
          </w:tcPr>
          <w:p w14:paraId="434D0980"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0.948</w:t>
            </w:r>
          </w:p>
        </w:tc>
        <w:tc>
          <w:tcPr>
            <w:tcW w:w="712" w:type="dxa"/>
            <w:tcBorders>
              <w:top w:val="nil"/>
              <w:left w:val="nil"/>
              <w:bottom w:val="nil"/>
              <w:right w:val="single" w:sz="8" w:space="0" w:color="auto"/>
            </w:tcBorders>
            <w:shd w:val="clear" w:color="auto" w:fill="auto"/>
            <w:noWrap/>
            <w:vAlign w:val="bottom"/>
            <w:hideMark/>
          </w:tcPr>
          <w:p w14:paraId="7D72470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0.967</w:t>
            </w:r>
          </w:p>
        </w:tc>
      </w:tr>
      <w:tr w:rsidR="00E0607F" w:rsidRPr="00051696" w14:paraId="3BCFB3F6"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6F7AC284"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6</w:t>
            </w:r>
          </w:p>
        </w:tc>
        <w:tc>
          <w:tcPr>
            <w:tcW w:w="1291" w:type="dxa"/>
            <w:tcBorders>
              <w:top w:val="nil"/>
              <w:left w:val="nil"/>
              <w:bottom w:val="nil"/>
              <w:right w:val="nil"/>
            </w:tcBorders>
            <w:shd w:val="clear" w:color="auto" w:fill="auto"/>
            <w:noWrap/>
            <w:vAlign w:val="bottom"/>
            <w:hideMark/>
          </w:tcPr>
          <w:p w14:paraId="53852502" w14:textId="6B70F7F2"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cattle</w:t>
            </w:r>
            <w:proofErr w:type="gramEnd"/>
            <w:r w:rsidRPr="00AA4077">
              <w:rPr>
                <w:b w:val="0"/>
                <w:bCs w:val="0"/>
                <w:i/>
                <w:iCs/>
                <w:color w:val="000000"/>
                <w:kern w:val="0"/>
                <w:sz w:val="20"/>
                <w:szCs w:val="20"/>
              </w:rPr>
              <w:t xml:space="preserve"> to </w:t>
            </w:r>
            <w:r w:rsidR="00051696" w:rsidRPr="00AA4077">
              <w:rPr>
                <w:b w:val="0"/>
                <w:bCs w:val="0"/>
                <w:i/>
                <w:iCs/>
                <w:color w:val="000000"/>
                <w:kern w:val="0"/>
                <w:sz w:val="20"/>
                <w:szCs w:val="20"/>
              </w:rPr>
              <w:t>forest</w:t>
            </w:r>
          </w:p>
        </w:tc>
        <w:tc>
          <w:tcPr>
            <w:tcW w:w="1265" w:type="dxa"/>
            <w:tcBorders>
              <w:top w:val="nil"/>
              <w:left w:val="nil"/>
              <w:bottom w:val="nil"/>
              <w:right w:val="nil"/>
            </w:tcBorders>
            <w:shd w:val="clear" w:color="auto" w:fill="auto"/>
            <w:noWrap/>
            <w:vAlign w:val="bottom"/>
            <w:hideMark/>
          </w:tcPr>
          <w:p w14:paraId="35E99CA9"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278925.03</w:t>
            </w:r>
          </w:p>
        </w:tc>
        <w:tc>
          <w:tcPr>
            <w:tcW w:w="1166" w:type="dxa"/>
            <w:tcBorders>
              <w:top w:val="nil"/>
              <w:left w:val="nil"/>
              <w:bottom w:val="nil"/>
              <w:right w:val="nil"/>
            </w:tcBorders>
            <w:shd w:val="clear" w:color="auto" w:fill="auto"/>
            <w:noWrap/>
            <w:vAlign w:val="bottom"/>
            <w:hideMark/>
          </w:tcPr>
          <w:p w14:paraId="5E2BDE8D"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65927.384</w:t>
            </w:r>
          </w:p>
        </w:tc>
        <w:tc>
          <w:tcPr>
            <w:tcW w:w="1265" w:type="dxa"/>
            <w:tcBorders>
              <w:top w:val="nil"/>
              <w:left w:val="nil"/>
              <w:bottom w:val="nil"/>
              <w:right w:val="nil"/>
            </w:tcBorders>
            <w:shd w:val="clear" w:color="auto" w:fill="auto"/>
            <w:noWrap/>
            <w:vAlign w:val="bottom"/>
            <w:hideMark/>
          </w:tcPr>
          <w:p w14:paraId="5405BB49"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23.63623802</w:t>
            </w:r>
          </w:p>
        </w:tc>
        <w:tc>
          <w:tcPr>
            <w:tcW w:w="1265" w:type="dxa"/>
            <w:tcBorders>
              <w:top w:val="nil"/>
              <w:left w:val="nil"/>
              <w:bottom w:val="nil"/>
              <w:right w:val="nil"/>
            </w:tcBorders>
            <w:shd w:val="clear" w:color="auto" w:fill="auto"/>
            <w:noWrap/>
            <w:vAlign w:val="bottom"/>
            <w:hideMark/>
          </w:tcPr>
          <w:p w14:paraId="7AEEC738"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255234.4763</w:t>
            </w:r>
          </w:p>
        </w:tc>
        <w:tc>
          <w:tcPr>
            <w:tcW w:w="1265" w:type="dxa"/>
            <w:tcBorders>
              <w:top w:val="nil"/>
              <w:left w:val="nil"/>
              <w:bottom w:val="nil"/>
              <w:right w:val="nil"/>
            </w:tcBorders>
            <w:shd w:val="clear" w:color="auto" w:fill="auto"/>
            <w:noWrap/>
            <w:vAlign w:val="bottom"/>
            <w:hideMark/>
          </w:tcPr>
          <w:p w14:paraId="355D982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23690.55372</w:t>
            </w:r>
          </w:p>
        </w:tc>
        <w:tc>
          <w:tcPr>
            <w:tcW w:w="1054" w:type="dxa"/>
            <w:tcBorders>
              <w:top w:val="nil"/>
              <w:left w:val="nil"/>
              <w:bottom w:val="nil"/>
              <w:right w:val="nil"/>
            </w:tcBorders>
            <w:shd w:val="clear" w:color="auto" w:fill="auto"/>
            <w:noWrap/>
            <w:vAlign w:val="bottom"/>
            <w:hideMark/>
          </w:tcPr>
          <w:p w14:paraId="62A387F4"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0.884</w:t>
            </w:r>
          </w:p>
        </w:tc>
        <w:tc>
          <w:tcPr>
            <w:tcW w:w="712" w:type="dxa"/>
            <w:tcBorders>
              <w:top w:val="nil"/>
              <w:left w:val="nil"/>
              <w:bottom w:val="nil"/>
              <w:right w:val="single" w:sz="8" w:space="0" w:color="auto"/>
            </w:tcBorders>
            <w:shd w:val="clear" w:color="auto" w:fill="auto"/>
            <w:noWrap/>
            <w:vAlign w:val="bottom"/>
            <w:hideMark/>
          </w:tcPr>
          <w:p w14:paraId="36A38FC8"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0.966</w:t>
            </w:r>
          </w:p>
        </w:tc>
      </w:tr>
      <w:tr w:rsidR="00E0607F" w:rsidRPr="00051696" w14:paraId="54CB7D7D"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2A37C91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7</w:t>
            </w:r>
          </w:p>
        </w:tc>
        <w:tc>
          <w:tcPr>
            <w:tcW w:w="1291" w:type="dxa"/>
            <w:tcBorders>
              <w:top w:val="nil"/>
              <w:left w:val="nil"/>
              <w:bottom w:val="nil"/>
              <w:right w:val="nil"/>
            </w:tcBorders>
            <w:shd w:val="clear" w:color="auto" w:fill="auto"/>
            <w:noWrap/>
            <w:vAlign w:val="bottom"/>
            <w:hideMark/>
          </w:tcPr>
          <w:p w14:paraId="3929962D" w14:textId="77777777"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stable</w:t>
            </w:r>
            <w:proofErr w:type="gramEnd"/>
            <w:r w:rsidRPr="00AA4077">
              <w:rPr>
                <w:b w:val="0"/>
                <w:bCs w:val="0"/>
                <w:i/>
                <w:iCs/>
                <w:color w:val="000000"/>
                <w:kern w:val="0"/>
                <w:sz w:val="20"/>
                <w:szCs w:val="20"/>
              </w:rPr>
              <w:t xml:space="preserve"> coca</w:t>
            </w:r>
          </w:p>
        </w:tc>
        <w:tc>
          <w:tcPr>
            <w:tcW w:w="1265" w:type="dxa"/>
            <w:tcBorders>
              <w:top w:val="nil"/>
              <w:left w:val="nil"/>
              <w:bottom w:val="nil"/>
              <w:right w:val="nil"/>
            </w:tcBorders>
            <w:shd w:val="clear" w:color="auto" w:fill="auto"/>
            <w:noWrap/>
            <w:vAlign w:val="bottom"/>
            <w:hideMark/>
          </w:tcPr>
          <w:p w14:paraId="0B72FFA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174.439</w:t>
            </w:r>
          </w:p>
        </w:tc>
        <w:tc>
          <w:tcPr>
            <w:tcW w:w="1166" w:type="dxa"/>
            <w:tcBorders>
              <w:top w:val="nil"/>
              <w:left w:val="nil"/>
              <w:bottom w:val="nil"/>
              <w:right w:val="nil"/>
            </w:tcBorders>
            <w:shd w:val="clear" w:color="auto" w:fill="auto"/>
            <w:noWrap/>
            <w:vAlign w:val="bottom"/>
            <w:hideMark/>
          </w:tcPr>
          <w:p w14:paraId="55C5C809"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74.057</w:t>
            </w:r>
          </w:p>
        </w:tc>
        <w:tc>
          <w:tcPr>
            <w:tcW w:w="1265" w:type="dxa"/>
            <w:tcBorders>
              <w:top w:val="nil"/>
              <w:left w:val="nil"/>
              <w:bottom w:val="nil"/>
              <w:right w:val="nil"/>
            </w:tcBorders>
            <w:shd w:val="clear" w:color="auto" w:fill="auto"/>
            <w:noWrap/>
            <w:vAlign w:val="bottom"/>
            <w:hideMark/>
          </w:tcPr>
          <w:p w14:paraId="1F97E779"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42.45438233</w:t>
            </w:r>
          </w:p>
        </w:tc>
        <w:tc>
          <w:tcPr>
            <w:tcW w:w="1265" w:type="dxa"/>
            <w:tcBorders>
              <w:top w:val="nil"/>
              <w:left w:val="nil"/>
              <w:bottom w:val="nil"/>
              <w:right w:val="nil"/>
            </w:tcBorders>
            <w:shd w:val="clear" w:color="auto" w:fill="auto"/>
            <w:noWrap/>
            <w:vAlign w:val="bottom"/>
            <w:hideMark/>
          </w:tcPr>
          <w:p w14:paraId="2197DD82"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120.0589642</w:t>
            </w:r>
          </w:p>
        </w:tc>
        <w:tc>
          <w:tcPr>
            <w:tcW w:w="1265" w:type="dxa"/>
            <w:tcBorders>
              <w:top w:val="nil"/>
              <w:left w:val="nil"/>
              <w:bottom w:val="nil"/>
              <w:right w:val="nil"/>
            </w:tcBorders>
            <w:shd w:val="clear" w:color="auto" w:fill="auto"/>
            <w:noWrap/>
            <w:vAlign w:val="bottom"/>
            <w:hideMark/>
          </w:tcPr>
          <w:p w14:paraId="5A1981D1"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54.38003575</w:t>
            </w:r>
          </w:p>
        </w:tc>
        <w:tc>
          <w:tcPr>
            <w:tcW w:w="1054" w:type="dxa"/>
            <w:tcBorders>
              <w:top w:val="nil"/>
              <w:left w:val="nil"/>
              <w:bottom w:val="nil"/>
              <w:right w:val="nil"/>
            </w:tcBorders>
            <w:shd w:val="clear" w:color="auto" w:fill="auto"/>
            <w:noWrap/>
            <w:vAlign w:val="bottom"/>
            <w:hideMark/>
          </w:tcPr>
          <w:p w14:paraId="1F96149B"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0.688</w:t>
            </w:r>
          </w:p>
        </w:tc>
        <w:tc>
          <w:tcPr>
            <w:tcW w:w="712" w:type="dxa"/>
            <w:tcBorders>
              <w:top w:val="nil"/>
              <w:left w:val="nil"/>
              <w:bottom w:val="nil"/>
              <w:right w:val="single" w:sz="8" w:space="0" w:color="auto"/>
            </w:tcBorders>
            <w:shd w:val="clear" w:color="auto" w:fill="auto"/>
            <w:noWrap/>
            <w:vAlign w:val="bottom"/>
            <w:hideMark/>
          </w:tcPr>
          <w:p w14:paraId="5BA14471"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r>
      <w:tr w:rsidR="00E0607F" w:rsidRPr="00051696" w14:paraId="28A0B867" w14:textId="77777777" w:rsidTr="00E0607F">
        <w:trPr>
          <w:trHeight w:val="150"/>
        </w:trPr>
        <w:tc>
          <w:tcPr>
            <w:tcW w:w="504" w:type="dxa"/>
            <w:tcBorders>
              <w:top w:val="nil"/>
              <w:left w:val="single" w:sz="8" w:space="0" w:color="auto"/>
              <w:bottom w:val="nil"/>
              <w:right w:val="nil"/>
            </w:tcBorders>
            <w:shd w:val="clear" w:color="auto" w:fill="auto"/>
            <w:noWrap/>
            <w:vAlign w:val="bottom"/>
            <w:hideMark/>
          </w:tcPr>
          <w:p w14:paraId="1D9A0778"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8</w:t>
            </w:r>
          </w:p>
        </w:tc>
        <w:tc>
          <w:tcPr>
            <w:tcW w:w="1291" w:type="dxa"/>
            <w:tcBorders>
              <w:top w:val="nil"/>
              <w:left w:val="nil"/>
              <w:bottom w:val="nil"/>
              <w:right w:val="nil"/>
            </w:tcBorders>
            <w:shd w:val="clear" w:color="auto" w:fill="auto"/>
            <w:noWrap/>
            <w:vAlign w:val="bottom"/>
            <w:hideMark/>
          </w:tcPr>
          <w:p w14:paraId="391D3F04" w14:textId="77777777"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coca</w:t>
            </w:r>
            <w:proofErr w:type="gramEnd"/>
            <w:r w:rsidRPr="00AA4077">
              <w:rPr>
                <w:b w:val="0"/>
                <w:bCs w:val="0"/>
                <w:i/>
                <w:iCs/>
                <w:color w:val="000000"/>
                <w:kern w:val="0"/>
                <w:sz w:val="20"/>
                <w:szCs w:val="20"/>
              </w:rPr>
              <w:t xml:space="preserve"> to cattle</w:t>
            </w:r>
          </w:p>
        </w:tc>
        <w:tc>
          <w:tcPr>
            <w:tcW w:w="1265" w:type="dxa"/>
            <w:tcBorders>
              <w:top w:val="nil"/>
              <w:left w:val="nil"/>
              <w:bottom w:val="nil"/>
              <w:right w:val="nil"/>
            </w:tcBorders>
            <w:shd w:val="clear" w:color="auto" w:fill="auto"/>
            <w:noWrap/>
            <w:vAlign w:val="bottom"/>
            <w:hideMark/>
          </w:tcPr>
          <w:p w14:paraId="32074DAD"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6091.217</w:t>
            </w:r>
          </w:p>
        </w:tc>
        <w:tc>
          <w:tcPr>
            <w:tcW w:w="1166" w:type="dxa"/>
            <w:tcBorders>
              <w:top w:val="nil"/>
              <w:left w:val="nil"/>
              <w:bottom w:val="nil"/>
              <w:right w:val="nil"/>
            </w:tcBorders>
            <w:shd w:val="clear" w:color="auto" w:fill="auto"/>
            <w:noWrap/>
            <w:vAlign w:val="bottom"/>
            <w:hideMark/>
          </w:tcPr>
          <w:p w14:paraId="5D3BBBCA"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737.621</w:t>
            </w:r>
          </w:p>
        </w:tc>
        <w:tc>
          <w:tcPr>
            <w:tcW w:w="1265" w:type="dxa"/>
            <w:tcBorders>
              <w:top w:val="nil"/>
              <w:left w:val="nil"/>
              <w:bottom w:val="nil"/>
              <w:right w:val="nil"/>
            </w:tcBorders>
            <w:shd w:val="clear" w:color="auto" w:fill="auto"/>
            <w:noWrap/>
            <w:vAlign w:val="bottom"/>
            <w:hideMark/>
          </w:tcPr>
          <w:p w14:paraId="57A01B5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12.10958336</w:t>
            </w:r>
          </w:p>
        </w:tc>
        <w:tc>
          <w:tcPr>
            <w:tcW w:w="1265" w:type="dxa"/>
            <w:tcBorders>
              <w:top w:val="nil"/>
              <w:left w:val="nil"/>
              <w:bottom w:val="nil"/>
              <w:right w:val="nil"/>
            </w:tcBorders>
            <w:shd w:val="clear" w:color="auto" w:fill="auto"/>
            <w:noWrap/>
            <w:vAlign w:val="bottom"/>
            <w:hideMark/>
          </w:tcPr>
          <w:p w14:paraId="34457BB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6737.807134</w:t>
            </w:r>
          </w:p>
        </w:tc>
        <w:tc>
          <w:tcPr>
            <w:tcW w:w="1265" w:type="dxa"/>
            <w:tcBorders>
              <w:top w:val="nil"/>
              <w:left w:val="nil"/>
              <w:bottom w:val="nil"/>
              <w:right w:val="nil"/>
            </w:tcBorders>
            <w:shd w:val="clear" w:color="auto" w:fill="auto"/>
            <w:noWrap/>
            <w:vAlign w:val="bottom"/>
            <w:hideMark/>
          </w:tcPr>
          <w:p w14:paraId="68A92F7E"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-646.5901343</w:t>
            </w:r>
          </w:p>
        </w:tc>
        <w:tc>
          <w:tcPr>
            <w:tcW w:w="1054" w:type="dxa"/>
            <w:tcBorders>
              <w:top w:val="nil"/>
              <w:left w:val="nil"/>
              <w:bottom w:val="nil"/>
              <w:right w:val="nil"/>
            </w:tcBorders>
            <w:shd w:val="clear" w:color="auto" w:fill="auto"/>
            <w:noWrap/>
            <w:vAlign w:val="bottom"/>
            <w:hideMark/>
          </w:tcPr>
          <w:p w14:paraId="3D8FDE33"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0.996</w:t>
            </w:r>
          </w:p>
        </w:tc>
        <w:tc>
          <w:tcPr>
            <w:tcW w:w="712" w:type="dxa"/>
            <w:tcBorders>
              <w:top w:val="nil"/>
              <w:left w:val="nil"/>
              <w:bottom w:val="nil"/>
              <w:right w:val="single" w:sz="8" w:space="0" w:color="auto"/>
            </w:tcBorders>
            <w:shd w:val="clear" w:color="auto" w:fill="auto"/>
            <w:noWrap/>
            <w:vAlign w:val="bottom"/>
            <w:hideMark/>
          </w:tcPr>
          <w:p w14:paraId="534C13CE"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w:t>
            </w:r>
          </w:p>
        </w:tc>
      </w:tr>
      <w:tr w:rsidR="00E0607F" w:rsidRPr="00051696" w14:paraId="5FF6BEA6" w14:textId="77777777" w:rsidTr="00F94369">
        <w:trPr>
          <w:trHeight w:val="158"/>
        </w:trPr>
        <w:tc>
          <w:tcPr>
            <w:tcW w:w="504" w:type="dxa"/>
            <w:tcBorders>
              <w:top w:val="nil"/>
              <w:left w:val="single" w:sz="8" w:space="0" w:color="auto"/>
              <w:bottom w:val="nil"/>
              <w:right w:val="nil"/>
            </w:tcBorders>
            <w:shd w:val="clear" w:color="auto" w:fill="auto"/>
            <w:noWrap/>
            <w:vAlign w:val="bottom"/>
            <w:hideMark/>
          </w:tcPr>
          <w:p w14:paraId="38CF16D8"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9</w:t>
            </w:r>
          </w:p>
        </w:tc>
        <w:tc>
          <w:tcPr>
            <w:tcW w:w="1291" w:type="dxa"/>
            <w:tcBorders>
              <w:top w:val="nil"/>
              <w:left w:val="nil"/>
              <w:bottom w:val="nil"/>
              <w:right w:val="nil"/>
            </w:tcBorders>
            <w:shd w:val="clear" w:color="auto" w:fill="auto"/>
            <w:noWrap/>
            <w:vAlign w:val="bottom"/>
            <w:hideMark/>
          </w:tcPr>
          <w:p w14:paraId="7BAC249F" w14:textId="1A7CF0F1" w:rsidR="00BC3733" w:rsidRPr="00AA4077" w:rsidRDefault="00BC3733" w:rsidP="00BC3733">
            <w:pPr>
              <w:pStyle w:val="Heading1"/>
              <w:spacing w:before="280" w:after="280"/>
              <w:ind w:left="0"/>
              <w:rPr>
                <w:b w:val="0"/>
                <w:bCs w:val="0"/>
                <w:i/>
                <w:iCs/>
                <w:color w:val="000000"/>
                <w:kern w:val="0"/>
                <w:sz w:val="20"/>
                <w:szCs w:val="20"/>
              </w:rPr>
            </w:pPr>
            <w:proofErr w:type="gramStart"/>
            <w:r w:rsidRPr="00AA4077">
              <w:rPr>
                <w:b w:val="0"/>
                <w:bCs w:val="0"/>
                <w:i/>
                <w:iCs/>
                <w:color w:val="000000"/>
                <w:kern w:val="0"/>
                <w:sz w:val="20"/>
                <w:szCs w:val="20"/>
              </w:rPr>
              <w:t>coca</w:t>
            </w:r>
            <w:proofErr w:type="gramEnd"/>
            <w:r w:rsidRPr="00AA4077">
              <w:rPr>
                <w:b w:val="0"/>
                <w:bCs w:val="0"/>
                <w:i/>
                <w:iCs/>
                <w:color w:val="000000"/>
                <w:kern w:val="0"/>
                <w:sz w:val="20"/>
                <w:szCs w:val="20"/>
              </w:rPr>
              <w:t xml:space="preserve"> to </w:t>
            </w:r>
            <w:r w:rsidR="00051696" w:rsidRPr="00AA4077">
              <w:rPr>
                <w:b w:val="0"/>
                <w:bCs w:val="0"/>
                <w:i/>
                <w:iCs/>
                <w:color w:val="000000"/>
                <w:kern w:val="0"/>
                <w:sz w:val="20"/>
                <w:szCs w:val="20"/>
              </w:rPr>
              <w:t>forest</w:t>
            </w:r>
          </w:p>
        </w:tc>
        <w:tc>
          <w:tcPr>
            <w:tcW w:w="1265" w:type="dxa"/>
            <w:tcBorders>
              <w:top w:val="nil"/>
              <w:left w:val="nil"/>
              <w:bottom w:val="nil"/>
              <w:right w:val="nil"/>
            </w:tcBorders>
            <w:shd w:val="clear" w:color="auto" w:fill="auto"/>
            <w:noWrap/>
            <w:vAlign w:val="bottom"/>
            <w:hideMark/>
          </w:tcPr>
          <w:p w14:paraId="1605E4E5"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11117.007</w:t>
            </w:r>
          </w:p>
        </w:tc>
        <w:tc>
          <w:tcPr>
            <w:tcW w:w="1166" w:type="dxa"/>
            <w:tcBorders>
              <w:top w:val="nil"/>
              <w:left w:val="nil"/>
              <w:bottom w:val="nil"/>
              <w:right w:val="nil"/>
            </w:tcBorders>
            <w:shd w:val="clear" w:color="auto" w:fill="auto"/>
            <w:noWrap/>
            <w:vAlign w:val="bottom"/>
            <w:hideMark/>
          </w:tcPr>
          <w:p w14:paraId="7B2AE5DA"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737.621</w:t>
            </w:r>
          </w:p>
        </w:tc>
        <w:tc>
          <w:tcPr>
            <w:tcW w:w="1265" w:type="dxa"/>
            <w:tcBorders>
              <w:top w:val="nil"/>
              <w:left w:val="nil"/>
              <w:bottom w:val="nil"/>
              <w:right w:val="nil"/>
            </w:tcBorders>
            <w:shd w:val="clear" w:color="auto" w:fill="auto"/>
            <w:noWrap/>
            <w:vAlign w:val="bottom"/>
            <w:hideMark/>
          </w:tcPr>
          <w:p w14:paraId="37C0D308"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6.635068234</w:t>
            </w:r>
          </w:p>
        </w:tc>
        <w:tc>
          <w:tcPr>
            <w:tcW w:w="1265" w:type="dxa"/>
            <w:tcBorders>
              <w:top w:val="nil"/>
              <w:left w:val="nil"/>
              <w:bottom w:val="nil"/>
              <w:right w:val="nil"/>
            </w:tcBorders>
            <w:shd w:val="clear" w:color="auto" w:fill="auto"/>
            <w:noWrap/>
            <w:vAlign w:val="bottom"/>
            <w:hideMark/>
          </w:tcPr>
          <w:p w14:paraId="7B6CB70A"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10416.03618</w:t>
            </w:r>
          </w:p>
        </w:tc>
        <w:tc>
          <w:tcPr>
            <w:tcW w:w="1265" w:type="dxa"/>
            <w:tcBorders>
              <w:top w:val="nil"/>
              <w:left w:val="nil"/>
              <w:bottom w:val="nil"/>
              <w:right w:val="nil"/>
            </w:tcBorders>
            <w:shd w:val="clear" w:color="auto" w:fill="auto"/>
            <w:noWrap/>
            <w:vAlign w:val="bottom"/>
            <w:hideMark/>
          </w:tcPr>
          <w:p w14:paraId="14B6F25F"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700.9708185</w:t>
            </w:r>
          </w:p>
        </w:tc>
        <w:tc>
          <w:tcPr>
            <w:tcW w:w="1054" w:type="dxa"/>
            <w:tcBorders>
              <w:top w:val="nil"/>
              <w:left w:val="nil"/>
              <w:bottom w:val="nil"/>
              <w:right w:val="nil"/>
            </w:tcBorders>
            <w:shd w:val="clear" w:color="auto" w:fill="auto"/>
            <w:noWrap/>
            <w:vAlign w:val="bottom"/>
            <w:hideMark/>
          </w:tcPr>
          <w:p w14:paraId="497CE42D"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0.937</w:t>
            </w:r>
          </w:p>
        </w:tc>
        <w:tc>
          <w:tcPr>
            <w:tcW w:w="712" w:type="dxa"/>
            <w:tcBorders>
              <w:top w:val="nil"/>
              <w:left w:val="nil"/>
              <w:bottom w:val="nil"/>
              <w:right w:val="single" w:sz="8" w:space="0" w:color="auto"/>
            </w:tcBorders>
            <w:shd w:val="clear" w:color="auto" w:fill="auto"/>
            <w:noWrap/>
            <w:vAlign w:val="bottom"/>
            <w:hideMark/>
          </w:tcPr>
          <w:p w14:paraId="574A7EFE" w14:textId="77777777" w:rsidR="00BC3733" w:rsidRPr="00BC3733" w:rsidRDefault="00BC3733" w:rsidP="00BC3733">
            <w:pPr>
              <w:pStyle w:val="Heading1"/>
              <w:spacing w:before="280" w:after="280"/>
              <w:ind w:left="0"/>
              <w:rPr>
                <w:b w:val="0"/>
                <w:bCs w:val="0"/>
                <w:color w:val="000000"/>
                <w:kern w:val="0"/>
                <w:sz w:val="20"/>
                <w:szCs w:val="20"/>
              </w:rPr>
            </w:pPr>
            <w:r w:rsidRPr="00BC3733">
              <w:rPr>
                <w:b w:val="0"/>
                <w:bCs w:val="0"/>
                <w:color w:val="000000"/>
                <w:kern w:val="0"/>
                <w:sz w:val="20"/>
                <w:szCs w:val="20"/>
              </w:rPr>
              <w:t>1</w:t>
            </w:r>
          </w:p>
        </w:tc>
      </w:tr>
      <w:tr w:rsidR="00F94369" w:rsidRPr="00051696" w14:paraId="74FB5523" w14:textId="77777777" w:rsidTr="00E0607F">
        <w:trPr>
          <w:trHeight w:val="158"/>
        </w:trPr>
        <w:tc>
          <w:tcPr>
            <w:tcW w:w="504" w:type="dxa"/>
            <w:tcBorders>
              <w:top w:val="nil"/>
              <w:left w:val="single" w:sz="8" w:space="0" w:color="auto"/>
              <w:bottom w:val="single" w:sz="8" w:space="0" w:color="auto"/>
              <w:right w:val="nil"/>
            </w:tcBorders>
            <w:shd w:val="clear" w:color="auto" w:fill="auto"/>
            <w:noWrap/>
            <w:vAlign w:val="bottom"/>
          </w:tcPr>
          <w:p w14:paraId="0FF0D925" w14:textId="77777777" w:rsidR="00F94369" w:rsidRPr="00BC3733" w:rsidRDefault="00F94369" w:rsidP="00BC3733">
            <w:pPr>
              <w:pStyle w:val="Heading1"/>
              <w:spacing w:before="280" w:after="280"/>
              <w:ind w:left="0"/>
              <w:rPr>
                <w:b w:val="0"/>
                <w:bCs w:val="0"/>
                <w:color w:val="000000"/>
                <w:kern w:val="0"/>
                <w:sz w:val="20"/>
                <w:szCs w:val="20"/>
              </w:rPr>
            </w:pPr>
          </w:p>
        </w:tc>
        <w:tc>
          <w:tcPr>
            <w:tcW w:w="1291" w:type="dxa"/>
            <w:tcBorders>
              <w:top w:val="nil"/>
              <w:left w:val="nil"/>
              <w:bottom w:val="single" w:sz="8" w:space="0" w:color="auto"/>
              <w:right w:val="nil"/>
            </w:tcBorders>
            <w:shd w:val="clear" w:color="auto" w:fill="auto"/>
            <w:noWrap/>
            <w:vAlign w:val="bottom"/>
          </w:tcPr>
          <w:p w14:paraId="25C72980" w14:textId="77777777" w:rsidR="00F94369" w:rsidRPr="00AA4077" w:rsidRDefault="00F94369" w:rsidP="00BC3733">
            <w:pPr>
              <w:pStyle w:val="Heading1"/>
              <w:spacing w:before="280" w:after="280"/>
              <w:ind w:left="0"/>
              <w:rPr>
                <w:b w:val="0"/>
                <w:bCs w:val="0"/>
                <w:i/>
                <w:iCs/>
                <w:color w:val="000000"/>
                <w:kern w:val="0"/>
                <w:sz w:val="20"/>
                <w:szCs w:val="20"/>
              </w:rPr>
            </w:pPr>
          </w:p>
        </w:tc>
        <w:tc>
          <w:tcPr>
            <w:tcW w:w="1265" w:type="dxa"/>
            <w:tcBorders>
              <w:top w:val="nil"/>
              <w:left w:val="nil"/>
              <w:bottom w:val="single" w:sz="8" w:space="0" w:color="auto"/>
              <w:right w:val="nil"/>
            </w:tcBorders>
            <w:shd w:val="clear" w:color="auto" w:fill="auto"/>
            <w:noWrap/>
            <w:vAlign w:val="bottom"/>
          </w:tcPr>
          <w:p w14:paraId="648FCACC" w14:textId="77777777" w:rsidR="00F94369" w:rsidRPr="00BC3733" w:rsidRDefault="00F94369" w:rsidP="00BC3733">
            <w:pPr>
              <w:pStyle w:val="Heading1"/>
              <w:spacing w:before="280" w:after="280"/>
              <w:ind w:left="0"/>
              <w:rPr>
                <w:b w:val="0"/>
                <w:bCs w:val="0"/>
                <w:color w:val="000000"/>
                <w:kern w:val="0"/>
                <w:sz w:val="20"/>
                <w:szCs w:val="20"/>
              </w:rPr>
            </w:pPr>
          </w:p>
        </w:tc>
        <w:tc>
          <w:tcPr>
            <w:tcW w:w="1166" w:type="dxa"/>
            <w:tcBorders>
              <w:top w:val="nil"/>
              <w:left w:val="nil"/>
              <w:bottom w:val="single" w:sz="8" w:space="0" w:color="auto"/>
              <w:right w:val="nil"/>
            </w:tcBorders>
            <w:shd w:val="clear" w:color="auto" w:fill="auto"/>
            <w:noWrap/>
            <w:vAlign w:val="bottom"/>
          </w:tcPr>
          <w:p w14:paraId="7B63CFE5" w14:textId="77777777" w:rsidR="00F94369" w:rsidRPr="00BC3733" w:rsidRDefault="00F94369" w:rsidP="00BC3733">
            <w:pPr>
              <w:pStyle w:val="Heading1"/>
              <w:spacing w:before="280" w:after="280"/>
              <w:ind w:left="0"/>
              <w:rPr>
                <w:b w:val="0"/>
                <w:bCs w:val="0"/>
                <w:color w:val="000000"/>
                <w:kern w:val="0"/>
                <w:sz w:val="20"/>
                <w:szCs w:val="20"/>
              </w:rPr>
            </w:pPr>
          </w:p>
        </w:tc>
        <w:tc>
          <w:tcPr>
            <w:tcW w:w="1265" w:type="dxa"/>
            <w:tcBorders>
              <w:top w:val="nil"/>
              <w:left w:val="nil"/>
              <w:bottom w:val="single" w:sz="8" w:space="0" w:color="auto"/>
              <w:right w:val="nil"/>
            </w:tcBorders>
            <w:shd w:val="clear" w:color="auto" w:fill="auto"/>
            <w:noWrap/>
            <w:vAlign w:val="bottom"/>
          </w:tcPr>
          <w:p w14:paraId="3F2B7196" w14:textId="77777777" w:rsidR="00F94369" w:rsidRPr="00BC3733" w:rsidRDefault="00F94369" w:rsidP="00BC3733">
            <w:pPr>
              <w:pStyle w:val="Heading1"/>
              <w:spacing w:before="280" w:after="280"/>
              <w:ind w:left="0"/>
              <w:rPr>
                <w:b w:val="0"/>
                <w:bCs w:val="0"/>
                <w:color w:val="000000"/>
                <w:kern w:val="0"/>
                <w:sz w:val="20"/>
                <w:szCs w:val="20"/>
              </w:rPr>
            </w:pPr>
          </w:p>
        </w:tc>
        <w:tc>
          <w:tcPr>
            <w:tcW w:w="1265" w:type="dxa"/>
            <w:tcBorders>
              <w:top w:val="nil"/>
              <w:left w:val="nil"/>
              <w:bottom w:val="single" w:sz="8" w:space="0" w:color="auto"/>
              <w:right w:val="nil"/>
            </w:tcBorders>
            <w:shd w:val="clear" w:color="auto" w:fill="auto"/>
            <w:noWrap/>
            <w:vAlign w:val="bottom"/>
          </w:tcPr>
          <w:p w14:paraId="00B168D4" w14:textId="77777777" w:rsidR="00F94369" w:rsidRPr="00BC3733" w:rsidRDefault="00F94369" w:rsidP="00BC3733">
            <w:pPr>
              <w:pStyle w:val="Heading1"/>
              <w:spacing w:before="280" w:after="280"/>
              <w:ind w:left="0"/>
              <w:rPr>
                <w:b w:val="0"/>
                <w:bCs w:val="0"/>
                <w:color w:val="000000"/>
                <w:kern w:val="0"/>
                <w:sz w:val="20"/>
                <w:szCs w:val="20"/>
              </w:rPr>
            </w:pPr>
          </w:p>
        </w:tc>
        <w:tc>
          <w:tcPr>
            <w:tcW w:w="1265" w:type="dxa"/>
            <w:tcBorders>
              <w:top w:val="nil"/>
              <w:left w:val="nil"/>
              <w:bottom w:val="single" w:sz="8" w:space="0" w:color="auto"/>
              <w:right w:val="nil"/>
            </w:tcBorders>
            <w:shd w:val="clear" w:color="auto" w:fill="auto"/>
            <w:noWrap/>
            <w:vAlign w:val="bottom"/>
          </w:tcPr>
          <w:p w14:paraId="310F3E9F" w14:textId="77777777" w:rsidR="00F94369" w:rsidRPr="00BC3733" w:rsidRDefault="00F94369" w:rsidP="00BC3733">
            <w:pPr>
              <w:pStyle w:val="Heading1"/>
              <w:spacing w:before="280" w:after="280"/>
              <w:ind w:left="0"/>
              <w:rPr>
                <w:b w:val="0"/>
                <w:bCs w:val="0"/>
                <w:color w:val="000000"/>
                <w:kern w:val="0"/>
                <w:sz w:val="20"/>
                <w:szCs w:val="20"/>
              </w:rPr>
            </w:pPr>
          </w:p>
        </w:tc>
        <w:tc>
          <w:tcPr>
            <w:tcW w:w="1054" w:type="dxa"/>
            <w:tcBorders>
              <w:top w:val="nil"/>
              <w:left w:val="nil"/>
              <w:bottom w:val="single" w:sz="8" w:space="0" w:color="auto"/>
              <w:right w:val="nil"/>
            </w:tcBorders>
            <w:shd w:val="clear" w:color="auto" w:fill="auto"/>
            <w:noWrap/>
            <w:vAlign w:val="bottom"/>
          </w:tcPr>
          <w:p w14:paraId="30E216AE" w14:textId="77777777" w:rsidR="00F94369" w:rsidRPr="00BC3733" w:rsidRDefault="00F94369" w:rsidP="00BC3733">
            <w:pPr>
              <w:pStyle w:val="Heading1"/>
              <w:spacing w:before="280" w:after="280"/>
              <w:ind w:left="0"/>
              <w:rPr>
                <w:b w:val="0"/>
                <w:bCs w:val="0"/>
                <w:color w:val="000000"/>
                <w:kern w:val="0"/>
                <w:sz w:val="20"/>
                <w:szCs w:val="20"/>
              </w:rPr>
            </w:pPr>
          </w:p>
        </w:tc>
        <w:tc>
          <w:tcPr>
            <w:tcW w:w="712" w:type="dxa"/>
            <w:tcBorders>
              <w:top w:val="nil"/>
              <w:left w:val="nil"/>
              <w:bottom w:val="single" w:sz="8" w:space="0" w:color="auto"/>
              <w:right w:val="single" w:sz="8" w:space="0" w:color="auto"/>
            </w:tcBorders>
            <w:shd w:val="clear" w:color="auto" w:fill="auto"/>
            <w:noWrap/>
            <w:vAlign w:val="bottom"/>
          </w:tcPr>
          <w:p w14:paraId="6C8CEA09" w14:textId="77777777" w:rsidR="00F94369" w:rsidRPr="00BC3733" w:rsidRDefault="00F94369" w:rsidP="00BC3733">
            <w:pPr>
              <w:pStyle w:val="Heading1"/>
              <w:spacing w:before="280" w:after="280"/>
              <w:ind w:left="0"/>
              <w:rPr>
                <w:b w:val="0"/>
                <w:bCs w:val="0"/>
                <w:color w:val="000000"/>
                <w:kern w:val="0"/>
                <w:sz w:val="20"/>
                <w:szCs w:val="20"/>
              </w:rPr>
            </w:pPr>
          </w:p>
        </w:tc>
      </w:tr>
    </w:tbl>
    <w:p w14:paraId="735E6A27" w14:textId="77777777" w:rsidR="00BC3733" w:rsidRPr="003E0363" w:rsidRDefault="00BC3733" w:rsidP="00BC3733">
      <w:pPr>
        <w:rPr>
          <w:rFonts w:ascii="Times New Roman" w:hAnsi="Times New Roman" w:cs="Times New Roman"/>
        </w:rPr>
      </w:pPr>
    </w:p>
    <w:p w14:paraId="4A1976FF" w14:textId="4DF6FDB0" w:rsidR="00F94369" w:rsidRDefault="00F94369">
      <w:pPr>
        <w:pStyle w:val="Level1Text"/>
        <w:rPr>
          <w:sz w:val="22"/>
          <w:szCs w:val="22"/>
        </w:rPr>
      </w:pPr>
    </w:p>
    <w:p w14:paraId="2A60CD25" w14:textId="485D8735" w:rsidR="00F94369" w:rsidRDefault="00455BC9">
      <w:pPr>
        <w:pStyle w:val="Level1Text"/>
        <w:rPr>
          <w:sz w:val="22"/>
          <w:szCs w:val="22"/>
        </w:rPr>
      </w:pPr>
      <w:r>
        <w:rPr>
          <w:noProof/>
          <w:lang w:val="en-IN" w:eastAsia="en-IN"/>
        </w:rPr>
        <w:drawing>
          <wp:inline distT="0" distB="0" distL="0" distR="0" wp14:anchorId="1D76C6C6" wp14:editId="051882F8">
            <wp:extent cx="5943600" cy="4233545"/>
            <wp:effectExtent l="0" t="0" r="0" b="0"/>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233545"/>
                    </a:xfrm>
                    <a:prstGeom prst="rect">
                      <a:avLst/>
                    </a:prstGeom>
                    <a:noFill/>
                    <a:ln>
                      <a:noFill/>
                    </a:ln>
                  </pic:spPr>
                </pic:pic>
              </a:graphicData>
            </a:graphic>
          </wp:inline>
        </w:drawing>
      </w:r>
    </w:p>
    <w:p w14:paraId="5C1B61F5" w14:textId="679CD163" w:rsidR="00F94369" w:rsidRDefault="00685966">
      <w:pPr>
        <w:pStyle w:val="Level1Text"/>
        <w:rPr>
          <w:sz w:val="22"/>
          <w:szCs w:val="22"/>
        </w:rPr>
      </w:pPr>
      <w:r>
        <w:rPr>
          <w:sz w:val="22"/>
          <w:szCs w:val="22"/>
        </w:rPr>
        <w:t xml:space="preserve">Fig </w:t>
      </w:r>
      <w:r w:rsidR="00AC4920">
        <w:rPr>
          <w:sz w:val="22"/>
          <w:szCs w:val="22"/>
        </w:rPr>
        <w:t>S</w:t>
      </w:r>
      <w:r w:rsidR="00995AA7">
        <w:rPr>
          <w:sz w:val="22"/>
          <w:szCs w:val="22"/>
        </w:rPr>
        <w:t>5</w:t>
      </w:r>
      <w:r>
        <w:rPr>
          <w:sz w:val="22"/>
          <w:szCs w:val="22"/>
        </w:rPr>
        <w:t xml:space="preserve">. Patterns of three common </w:t>
      </w:r>
      <w:r w:rsidRPr="00455BC9">
        <w:rPr>
          <w:i/>
          <w:iCs/>
          <w:sz w:val="22"/>
          <w:szCs w:val="22"/>
        </w:rPr>
        <w:t>forest-</w:t>
      </w:r>
      <w:r w:rsidR="00455BC9" w:rsidRPr="00455BC9">
        <w:rPr>
          <w:i/>
          <w:iCs/>
          <w:sz w:val="22"/>
          <w:szCs w:val="22"/>
        </w:rPr>
        <w:t>coca</w:t>
      </w:r>
      <w:r w:rsidRPr="00455BC9">
        <w:rPr>
          <w:i/>
          <w:iCs/>
          <w:sz w:val="22"/>
          <w:szCs w:val="22"/>
        </w:rPr>
        <w:t>-</w:t>
      </w:r>
      <w:r w:rsidR="00455BC9" w:rsidRPr="00455BC9">
        <w:rPr>
          <w:i/>
          <w:iCs/>
          <w:sz w:val="22"/>
          <w:szCs w:val="22"/>
        </w:rPr>
        <w:t>cattle</w:t>
      </w:r>
      <w:r w:rsidR="00455BC9">
        <w:rPr>
          <w:sz w:val="22"/>
          <w:szCs w:val="22"/>
        </w:rPr>
        <w:t xml:space="preserve"> </w:t>
      </w:r>
      <w:r>
        <w:rPr>
          <w:sz w:val="22"/>
          <w:szCs w:val="22"/>
        </w:rPr>
        <w:t xml:space="preserve">pathways in </w:t>
      </w:r>
      <w:r w:rsidR="006B02F9">
        <w:rPr>
          <w:sz w:val="22"/>
          <w:szCs w:val="22"/>
        </w:rPr>
        <w:t>Protected Areas: Stable coca. Coca to cattle and Forest to cattle. First row shows the mapped areas within the official border of Pas. Second row indicates the mapped areas within the core of the PAs, in other words inside official border by 5km buffer.</w:t>
      </w:r>
    </w:p>
    <w:p w14:paraId="0619A14E" w14:textId="2B4C10BF" w:rsidR="00600B2A" w:rsidRDefault="00600B2A">
      <w:pPr>
        <w:pStyle w:val="Level1Text"/>
        <w:rPr>
          <w:sz w:val="22"/>
          <w:szCs w:val="22"/>
        </w:rPr>
      </w:pPr>
    </w:p>
    <w:p w14:paraId="202B4B2D" w14:textId="3FC28A1E" w:rsidR="00600B2A" w:rsidRDefault="00600B2A">
      <w:pPr>
        <w:pStyle w:val="Level1Text"/>
        <w:rPr>
          <w:sz w:val="22"/>
          <w:szCs w:val="22"/>
        </w:rPr>
      </w:pPr>
    </w:p>
    <w:p w14:paraId="25397F76" w14:textId="53C4EF6C" w:rsidR="00600B2A" w:rsidRDefault="00600B2A">
      <w:pPr>
        <w:pStyle w:val="Level1Text"/>
        <w:rPr>
          <w:sz w:val="22"/>
          <w:szCs w:val="22"/>
        </w:rPr>
      </w:pPr>
    </w:p>
    <w:p w14:paraId="4521DDF2" w14:textId="29BFCCD9" w:rsidR="00600B2A" w:rsidRDefault="00600B2A">
      <w:pPr>
        <w:pStyle w:val="Level1Text"/>
        <w:rPr>
          <w:sz w:val="22"/>
          <w:szCs w:val="22"/>
        </w:rPr>
      </w:pPr>
    </w:p>
    <w:p w14:paraId="3E225F9F" w14:textId="4C2E6383" w:rsidR="00600B2A" w:rsidRDefault="00600B2A">
      <w:pPr>
        <w:pStyle w:val="Level1Text"/>
        <w:rPr>
          <w:sz w:val="22"/>
          <w:szCs w:val="22"/>
        </w:rPr>
      </w:pPr>
    </w:p>
    <w:p w14:paraId="781785E5" w14:textId="77777777" w:rsidR="00600B2A" w:rsidRDefault="00600B2A" w:rsidP="00600B2A">
      <w:pPr>
        <w:pStyle w:val="Level1Text"/>
        <w:rPr>
          <w:b/>
          <w:bCs/>
          <w:sz w:val="22"/>
          <w:szCs w:val="22"/>
        </w:rPr>
      </w:pPr>
    </w:p>
    <w:p w14:paraId="1F10D69B" w14:textId="77777777" w:rsidR="00600B2A" w:rsidRDefault="00600B2A" w:rsidP="00600B2A">
      <w:pPr>
        <w:pStyle w:val="Level1Text"/>
        <w:rPr>
          <w:b/>
          <w:bCs/>
          <w:sz w:val="22"/>
          <w:szCs w:val="22"/>
        </w:rPr>
      </w:pPr>
    </w:p>
    <w:p w14:paraId="67C02413" w14:textId="77777777" w:rsidR="00600B2A" w:rsidRDefault="00600B2A" w:rsidP="00600B2A">
      <w:pPr>
        <w:pStyle w:val="Level1Text"/>
        <w:rPr>
          <w:b/>
          <w:bCs/>
          <w:sz w:val="22"/>
          <w:szCs w:val="22"/>
        </w:rPr>
      </w:pPr>
    </w:p>
    <w:p w14:paraId="6684FA7C" w14:textId="77777777" w:rsidR="00600B2A" w:rsidRDefault="00600B2A" w:rsidP="00600B2A">
      <w:pPr>
        <w:pStyle w:val="Level1Text"/>
        <w:rPr>
          <w:b/>
          <w:bCs/>
          <w:sz w:val="22"/>
          <w:szCs w:val="22"/>
        </w:rPr>
      </w:pPr>
    </w:p>
    <w:p w14:paraId="76360116" w14:textId="77777777" w:rsidR="00600B2A" w:rsidRDefault="00600B2A" w:rsidP="00600B2A">
      <w:pPr>
        <w:pStyle w:val="Level1Text"/>
        <w:rPr>
          <w:b/>
          <w:bCs/>
          <w:sz w:val="22"/>
          <w:szCs w:val="22"/>
        </w:rPr>
      </w:pPr>
    </w:p>
    <w:p w14:paraId="4E818105" w14:textId="0996329F" w:rsidR="00600B2A" w:rsidRDefault="00600B2A" w:rsidP="00600B2A">
      <w:pPr>
        <w:pStyle w:val="Level1Text"/>
        <w:rPr>
          <w:sz w:val="22"/>
          <w:szCs w:val="22"/>
        </w:rPr>
      </w:pPr>
      <w:r>
        <w:rPr>
          <w:b/>
          <w:bCs/>
          <w:sz w:val="22"/>
          <w:szCs w:val="22"/>
        </w:rPr>
        <w:t>Table S2</w:t>
      </w:r>
      <w:r>
        <w:rPr>
          <w:sz w:val="22"/>
          <w:szCs w:val="22"/>
        </w:rPr>
        <w:t xml:space="preserve">. Mapped area </w:t>
      </w:r>
      <w:r w:rsidR="00693213">
        <w:rPr>
          <w:sz w:val="22"/>
          <w:szCs w:val="22"/>
        </w:rPr>
        <w:t xml:space="preserve">(ha) </w:t>
      </w:r>
      <w:r>
        <w:rPr>
          <w:sz w:val="22"/>
          <w:szCs w:val="22"/>
        </w:rPr>
        <w:t>for all transitions forest-coca-cattle outside of agricultural frontier.</w:t>
      </w:r>
    </w:p>
    <w:tbl>
      <w:tblPr>
        <w:tblW w:w="94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
        <w:gridCol w:w="1014"/>
        <w:gridCol w:w="1081"/>
        <w:gridCol w:w="1081"/>
        <w:gridCol w:w="992"/>
        <w:gridCol w:w="987"/>
        <w:gridCol w:w="999"/>
        <w:gridCol w:w="999"/>
        <w:gridCol w:w="901"/>
        <w:gridCol w:w="1174"/>
      </w:tblGrid>
      <w:tr w:rsidR="00C1571C" w:rsidRPr="00C1571C" w14:paraId="4C1FE4FC" w14:textId="77777777" w:rsidTr="00C1571C">
        <w:trPr>
          <w:trHeight w:val="300"/>
        </w:trPr>
        <w:tc>
          <w:tcPr>
            <w:tcW w:w="509" w:type="dxa"/>
            <w:tcBorders>
              <w:top w:val="single" w:sz="4" w:space="0" w:color="auto"/>
              <w:bottom w:val="single" w:sz="4" w:space="0" w:color="auto"/>
              <w:right w:val="single" w:sz="4" w:space="0" w:color="auto"/>
            </w:tcBorders>
            <w:shd w:val="clear" w:color="auto" w:fill="auto"/>
            <w:noWrap/>
            <w:vAlign w:val="bottom"/>
            <w:hideMark/>
          </w:tcPr>
          <w:p w14:paraId="675E7300"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year</w:t>
            </w:r>
          </w:p>
        </w:tc>
        <w:tc>
          <w:tcPr>
            <w:tcW w:w="1014" w:type="dxa"/>
            <w:tcBorders>
              <w:top w:val="single" w:sz="4" w:space="0" w:color="auto"/>
              <w:left w:val="single" w:sz="4" w:space="0" w:color="auto"/>
              <w:bottom w:val="single" w:sz="4" w:space="0" w:color="auto"/>
            </w:tcBorders>
            <w:shd w:val="clear" w:color="auto" w:fill="auto"/>
            <w:noWrap/>
            <w:vAlign w:val="bottom"/>
            <w:hideMark/>
          </w:tcPr>
          <w:p w14:paraId="2D6EC5EE"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 xml:space="preserve"> cattle to coca</w:t>
            </w:r>
          </w:p>
        </w:tc>
        <w:tc>
          <w:tcPr>
            <w:tcW w:w="1081" w:type="dxa"/>
            <w:tcBorders>
              <w:top w:val="single" w:sz="4" w:space="0" w:color="auto"/>
              <w:bottom w:val="single" w:sz="4" w:space="0" w:color="auto"/>
            </w:tcBorders>
            <w:shd w:val="clear" w:color="auto" w:fill="auto"/>
            <w:noWrap/>
            <w:vAlign w:val="bottom"/>
            <w:hideMark/>
          </w:tcPr>
          <w:p w14:paraId="0DAC09C4"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 xml:space="preserve"> cattle to forest</w:t>
            </w:r>
          </w:p>
        </w:tc>
        <w:tc>
          <w:tcPr>
            <w:tcW w:w="1081" w:type="dxa"/>
            <w:tcBorders>
              <w:top w:val="single" w:sz="4" w:space="0" w:color="auto"/>
              <w:bottom w:val="single" w:sz="4" w:space="0" w:color="auto"/>
            </w:tcBorders>
            <w:shd w:val="clear" w:color="auto" w:fill="auto"/>
            <w:noWrap/>
            <w:vAlign w:val="bottom"/>
            <w:hideMark/>
          </w:tcPr>
          <w:p w14:paraId="1BFF5090"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 xml:space="preserve"> forest to cattle</w:t>
            </w:r>
          </w:p>
        </w:tc>
        <w:tc>
          <w:tcPr>
            <w:tcW w:w="956" w:type="dxa"/>
            <w:tcBorders>
              <w:top w:val="single" w:sz="4" w:space="0" w:color="auto"/>
              <w:bottom w:val="single" w:sz="4" w:space="0" w:color="auto"/>
            </w:tcBorders>
            <w:shd w:val="clear" w:color="auto" w:fill="auto"/>
            <w:noWrap/>
            <w:vAlign w:val="bottom"/>
            <w:hideMark/>
          </w:tcPr>
          <w:p w14:paraId="2CC26C2C"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 xml:space="preserve"> stable cattle</w:t>
            </w:r>
          </w:p>
        </w:tc>
        <w:tc>
          <w:tcPr>
            <w:tcW w:w="987" w:type="dxa"/>
            <w:tcBorders>
              <w:top w:val="single" w:sz="4" w:space="0" w:color="auto"/>
              <w:bottom w:val="single" w:sz="4" w:space="0" w:color="auto"/>
            </w:tcBorders>
            <w:shd w:val="clear" w:color="auto" w:fill="auto"/>
            <w:noWrap/>
            <w:vAlign w:val="bottom"/>
            <w:hideMark/>
          </w:tcPr>
          <w:p w14:paraId="39BC8EE1"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coca to cattle</w:t>
            </w:r>
          </w:p>
        </w:tc>
        <w:tc>
          <w:tcPr>
            <w:tcW w:w="999" w:type="dxa"/>
            <w:tcBorders>
              <w:top w:val="single" w:sz="4" w:space="0" w:color="auto"/>
              <w:bottom w:val="single" w:sz="4" w:space="0" w:color="auto"/>
            </w:tcBorders>
            <w:shd w:val="clear" w:color="auto" w:fill="auto"/>
            <w:noWrap/>
            <w:vAlign w:val="bottom"/>
            <w:hideMark/>
          </w:tcPr>
          <w:p w14:paraId="11C21EBD"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coca to forest</w:t>
            </w:r>
          </w:p>
        </w:tc>
        <w:tc>
          <w:tcPr>
            <w:tcW w:w="999" w:type="dxa"/>
            <w:tcBorders>
              <w:top w:val="single" w:sz="4" w:space="0" w:color="auto"/>
              <w:bottom w:val="single" w:sz="4" w:space="0" w:color="auto"/>
            </w:tcBorders>
            <w:shd w:val="clear" w:color="auto" w:fill="auto"/>
            <w:noWrap/>
            <w:vAlign w:val="bottom"/>
            <w:hideMark/>
          </w:tcPr>
          <w:p w14:paraId="5F21F9B2"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forest to coca</w:t>
            </w:r>
          </w:p>
        </w:tc>
        <w:tc>
          <w:tcPr>
            <w:tcW w:w="872" w:type="dxa"/>
            <w:tcBorders>
              <w:top w:val="single" w:sz="4" w:space="0" w:color="auto"/>
              <w:bottom w:val="single" w:sz="4" w:space="0" w:color="auto"/>
            </w:tcBorders>
            <w:shd w:val="clear" w:color="auto" w:fill="auto"/>
            <w:noWrap/>
            <w:vAlign w:val="bottom"/>
            <w:hideMark/>
          </w:tcPr>
          <w:p w14:paraId="357514FB"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stable coca</w:t>
            </w:r>
          </w:p>
        </w:tc>
        <w:tc>
          <w:tcPr>
            <w:tcW w:w="969" w:type="dxa"/>
            <w:tcBorders>
              <w:top w:val="single" w:sz="4" w:space="0" w:color="auto"/>
              <w:bottom w:val="single" w:sz="4" w:space="0" w:color="auto"/>
            </w:tcBorders>
            <w:shd w:val="clear" w:color="auto" w:fill="auto"/>
            <w:noWrap/>
            <w:vAlign w:val="bottom"/>
            <w:hideMark/>
          </w:tcPr>
          <w:p w14:paraId="67B2A990" w14:textId="77777777" w:rsidR="00C1571C" w:rsidRPr="00C1571C" w:rsidRDefault="00C1571C" w:rsidP="00C1571C">
            <w:pPr>
              <w:suppressAutoHyphens w:val="0"/>
              <w:spacing w:after="0" w:line="240" w:lineRule="auto"/>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stable forest</w:t>
            </w:r>
          </w:p>
        </w:tc>
      </w:tr>
      <w:tr w:rsidR="00C1571C" w:rsidRPr="00C1571C" w14:paraId="7415794A" w14:textId="77777777" w:rsidTr="00C1571C">
        <w:trPr>
          <w:trHeight w:val="300"/>
        </w:trPr>
        <w:tc>
          <w:tcPr>
            <w:tcW w:w="509" w:type="dxa"/>
            <w:tcBorders>
              <w:top w:val="single" w:sz="4" w:space="0" w:color="auto"/>
              <w:right w:val="single" w:sz="4" w:space="0" w:color="auto"/>
            </w:tcBorders>
            <w:shd w:val="clear" w:color="auto" w:fill="auto"/>
            <w:noWrap/>
            <w:vAlign w:val="bottom"/>
            <w:hideMark/>
          </w:tcPr>
          <w:p w14:paraId="7EA0720F"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1985</w:t>
            </w:r>
          </w:p>
        </w:tc>
        <w:tc>
          <w:tcPr>
            <w:tcW w:w="1014" w:type="dxa"/>
            <w:tcBorders>
              <w:top w:val="single" w:sz="4" w:space="0" w:color="auto"/>
              <w:left w:val="single" w:sz="4" w:space="0" w:color="auto"/>
            </w:tcBorders>
            <w:shd w:val="clear" w:color="auto" w:fill="auto"/>
            <w:noWrap/>
            <w:vAlign w:val="bottom"/>
            <w:hideMark/>
          </w:tcPr>
          <w:p w14:paraId="6C44937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43.51</w:t>
            </w:r>
          </w:p>
        </w:tc>
        <w:tc>
          <w:tcPr>
            <w:tcW w:w="1081" w:type="dxa"/>
            <w:tcBorders>
              <w:top w:val="single" w:sz="4" w:space="0" w:color="auto"/>
            </w:tcBorders>
            <w:shd w:val="clear" w:color="auto" w:fill="auto"/>
            <w:noWrap/>
            <w:vAlign w:val="bottom"/>
            <w:hideMark/>
          </w:tcPr>
          <w:p w14:paraId="1DDA63B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22970.75</w:t>
            </w:r>
          </w:p>
        </w:tc>
        <w:tc>
          <w:tcPr>
            <w:tcW w:w="1081" w:type="dxa"/>
            <w:tcBorders>
              <w:top w:val="single" w:sz="4" w:space="0" w:color="auto"/>
            </w:tcBorders>
            <w:shd w:val="clear" w:color="auto" w:fill="auto"/>
            <w:noWrap/>
            <w:vAlign w:val="bottom"/>
            <w:hideMark/>
          </w:tcPr>
          <w:p w14:paraId="5E2F7C4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15444.96</w:t>
            </w:r>
          </w:p>
        </w:tc>
        <w:tc>
          <w:tcPr>
            <w:tcW w:w="956" w:type="dxa"/>
            <w:tcBorders>
              <w:top w:val="single" w:sz="4" w:space="0" w:color="auto"/>
            </w:tcBorders>
            <w:shd w:val="clear" w:color="auto" w:fill="auto"/>
            <w:noWrap/>
            <w:vAlign w:val="bottom"/>
            <w:hideMark/>
          </w:tcPr>
          <w:p w14:paraId="5EC0919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180416.48</w:t>
            </w:r>
          </w:p>
        </w:tc>
        <w:tc>
          <w:tcPr>
            <w:tcW w:w="987" w:type="dxa"/>
            <w:tcBorders>
              <w:top w:val="single" w:sz="4" w:space="0" w:color="auto"/>
            </w:tcBorders>
            <w:shd w:val="clear" w:color="auto" w:fill="auto"/>
            <w:noWrap/>
            <w:vAlign w:val="bottom"/>
            <w:hideMark/>
          </w:tcPr>
          <w:p w14:paraId="1C9EB5E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7.42</w:t>
            </w:r>
          </w:p>
        </w:tc>
        <w:tc>
          <w:tcPr>
            <w:tcW w:w="999" w:type="dxa"/>
            <w:tcBorders>
              <w:top w:val="single" w:sz="4" w:space="0" w:color="auto"/>
            </w:tcBorders>
            <w:shd w:val="clear" w:color="auto" w:fill="auto"/>
            <w:noWrap/>
            <w:vAlign w:val="bottom"/>
            <w:hideMark/>
          </w:tcPr>
          <w:p w14:paraId="0FB573E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106.82</w:t>
            </w:r>
          </w:p>
        </w:tc>
        <w:tc>
          <w:tcPr>
            <w:tcW w:w="999" w:type="dxa"/>
            <w:tcBorders>
              <w:top w:val="single" w:sz="4" w:space="0" w:color="auto"/>
            </w:tcBorders>
            <w:shd w:val="clear" w:color="auto" w:fill="auto"/>
            <w:noWrap/>
            <w:vAlign w:val="bottom"/>
            <w:hideMark/>
          </w:tcPr>
          <w:p w14:paraId="3F2B361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347.50</w:t>
            </w:r>
          </w:p>
        </w:tc>
        <w:tc>
          <w:tcPr>
            <w:tcW w:w="872" w:type="dxa"/>
            <w:tcBorders>
              <w:top w:val="single" w:sz="4" w:space="0" w:color="auto"/>
            </w:tcBorders>
            <w:shd w:val="clear" w:color="auto" w:fill="auto"/>
            <w:noWrap/>
            <w:vAlign w:val="bottom"/>
            <w:hideMark/>
          </w:tcPr>
          <w:p w14:paraId="77C7B2E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6497.33</w:t>
            </w:r>
          </w:p>
        </w:tc>
        <w:tc>
          <w:tcPr>
            <w:tcW w:w="969" w:type="dxa"/>
            <w:tcBorders>
              <w:top w:val="single" w:sz="4" w:space="0" w:color="auto"/>
            </w:tcBorders>
            <w:shd w:val="clear" w:color="auto" w:fill="auto"/>
            <w:noWrap/>
            <w:vAlign w:val="bottom"/>
            <w:hideMark/>
          </w:tcPr>
          <w:p w14:paraId="4328175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43655326.61</w:t>
            </w:r>
          </w:p>
        </w:tc>
      </w:tr>
      <w:tr w:rsidR="00C1571C" w:rsidRPr="00C1571C" w14:paraId="3F9754CA" w14:textId="77777777" w:rsidTr="00C1571C">
        <w:trPr>
          <w:trHeight w:val="300"/>
        </w:trPr>
        <w:tc>
          <w:tcPr>
            <w:tcW w:w="509" w:type="dxa"/>
            <w:tcBorders>
              <w:right w:val="single" w:sz="4" w:space="0" w:color="auto"/>
            </w:tcBorders>
            <w:shd w:val="clear" w:color="auto" w:fill="auto"/>
            <w:noWrap/>
            <w:vAlign w:val="bottom"/>
            <w:hideMark/>
          </w:tcPr>
          <w:p w14:paraId="76DB0DA8"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1986</w:t>
            </w:r>
          </w:p>
        </w:tc>
        <w:tc>
          <w:tcPr>
            <w:tcW w:w="1014" w:type="dxa"/>
            <w:tcBorders>
              <w:left w:val="single" w:sz="4" w:space="0" w:color="auto"/>
            </w:tcBorders>
            <w:shd w:val="clear" w:color="auto" w:fill="auto"/>
            <w:noWrap/>
            <w:vAlign w:val="bottom"/>
            <w:hideMark/>
          </w:tcPr>
          <w:p w14:paraId="4CA7D6F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185.58</w:t>
            </w:r>
          </w:p>
        </w:tc>
        <w:tc>
          <w:tcPr>
            <w:tcW w:w="1081" w:type="dxa"/>
            <w:shd w:val="clear" w:color="auto" w:fill="auto"/>
            <w:noWrap/>
            <w:vAlign w:val="bottom"/>
            <w:hideMark/>
          </w:tcPr>
          <w:p w14:paraId="5DEDF7E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28437.13</w:t>
            </w:r>
          </w:p>
        </w:tc>
        <w:tc>
          <w:tcPr>
            <w:tcW w:w="1081" w:type="dxa"/>
            <w:shd w:val="clear" w:color="auto" w:fill="auto"/>
            <w:noWrap/>
            <w:vAlign w:val="bottom"/>
            <w:hideMark/>
          </w:tcPr>
          <w:p w14:paraId="0D4D1C2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23781.85</w:t>
            </w:r>
          </w:p>
        </w:tc>
        <w:tc>
          <w:tcPr>
            <w:tcW w:w="956" w:type="dxa"/>
            <w:shd w:val="clear" w:color="auto" w:fill="auto"/>
            <w:noWrap/>
            <w:vAlign w:val="bottom"/>
            <w:hideMark/>
          </w:tcPr>
          <w:p w14:paraId="623E1B4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167246.14</w:t>
            </w:r>
          </w:p>
        </w:tc>
        <w:tc>
          <w:tcPr>
            <w:tcW w:w="987" w:type="dxa"/>
            <w:shd w:val="clear" w:color="auto" w:fill="auto"/>
            <w:noWrap/>
            <w:vAlign w:val="bottom"/>
            <w:hideMark/>
          </w:tcPr>
          <w:p w14:paraId="03AA1A9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126.22</w:t>
            </w:r>
          </w:p>
        </w:tc>
        <w:tc>
          <w:tcPr>
            <w:tcW w:w="999" w:type="dxa"/>
            <w:shd w:val="clear" w:color="auto" w:fill="auto"/>
            <w:noWrap/>
            <w:vAlign w:val="bottom"/>
            <w:hideMark/>
          </w:tcPr>
          <w:p w14:paraId="2FCBB10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1247.48</w:t>
            </w:r>
          </w:p>
        </w:tc>
        <w:tc>
          <w:tcPr>
            <w:tcW w:w="999" w:type="dxa"/>
            <w:shd w:val="clear" w:color="auto" w:fill="auto"/>
            <w:noWrap/>
            <w:vAlign w:val="bottom"/>
            <w:hideMark/>
          </w:tcPr>
          <w:p w14:paraId="3452678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2160.10</w:t>
            </w:r>
          </w:p>
        </w:tc>
        <w:tc>
          <w:tcPr>
            <w:tcW w:w="872" w:type="dxa"/>
            <w:shd w:val="clear" w:color="auto" w:fill="auto"/>
            <w:noWrap/>
            <w:vAlign w:val="bottom"/>
            <w:hideMark/>
          </w:tcPr>
          <w:p w14:paraId="5859882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5514.64</w:t>
            </w:r>
          </w:p>
        </w:tc>
        <w:tc>
          <w:tcPr>
            <w:tcW w:w="969" w:type="dxa"/>
            <w:shd w:val="clear" w:color="auto" w:fill="auto"/>
            <w:noWrap/>
            <w:vAlign w:val="bottom"/>
            <w:hideMark/>
          </w:tcPr>
          <w:p w14:paraId="7DC9BE5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43652462.24</w:t>
            </w:r>
          </w:p>
        </w:tc>
      </w:tr>
      <w:tr w:rsidR="00C1571C" w:rsidRPr="00C1571C" w14:paraId="277D0A60" w14:textId="77777777" w:rsidTr="00C1571C">
        <w:trPr>
          <w:trHeight w:val="300"/>
        </w:trPr>
        <w:tc>
          <w:tcPr>
            <w:tcW w:w="509" w:type="dxa"/>
            <w:tcBorders>
              <w:right w:val="single" w:sz="4" w:space="0" w:color="auto"/>
            </w:tcBorders>
            <w:shd w:val="clear" w:color="auto" w:fill="auto"/>
            <w:noWrap/>
            <w:vAlign w:val="bottom"/>
            <w:hideMark/>
          </w:tcPr>
          <w:p w14:paraId="2B9C8CBF"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1987</w:t>
            </w:r>
          </w:p>
        </w:tc>
        <w:tc>
          <w:tcPr>
            <w:tcW w:w="1014" w:type="dxa"/>
            <w:tcBorders>
              <w:left w:val="single" w:sz="4" w:space="0" w:color="auto"/>
            </w:tcBorders>
            <w:shd w:val="clear" w:color="auto" w:fill="auto"/>
            <w:noWrap/>
            <w:vAlign w:val="bottom"/>
            <w:hideMark/>
          </w:tcPr>
          <w:p w14:paraId="2FD03A2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654.53</w:t>
            </w:r>
          </w:p>
        </w:tc>
        <w:tc>
          <w:tcPr>
            <w:tcW w:w="1081" w:type="dxa"/>
            <w:shd w:val="clear" w:color="auto" w:fill="auto"/>
            <w:noWrap/>
            <w:vAlign w:val="bottom"/>
            <w:hideMark/>
          </w:tcPr>
          <w:p w14:paraId="6254B26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45186.64</w:t>
            </w:r>
          </w:p>
        </w:tc>
        <w:tc>
          <w:tcPr>
            <w:tcW w:w="1081" w:type="dxa"/>
            <w:shd w:val="clear" w:color="auto" w:fill="auto"/>
            <w:noWrap/>
            <w:vAlign w:val="bottom"/>
            <w:hideMark/>
          </w:tcPr>
          <w:p w14:paraId="664DF6E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21545.89</w:t>
            </w:r>
          </w:p>
        </w:tc>
        <w:tc>
          <w:tcPr>
            <w:tcW w:w="956" w:type="dxa"/>
            <w:shd w:val="clear" w:color="auto" w:fill="auto"/>
            <w:noWrap/>
            <w:vAlign w:val="bottom"/>
            <w:hideMark/>
          </w:tcPr>
          <w:p w14:paraId="58051C8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145313.04</w:t>
            </w:r>
          </w:p>
        </w:tc>
        <w:tc>
          <w:tcPr>
            <w:tcW w:w="987" w:type="dxa"/>
            <w:shd w:val="clear" w:color="auto" w:fill="auto"/>
            <w:noWrap/>
            <w:vAlign w:val="bottom"/>
            <w:hideMark/>
          </w:tcPr>
          <w:p w14:paraId="572484D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133.28</w:t>
            </w:r>
          </w:p>
        </w:tc>
        <w:tc>
          <w:tcPr>
            <w:tcW w:w="999" w:type="dxa"/>
            <w:shd w:val="clear" w:color="auto" w:fill="auto"/>
            <w:noWrap/>
            <w:vAlign w:val="bottom"/>
            <w:hideMark/>
          </w:tcPr>
          <w:p w14:paraId="2F091A7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1784.77</w:t>
            </w:r>
          </w:p>
        </w:tc>
        <w:tc>
          <w:tcPr>
            <w:tcW w:w="999" w:type="dxa"/>
            <w:shd w:val="clear" w:color="auto" w:fill="auto"/>
            <w:noWrap/>
            <w:vAlign w:val="bottom"/>
            <w:hideMark/>
          </w:tcPr>
          <w:p w14:paraId="0B49832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2717.31</w:t>
            </w:r>
          </w:p>
        </w:tc>
        <w:tc>
          <w:tcPr>
            <w:tcW w:w="872" w:type="dxa"/>
            <w:shd w:val="clear" w:color="auto" w:fill="auto"/>
            <w:noWrap/>
            <w:vAlign w:val="bottom"/>
            <w:hideMark/>
          </w:tcPr>
          <w:p w14:paraId="1E3937E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5942.28</w:t>
            </w:r>
          </w:p>
        </w:tc>
        <w:tc>
          <w:tcPr>
            <w:tcW w:w="969" w:type="dxa"/>
            <w:shd w:val="clear" w:color="auto" w:fill="auto"/>
            <w:noWrap/>
            <w:vAlign w:val="bottom"/>
            <w:hideMark/>
          </w:tcPr>
          <w:p w14:paraId="142340E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43657883.65</w:t>
            </w:r>
          </w:p>
        </w:tc>
      </w:tr>
      <w:tr w:rsidR="00C1571C" w:rsidRPr="00C1571C" w14:paraId="684E3E4E" w14:textId="77777777" w:rsidTr="00C1571C">
        <w:trPr>
          <w:trHeight w:val="300"/>
        </w:trPr>
        <w:tc>
          <w:tcPr>
            <w:tcW w:w="509" w:type="dxa"/>
            <w:tcBorders>
              <w:right w:val="single" w:sz="4" w:space="0" w:color="auto"/>
            </w:tcBorders>
            <w:shd w:val="clear" w:color="auto" w:fill="auto"/>
            <w:noWrap/>
            <w:vAlign w:val="bottom"/>
            <w:hideMark/>
          </w:tcPr>
          <w:p w14:paraId="0303CA6A"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1988</w:t>
            </w:r>
          </w:p>
        </w:tc>
        <w:tc>
          <w:tcPr>
            <w:tcW w:w="1014" w:type="dxa"/>
            <w:tcBorders>
              <w:left w:val="single" w:sz="4" w:space="0" w:color="auto"/>
            </w:tcBorders>
            <w:shd w:val="clear" w:color="auto" w:fill="auto"/>
            <w:noWrap/>
            <w:vAlign w:val="bottom"/>
            <w:hideMark/>
          </w:tcPr>
          <w:p w14:paraId="4378E73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480.78</w:t>
            </w:r>
          </w:p>
        </w:tc>
        <w:tc>
          <w:tcPr>
            <w:tcW w:w="1081" w:type="dxa"/>
            <w:shd w:val="clear" w:color="auto" w:fill="auto"/>
            <w:noWrap/>
            <w:vAlign w:val="bottom"/>
            <w:hideMark/>
          </w:tcPr>
          <w:p w14:paraId="104A6D3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22993.72</w:t>
            </w:r>
          </w:p>
        </w:tc>
        <w:tc>
          <w:tcPr>
            <w:tcW w:w="1081" w:type="dxa"/>
            <w:shd w:val="clear" w:color="auto" w:fill="auto"/>
            <w:noWrap/>
            <w:vAlign w:val="bottom"/>
            <w:hideMark/>
          </w:tcPr>
          <w:p w14:paraId="124BBD3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19044.85</w:t>
            </w:r>
          </w:p>
        </w:tc>
        <w:tc>
          <w:tcPr>
            <w:tcW w:w="956" w:type="dxa"/>
            <w:shd w:val="clear" w:color="auto" w:fill="auto"/>
            <w:noWrap/>
            <w:vAlign w:val="bottom"/>
            <w:hideMark/>
          </w:tcPr>
          <w:p w14:paraId="7EA73E6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143517.71</w:t>
            </w:r>
          </w:p>
        </w:tc>
        <w:tc>
          <w:tcPr>
            <w:tcW w:w="987" w:type="dxa"/>
            <w:shd w:val="clear" w:color="auto" w:fill="auto"/>
            <w:noWrap/>
            <w:vAlign w:val="bottom"/>
            <w:hideMark/>
          </w:tcPr>
          <w:p w14:paraId="7111B13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305.84</w:t>
            </w:r>
          </w:p>
        </w:tc>
        <w:tc>
          <w:tcPr>
            <w:tcW w:w="999" w:type="dxa"/>
            <w:shd w:val="clear" w:color="auto" w:fill="auto"/>
            <w:noWrap/>
            <w:vAlign w:val="bottom"/>
            <w:hideMark/>
          </w:tcPr>
          <w:p w14:paraId="4EC83CA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1881.94</w:t>
            </w:r>
          </w:p>
        </w:tc>
        <w:tc>
          <w:tcPr>
            <w:tcW w:w="999" w:type="dxa"/>
            <w:shd w:val="clear" w:color="auto" w:fill="auto"/>
            <w:noWrap/>
            <w:vAlign w:val="bottom"/>
            <w:hideMark/>
          </w:tcPr>
          <w:p w14:paraId="72CBE35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2009.84</w:t>
            </w:r>
          </w:p>
        </w:tc>
        <w:tc>
          <w:tcPr>
            <w:tcW w:w="872" w:type="dxa"/>
            <w:shd w:val="clear" w:color="auto" w:fill="auto"/>
            <w:noWrap/>
            <w:vAlign w:val="bottom"/>
            <w:hideMark/>
          </w:tcPr>
          <w:p w14:paraId="12DDEA3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7126.34</w:t>
            </w:r>
          </w:p>
        </w:tc>
        <w:tc>
          <w:tcPr>
            <w:tcW w:w="969" w:type="dxa"/>
            <w:shd w:val="clear" w:color="auto" w:fill="auto"/>
            <w:noWrap/>
            <w:vAlign w:val="bottom"/>
            <w:hideMark/>
          </w:tcPr>
          <w:p w14:paraId="666FC10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43683800.35</w:t>
            </w:r>
          </w:p>
        </w:tc>
      </w:tr>
      <w:tr w:rsidR="00C1571C" w:rsidRPr="00C1571C" w14:paraId="097B46FF" w14:textId="77777777" w:rsidTr="00C1571C">
        <w:trPr>
          <w:trHeight w:val="300"/>
        </w:trPr>
        <w:tc>
          <w:tcPr>
            <w:tcW w:w="509" w:type="dxa"/>
            <w:tcBorders>
              <w:right w:val="single" w:sz="4" w:space="0" w:color="auto"/>
            </w:tcBorders>
            <w:shd w:val="clear" w:color="auto" w:fill="auto"/>
            <w:noWrap/>
            <w:vAlign w:val="bottom"/>
            <w:hideMark/>
          </w:tcPr>
          <w:p w14:paraId="1CB918B8"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1989</w:t>
            </w:r>
          </w:p>
        </w:tc>
        <w:tc>
          <w:tcPr>
            <w:tcW w:w="1014" w:type="dxa"/>
            <w:tcBorders>
              <w:left w:val="single" w:sz="4" w:space="0" w:color="auto"/>
            </w:tcBorders>
            <w:shd w:val="clear" w:color="auto" w:fill="auto"/>
            <w:noWrap/>
            <w:vAlign w:val="bottom"/>
            <w:hideMark/>
          </w:tcPr>
          <w:p w14:paraId="03F6114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271.87</w:t>
            </w:r>
          </w:p>
        </w:tc>
        <w:tc>
          <w:tcPr>
            <w:tcW w:w="1081" w:type="dxa"/>
            <w:shd w:val="clear" w:color="auto" w:fill="auto"/>
            <w:noWrap/>
            <w:vAlign w:val="bottom"/>
            <w:hideMark/>
          </w:tcPr>
          <w:p w14:paraId="1201A0B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16234.75</w:t>
            </w:r>
          </w:p>
        </w:tc>
        <w:tc>
          <w:tcPr>
            <w:tcW w:w="1081" w:type="dxa"/>
            <w:shd w:val="clear" w:color="auto" w:fill="auto"/>
            <w:noWrap/>
            <w:vAlign w:val="bottom"/>
            <w:hideMark/>
          </w:tcPr>
          <w:p w14:paraId="63806B9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27205.34</w:t>
            </w:r>
          </w:p>
        </w:tc>
        <w:tc>
          <w:tcPr>
            <w:tcW w:w="956" w:type="dxa"/>
            <w:shd w:val="clear" w:color="auto" w:fill="auto"/>
            <w:noWrap/>
            <w:vAlign w:val="bottom"/>
            <w:hideMark/>
          </w:tcPr>
          <w:p w14:paraId="50AC868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146361.78</w:t>
            </w:r>
          </w:p>
        </w:tc>
        <w:tc>
          <w:tcPr>
            <w:tcW w:w="987" w:type="dxa"/>
            <w:shd w:val="clear" w:color="auto" w:fill="auto"/>
            <w:noWrap/>
            <w:vAlign w:val="bottom"/>
            <w:hideMark/>
          </w:tcPr>
          <w:p w14:paraId="05B0C60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331.38</w:t>
            </w:r>
          </w:p>
        </w:tc>
        <w:tc>
          <w:tcPr>
            <w:tcW w:w="999" w:type="dxa"/>
            <w:shd w:val="clear" w:color="auto" w:fill="auto"/>
            <w:noWrap/>
            <w:vAlign w:val="bottom"/>
            <w:hideMark/>
          </w:tcPr>
          <w:p w14:paraId="69A8BE3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2991.50</w:t>
            </w:r>
          </w:p>
        </w:tc>
        <w:tc>
          <w:tcPr>
            <w:tcW w:w="999" w:type="dxa"/>
            <w:shd w:val="clear" w:color="auto" w:fill="auto"/>
            <w:noWrap/>
            <w:vAlign w:val="bottom"/>
            <w:hideMark/>
          </w:tcPr>
          <w:p w14:paraId="0997655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1947.97</w:t>
            </w:r>
          </w:p>
        </w:tc>
        <w:tc>
          <w:tcPr>
            <w:tcW w:w="872" w:type="dxa"/>
            <w:shd w:val="clear" w:color="auto" w:fill="auto"/>
            <w:noWrap/>
            <w:vAlign w:val="bottom"/>
            <w:hideMark/>
          </w:tcPr>
          <w:p w14:paraId="10173DA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6294.09</w:t>
            </w:r>
          </w:p>
        </w:tc>
        <w:tc>
          <w:tcPr>
            <w:tcW w:w="969" w:type="dxa"/>
            <w:shd w:val="clear" w:color="auto" w:fill="auto"/>
            <w:noWrap/>
            <w:vAlign w:val="bottom"/>
            <w:hideMark/>
          </w:tcPr>
          <w:p w14:paraId="66A600D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43679522.71</w:t>
            </w:r>
          </w:p>
        </w:tc>
      </w:tr>
      <w:tr w:rsidR="00C1571C" w:rsidRPr="00C1571C" w14:paraId="0598E61D" w14:textId="77777777" w:rsidTr="00C1571C">
        <w:trPr>
          <w:trHeight w:val="300"/>
        </w:trPr>
        <w:tc>
          <w:tcPr>
            <w:tcW w:w="509" w:type="dxa"/>
            <w:tcBorders>
              <w:right w:val="single" w:sz="4" w:space="0" w:color="auto"/>
            </w:tcBorders>
            <w:shd w:val="clear" w:color="auto" w:fill="auto"/>
            <w:noWrap/>
            <w:vAlign w:val="bottom"/>
            <w:hideMark/>
          </w:tcPr>
          <w:p w14:paraId="595F6706"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1990</w:t>
            </w:r>
          </w:p>
        </w:tc>
        <w:tc>
          <w:tcPr>
            <w:tcW w:w="1014" w:type="dxa"/>
            <w:tcBorders>
              <w:left w:val="single" w:sz="4" w:space="0" w:color="auto"/>
            </w:tcBorders>
            <w:shd w:val="clear" w:color="auto" w:fill="auto"/>
            <w:noWrap/>
            <w:vAlign w:val="bottom"/>
            <w:hideMark/>
          </w:tcPr>
          <w:p w14:paraId="3C00287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213.15</w:t>
            </w:r>
          </w:p>
        </w:tc>
        <w:tc>
          <w:tcPr>
            <w:tcW w:w="1081" w:type="dxa"/>
            <w:shd w:val="clear" w:color="auto" w:fill="auto"/>
            <w:noWrap/>
            <w:vAlign w:val="bottom"/>
            <w:hideMark/>
          </w:tcPr>
          <w:p w14:paraId="6D1D74E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14986.34</w:t>
            </w:r>
          </w:p>
        </w:tc>
        <w:tc>
          <w:tcPr>
            <w:tcW w:w="1081" w:type="dxa"/>
            <w:shd w:val="clear" w:color="auto" w:fill="auto"/>
            <w:noWrap/>
            <w:vAlign w:val="bottom"/>
            <w:hideMark/>
          </w:tcPr>
          <w:p w14:paraId="1E19F48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27355.39</w:t>
            </w:r>
          </w:p>
        </w:tc>
        <w:tc>
          <w:tcPr>
            <w:tcW w:w="956" w:type="dxa"/>
            <w:shd w:val="clear" w:color="auto" w:fill="auto"/>
            <w:noWrap/>
            <w:vAlign w:val="bottom"/>
            <w:hideMark/>
          </w:tcPr>
          <w:p w14:paraId="64C653E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158699.01</w:t>
            </w:r>
          </w:p>
        </w:tc>
        <w:tc>
          <w:tcPr>
            <w:tcW w:w="987" w:type="dxa"/>
            <w:shd w:val="clear" w:color="auto" w:fill="auto"/>
            <w:noWrap/>
            <w:vAlign w:val="bottom"/>
            <w:hideMark/>
          </w:tcPr>
          <w:p w14:paraId="278CB61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224.70</w:t>
            </w:r>
          </w:p>
        </w:tc>
        <w:tc>
          <w:tcPr>
            <w:tcW w:w="999" w:type="dxa"/>
            <w:shd w:val="clear" w:color="auto" w:fill="auto"/>
            <w:noWrap/>
            <w:vAlign w:val="bottom"/>
            <w:hideMark/>
          </w:tcPr>
          <w:p w14:paraId="5C32FBB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1996.76</w:t>
            </w:r>
          </w:p>
        </w:tc>
        <w:tc>
          <w:tcPr>
            <w:tcW w:w="999" w:type="dxa"/>
            <w:shd w:val="clear" w:color="auto" w:fill="auto"/>
            <w:noWrap/>
            <w:vAlign w:val="bottom"/>
            <w:hideMark/>
          </w:tcPr>
          <w:p w14:paraId="2AEF16B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1247.35</w:t>
            </w:r>
          </w:p>
        </w:tc>
        <w:tc>
          <w:tcPr>
            <w:tcW w:w="872" w:type="dxa"/>
            <w:shd w:val="clear" w:color="auto" w:fill="auto"/>
            <w:noWrap/>
            <w:vAlign w:val="bottom"/>
            <w:hideMark/>
          </w:tcPr>
          <w:p w14:paraId="31461FC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6292.47</w:t>
            </w:r>
          </w:p>
        </w:tc>
        <w:tc>
          <w:tcPr>
            <w:tcW w:w="969" w:type="dxa"/>
            <w:shd w:val="clear" w:color="auto" w:fill="auto"/>
            <w:noWrap/>
            <w:vAlign w:val="bottom"/>
            <w:hideMark/>
          </w:tcPr>
          <w:p w14:paraId="6A3EC85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43670146.21</w:t>
            </w:r>
          </w:p>
        </w:tc>
      </w:tr>
      <w:tr w:rsidR="00C1571C" w:rsidRPr="00C1571C" w14:paraId="63C2EAE0" w14:textId="77777777" w:rsidTr="00C1571C">
        <w:trPr>
          <w:trHeight w:val="300"/>
        </w:trPr>
        <w:tc>
          <w:tcPr>
            <w:tcW w:w="509" w:type="dxa"/>
            <w:tcBorders>
              <w:right w:val="single" w:sz="4" w:space="0" w:color="auto"/>
            </w:tcBorders>
            <w:shd w:val="clear" w:color="auto" w:fill="auto"/>
            <w:noWrap/>
            <w:vAlign w:val="bottom"/>
            <w:hideMark/>
          </w:tcPr>
          <w:p w14:paraId="55C0899A"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1991</w:t>
            </w:r>
          </w:p>
        </w:tc>
        <w:tc>
          <w:tcPr>
            <w:tcW w:w="1014" w:type="dxa"/>
            <w:tcBorders>
              <w:left w:val="single" w:sz="4" w:space="0" w:color="auto"/>
            </w:tcBorders>
            <w:shd w:val="clear" w:color="auto" w:fill="auto"/>
            <w:noWrap/>
            <w:vAlign w:val="bottom"/>
            <w:hideMark/>
          </w:tcPr>
          <w:p w14:paraId="566BB31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140.28</w:t>
            </w:r>
          </w:p>
        </w:tc>
        <w:tc>
          <w:tcPr>
            <w:tcW w:w="1081" w:type="dxa"/>
            <w:shd w:val="clear" w:color="auto" w:fill="auto"/>
            <w:noWrap/>
            <w:vAlign w:val="bottom"/>
            <w:hideMark/>
          </w:tcPr>
          <w:p w14:paraId="7CC21A2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22842.37</w:t>
            </w:r>
          </w:p>
        </w:tc>
        <w:tc>
          <w:tcPr>
            <w:tcW w:w="1081" w:type="dxa"/>
            <w:shd w:val="clear" w:color="auto" w:fill="auto"/>
            <w:noWrap/>
            <w:vAlign w:val="bottom"/>
            <w:hideMark/>
          </w:tcPr>
          <w:p w14:paraId="3D72F94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21738.24</w:t>
            </w:r>
          </w:p>
        </w:tc>
        <w:tc>
          <w:tcPr>
            <w:tcW w:w="956" w:type="dxa"/>
            <w:shd w:val="clear" w:color="auto" w:fill="auto"/>
            <w:noWrap/>
            <w:vAlign w:val="bottom"/>
            <w:hideMark/>
          </w:tcPr>
          <w:p w14:paraId="7ED1026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163296.46</w:t>
            </w:r>
          </w:p>
        </w:tc>
        <w:tc>
          <w:tcPr>
            <w:tcW w:w="987" w:type="dxa"/>
            <w:shd w:val="clear" w:color="auto" w:fill="auto"/>
            <w:noWrap/>
            <w:vAlign w:val="bottom"/>
            <w:hideMark/>
          </w:tcPr>
          <w:p w14:paraId="3356612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200.37</w:t>
            </w:r>
          </w:p>
        </w:tc>
        <w:tc>
          <w:tcPr>
            <w:tcW w:w="999" w:type="dxa"/>
            <w:shd w:val="clear" w:color="auto" w:fill="auto"/>
            <w:noWrap/>
            <w:vAlign w:val="bottom"/>
            <w:hideMark/>
          </w:tcPr>
          <w:p w14:paraId="13D98A9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2170.90</w:t>
            </w:r>
          </w:p>
        </w:tc>
        <w:tc>
          <w:tcPr>
            <w:tcW w:w="999" w:type="dxa"/>
            <w:shd w:val="clear" w:color="auto" w:fill="auto"/>
            <w:noWrap/>
            <w:vAlign w:val="bottom"/>
            <w:hideMark/>
          </w:tcPr>
          <w:p w14:paraId="1BA71EB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1168.01</w:t>
            </w:r>
          </w:p>
        </w:tc>
        <w:tc>
          <w:tcPr>
            <w:tcW w:w="872" w:type="dxa"/>
            <w:shd w:val="clear" w:color="auto" w:fill="auto"/>
            <w:noWrap/>
            <w:vAlign w:val="bottom"/>
            <w:hideMark/>
          </w:tcPr>
          <w:p w14:paraId="755169F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5381.70</w:t>
            </w:r>
          </w:p>
        </w:tc>
        <w:tc>
          <w:tcPr>
            <w:tcW w:w="969" w:type="dxa"/>
            <w:shd w:val="clear" w:color="auto" w:fill="auto"/>
            <w:noWrap/>
            <w:vAlign w:val="bottom"/>
            <w:hideMark/>
          </w:tcPr>
          <w:p w14:paraId="4F5AA6E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43664223.07</w:t>
            </w:r>
          </w:p>
        </w:tc>
      </w:tr>
      <w:tr w:rsidR="00C1571C" w:rsidRPr="00C1571C" w14:paraId="16864F9F" w14:textId="77777777" w:rsidTr="00C1571C">
        <w:trPr>
          <w:trHeight w:val="300"/>
        </w:trPr>
        <w:tc>
          <w:tcPr>
            <w:tcW w:w="509" w:type="dxa"/>
            <w:tcBorders>
              <w:right w:val="single" w:sz="4" w:space="0" w:color="auto"/>
            </w:tcBorders>
            <w:shd w:val="clear" w:color="auto" w:fill="auto"/>
            <w:noWrap/>
            <w:vAlign w:val="bottom"/>
            <w:hideMark/>
          </w:tcPr>
          <w:p w14:paraId="47B97B3A"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1992</w:t>
            </w:r>
          </w:p>
        </w:tc>
        <w:tc>
          <w:tcPr>
            <w:tcW w:w="1014" w:type="dxa"/>
            <w:tcBorders>
              <w:left w:val="single" w:sz="4" w:space="0" w:color="auto"/>
            </w:tcBorders>
            <w:shd w:val="clear" w:color="auto" w:fill="auto"/>
            <w:noWrap/>
            <w:vAlign w:val="bottom"/>
            <w:hideMark/>
          </w:tcPr>
          <w:p w14:paraId="31B9307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105.59</w:t>
            </w:r>
          </w:p>
        </w:tc>
        <w:tc>
          <w:tcPr>
            <w:tcW w:w="1081" w:type="dxa"/>
            <w:shd w:val="clear" w:color="auto" w:fill="auto"/>
            <w:noWrap/>
            <w:vAlign w:val="bottom"/>
            <w:hideMark/>
          </w:tcPr>
          <w:p w14:paraId="2885419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10798.57</w:t>
            </w:r>
          </w:p>
        </w:tc>
        <w:tc>
          <w:tcPr>
            <w:tcW w:w="1081" w:type="dxa"/>
            <w:shd w:val="clear" w:color="auto" w:fill="auto"/>
            <w:noWrap/>
            <w:vAlign w:val="bottom"/>
            <w:hideMark/>
          </w:tcPr>
          <w:p w14:paraId="1B32EB9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17091.92</w:t>
            </w:r>
          </w:p>
        </w:tc>
        <w:tc>
          <w:tcPr>
            <w:tcW w:w="956" w:type="dxa"/>
            <w:shd w:val="clear" w:color="auto" w:fill="auto"/>
            <w:noWrap/>
            <w:vAlign w:val="bottom"/>
            <w:hideMark/>
          </w:tcPr>
          <w:p w14:paraId="0B84EB9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174330.91</w:t>
            </w:r>
          </w:p>
        </w:tc>
        <w:tc>
          <w:tcPr>
            <w:tcW w:w="987" w:type="dxa"/>
            <w:shd w:val="clear" w:color="auto" w:fill="auto"/>
            <w:noWrap/>
            <w:vAlign w:val="bottom"/>
            <w:hideMark/>
          </w:tcPr>
          <w:p w14:paraId="054F546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243.20</w:t>
            </w:r>
          </w:p>
        </w:tc>
        <w:tc>
          <w:tcPr>
            <w:tcW w:w="999" w:type="dxa"/>
            <w:shd w:val="clear" w:color="auto" w:fill="auto"/>
            <w:noWrap/>
            <w:vAlign w:val="bottom"/>
            <w:hideMark/>
          </w:tcPr>
          <w:p w14:paraId="4F66BF8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1393.51</w:t>
            </w:r>
          </w:p>
        </w:tc>
        <w:tc>
          <w:tcPr>
            <w:tcW w:w="999" w:type="dxa"/>
            <w:shd w:val="clear" w:color="auto" w:fill="auto"/>
            <w:noWrap/>
            <w:vAlign w:val="bottom"/>
            <w:hideMark/>
          </w:tcPr>
          <w:p w14:paraId="33CD6C8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1539.69</w:t>
            </w:r>
          </w:p>
        </w:tc>
        <w:tc>
          <w:tcPr>
            <w:tcW w:w="872" w:type="dxa"/>
            <w:shd w:val="clear" w:color="auto" w:fill="auto"/>
            <w:noWrap/>
            <w:vAlign w:val="bottom"/>
            <w:hideMark/>
          </w:tcPr>
          <w:p w14:paraId="6AC9B83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5053.28</w:t>
            </w:r>
          </w:p>
        </w:tc>
        <w:tc>
          <w:tcPr>
            <w:tcW w:w="969" w:type="dxa"/>
            <w:shd w:val="clear" w:color="auto" w:fill="auto"/>
            <w:noWrap/>
            <w:vAlign w:val="bottom"/>
            <w:hideMark/>
          </w:tcPr>
          <w:p w14:paraId="57ACAD6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43670604.73</w:t>
            </w:r>
          </w:p>
        </w:tc>
      </w:tr>
      <w:tr w:rsidR="00C1571C" w:rsidRPr="00C1571C" w14:paraId="6A215F18" w14:textId="77777777" w:rsidTr="00C1571C">
        <w:trPr>
          <w:trHeight w:val="300"/>
        </w:trPr>
        <w:tc>
          <w:tcPr>
            <w:tcW w:w="509" w:type="dxa"/>
            <w:tcBorders>
              <w:right w:val="single" w:sz="4" w:space="0" w:color="auto"/>
            </w:tcBorders>
            <w:shd w:val="clear" w:color="auto" w:fill="auto"/>
            <w:noWrap/>
            <w:vAlign w:val="bottom"/>
            <w:hideMark/>
          </w:tcPr>
          <w:p w14:paraId="39A94780"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1993</w:t>
            </w:r>
          </w:p>
        </w:tc>
        <w:tc>
          <w:tcPr>
            <w:tcW w:w="1014" w:type="dxa"/>
            <w:tcBorders>
              <w:left w:val="single" w:sz="4" w:space="0" w:color="auto"/>
            </w:tcBorders>
            <w:shd w:val="clear" w:color="auto" w:fill="auto"/>
            <w:noWrap/>
            <w:vAlign w:val="bottom"/>
            <w:hideMark/>
          </w:tcPr>
          <w:p w14:paraId="2E28D0F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221.49</w:t>
            </w:r>
          </w:p>
        </w:tc>
        <w:tc>
          <w:tcPr>
            <w:tcW w:w="1081" w:type="dxa"/>
            <w:shd w:val="clear" w:color="auto" w:fill="auto"/>
            <w:noWrap/>
            <w:vAlign w:val="bottom"/>
            <w:hideMark/>
          </w:tcPr>
          <w:p w14:paraId="6EE4866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10029.06</w:t>
            </w:r>
          </w:p>
        </w:tc>
        <w:tc>
          <w:tcPr>
            <w:tcW w:w="1081" w:type="dxa"/>
            <w:shd w:val="clear" w:color="auto" w:fill="auto"/>
            <w:noWrap/>
            <w:vAlign w:val="bottom"/>
            <w:hideMark/>
          </w:tcPr>
          <w:p w14:paraId="50057AA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18345.96</w:t>
            </w:r>
          </w:p>
        </w:tc>
        <w:tc>
          <w:tcPr>
            <w:tcW w:w="956" w:type="dxa"/>
            <w:shd w:val="clear" w:color="auto" w:fill="auto"/>
            <w:noWrap/>
            <w:vAlign w:val="bottom"/>
            <w:hideMark/>
          </w:tcPr>
          <w:p w14:paraId="7D404DE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181415.48</w:t>
            </w:r>
          </w:p>
        </w:tc>
        <w:tc>
          <w:tcPr>
            <w:tcW w:w="987" w:type="dxa"/>
            <w:shd w:val="clear" w:color="auto" w:fill="auto"/>
            <w:noWrap/>
            <w:vAlign w:val="bottom"/>
            <w:hideMark/>
          </w:tcPr>
          <w:p w14:paraId="26F8CDC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135.69</w:t>
            </w:r>
          </w:p>
        </w:tc>
        <w:tc>
          <w:tcPr>
            <w:tcW w:w="999" w:type="dxa"/>
            <w:shd w:val="clear" w:color="auto" w:fill="auto"/>
            <w:noWrap/>
            <w:vAlign w:val="bottom"/>
            <w:hideMark/>
          </w:tcPr>
          <w:p w14:paraId="31FB8D6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1115.13</w:t>
            </w:r>
          </w:p>
        </w:tc>
        <w:tc>
          <w:tcPr>
            <w:tcW w:w="999" w:type="dxa"/>
            <w:shd w:val="clear" w:color="auto" w:fill="auto"/>
            <w:noWrap/>
            <w:vAlign w:val="bottom"/>
            <w:hideMark/>
          </w:tcPr>
          <w:p w14:paraId="1A6DA70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2044.21</w:t>
            </w:r>
          </w:p>
        </w:tc>
        <w:tc>
          <w:tcPr>
            <w:tcW w:w="872" w:type="dxa"/>
            <w:shd w:val="clear" w:color="auto" w:fill="auto"/>
            <w:noWrap/>
            <w:vAlign w:val="bottom"/>
            <w:hideMark/>
          </w:tcPr>
          <w:p w14:paraId="7BAC965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5447.74</w:t>
            </w:r>
          </w:p>
        </w:tc>
        <w:tc>
          <w:tcPr>
            <w:tcW w:w="969" w:type="dxa"/>
            <w:shd w:val="clear" w:color="auto" w:fill="auto"/>
            <w:noWrap/>
            <w:vAlign w:val="bottom"/>
            <w:hideMark/>
          </w:tcPr>
          <w:p w14:paraId="27119F8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43662406.64</w:t>
            </w:r>
          </w:p>
        </w:tc>
      </w:tr>
      <w:tr w:rsidR="00C1571C" w:rsidRPr="00C1571C" w14:paraId="0E220B79" w14:textId="77777777" w:rsidTr="00C1571C">
        <w:trPr>
          <w:trHeight w:val="300"/>
        </w:trPr>
        <w:tc>
          <w:tcPr>
            <w:tcW w:w="509" w:type="dxa"/>
            <w:tcBorders>
              <w:right w:val="single" w:sz="4" w:space="0" w:color="auto"/>
            </w:tcBorders>
            <w:shd w:val="clear" w:color="auto" w:fill="auto"/>
            <w:noWrap/>
            <w:vAlign w:val="bottom"/>
            <w:hideMark/>
          </w:tcPr>
          <w:p w14:paraId="1D4A1B40"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1994</w:t>
            </w:r>
          </w:p>
        </w:tc>
        <w:tc>
          <w:tcPr>
            <w:tcW w:w="1014" w:type="dxa"/>
            <w:tcBorders>
              <w:left w:val="single" w:sz="4" w:space="0" w:color="auto"/>
            </w:tcBorders>
            <w:shd w:val="clear" w:color="auto" w:fill="auto"/>
            <w:noWrap/>
            <w:vAlign w:val="bottom"/>
            <w:hideMark/>
          </w:tcPr>
          <w:p w14:paraId="3F041F9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262.02</w:t>
            </w:r>
          </w:p>
        </w:tc>
        <w:tc>
          <w:tcPr>
            <w:tcW w:w="1081" w:type="dxa"/>
            <w:shd w:val="clear" w:color="auto" w:fill="auto"/>
            <w:noWrap/>
            <w:vAlign w:val="bottom"/>
            <w:hideMark/>
          </w:tcPr>
          <w:p w14:paraId="1C3BFC2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14058.22</w:t>
            </w:r>
          </w:p>
        </w:tc>
        <w:tc>
          <w:tcPr>
            <w:tcW w:w="1081" w:type="dxa"/>
            <w:shd w:val="clear" w:color="auto" w:fill="auto"/>
            <w:noWrap/>
            <w:vAlign w:val="bottom"/>
            <w:hideMark/>
          </w:tcPr>
          <w:p w14:paraId="4445556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17118.74</w:t>
            </w:r>
          </w:p>
        </w:tc>
        <w:tc>
          <w:tcPr>
            <w:tcW w:w="956" w:type="dxa"/>
            <w:shd w:val="clear" w:color="auto" w:fill="auto"/>
            <w:noWrap/>
            <w:vAlign w:val="bottom"/>
            <w:hideMark/>
          </w:tcPr>
          <w:p w14:paraId="32E97C0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185576.89</w:t>
            </w:r>
          </w:p>
        </w:tc>
        <w:tc>
          <w:tcPr>
            <w:tcW w:w="987" w:type="dxa"/>
            <w:shd w:val="clear" w:color="auto" w:fill="auto"/>
            <w:noWrap/>
            <w:vAlign w:val="bottom"/>
            <w:hideMark/>
          </w:tcPr>
          <w:p w14:paraId="4248C45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195.91</w:t>
            </w:r>
          </w:p>
        </w:tc>
        <w:tc>
          <w:tcPr>
            <w:tcW w:w="999" w:type="dxa"/>
            <w:shd w:val="clear" w:color="auto" w:fill="auto"/>
            <w:noWrap/>
            <w:vAlign w:val="bottom"/>
            <w:hideMark/>
          </w:tcPr>
          <w:p w14:paraId="7CA0C0E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1234.96</w:t>
            </w:r>
          </w:p>
        </w:tc>
        <w:tc>
          <w:tcPr>
            <w:tcW w:w="999" w:type="dxa"/>
            <w:shd w:val="clear" w:color="auto" w:fill="auto"/>
            <w:noWrap/>
            <w:vAlign w:val="bottom"/>
            <w:hideMark/>
          </w:tcPr>
          <w:p w14:paraId="3E15377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3966.86</w:t>
            </w:r>
          </w:p>
        </w:tc>
        <w:tc>
          <w:tcPr>
            <w:tcW w:w="872" w:type="dxa"/>
            <w:shd w:val="clear" w:color="auto" w:fill="auto"/>
            <w:noWrap/>
            <w:vAlign w:val="bottom"/>
            <w:hideMark/>
          </w:tcPr>
          <w:p w14:paraId="4EFD5FB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6282.57</w:t>
            </w:r>
          </w:p>
        </w:tc>
        <w:tc>
          <w:tcPr>
            <w:tcW w:w="969" w:type="dxa"/>
            <w:shd w:val="clear" w:color="auto" w:fill="auto"/>
            <w:noWrap/>
            <w:vAlign w:val="bottom"/>
            <w:hideMark/>
          </w:tcPr>
          <w:p w14:paraId="694EC68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43652465.22</w:t>
            </w:r>
          </w:p>
        </w:tc>
      </w:tr>
      <w:tr w:rsidR="00C1571C" w:rsidRPr="00C1571C" w14:paraId="44F5E03E" w14:textId="77777777" w:rsidTr="00C1571C">
        <w:trPr>
          <w:trHeight w:val="300"/>
        </w:trPr>
        <w:tc>
          <w:tcPr>
            <w:tcW w:w="509" w:type="dxa"/>
            <w:tcBorders>
              <w:right w:val="single" w:sz="4" w:space="0" w:color="auto"/>
            </w:tcBorders>
            <w:shd w:val="clear" w:color="auto" w:fill="auto"/>
            <w:noWrap/>
            <w:vAlign w:val="bottom"/>
            <w:hideMark/>
          </w:tcPr>
          <w:p w14:paraId="4B1ED4CF"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1995</w:t>
            </w:r>
          </w:p>
        </w:tc>
        <w:tc>
          <w:tcPr>
            <w:tcW w:w="1014" w:type="dxa"/>
            <w:tcBorders>
              <w:left w:val="single" w:sz="4" w:space="0" w:color="auto"/>
            </w:tcBorders>
            <w:shd w:val="clear" w:color="auto" w:fill="auto"/>
            <w:noWrap/>
            <w:vAlign w:val="bottom"/>
            <w:hideMark/>
          </w:tcPr>
          <w:p w14:paraId="78D6D75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254.61</w:t>
            </w:r>
          </w:p>
        </w:tc>
        <w:tc>
          <w:tcPr>
            <w:tcW w:w="1081" w:type="dxa"/>
            <w:shd w:val="clear" w:color="auto" w:fill="auto"/>
            <w:noWrap/>
            <w:vAlign w:val="bottom"/>
            <w:hideMark/>
          </w:tcPr>
          <w:p w14:paraId="65105C7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11416.82</w:t>
            </w:r>
          </w:p>
        </w:tc>
        <w:tc>
          <w:tcPr>
            <w:tcW w:w="1081" w:type="dxa"/>
            <w:shd w:val="clear" w:color="auto" w:fill="auto"/>
            <w:noWrap/>
            <w:vAlign w:val="bottom"/>
            <w:hideMark/>
          </w:tcPr>
          <w:p w14:paraId="3FB8AAE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15592.08</w:t>
            </w:r>
          </w:p>
        </w:tc>
        <w:tc>
          <w:tcPr>
            <w:tcW w:w="956" w:type="dxa"/>
            <w:shd w:val="clear" w:color="auto" w:fill="auto"/>
            <w:noWrap/>
            <w:vAlign w:val="bottom"/>
            <w:hideMark/>
          </w:tcPr>
          <w:p w14:paraId="2A825AE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191220.11</w:t>
            </w:r>
          </w:p>
        </w:tc>
        <w:tc>
          <w:tcPr>
            <w:tcW w:w="987" w:type="dxa"/>
            <w:shd w:val="clear" w:color="auto" w:fill="auto"/>
            <w:noWrap/>
            <w:vAlign w:val="bottom"/>
            <w:hideMark/>
          </w:tcPr>
          <w:p w14:paraId="65E6461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342.82</w:t>
            </w:r>
          </w:p>
        </w:tc>
        <w:tc>
          <w:tcPr>
            <w:tcW w:w="999" w:type="dxa"/>
            <w:shd w:val="clear" w:color="auto" w:fill="auto"/>
            <w:noWrap/>
            <w:vAlign w:val="bottom"/>
            <w:hideMark/>
          </w:tcPr>
          <w:p w14:paraId="4E1B584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1646.65</w:t>
            </w:r>
          </w:p>
        </w:tc>
        <w:tc>
          <w:tcPr>
            <w:tcW w:w="999" w:type="dxa"/>
            <w:shd w:val="clear" w:color="auto" w:fill="auto"/>
            <w:noWrap/>
            <w:vAlign w:val="bottom"/>
            <w:hideMark/>
          </w:tcPr>
          <w:p w14:paraId="0A15EAD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3882.39</w:t>
            </w:r>
          </w:p>
        </w:tc>
        <w:tc>
          <w:tcPr>
            <w:tcW w:w="872" w:type="dxa"/>
            <w:shd w:val="clear" w:color="auto" w:fill="auto"/>
            <w:noWrap/>
            <w:vAlign w:val="bottom"/>
            <w:hideMark/>
          </w:tcPr>
          <w:p w14:paraId="05E0090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8521.99</w:t>
            </w:r>
          </w:p>
        </w:tc>
        <w:tc>
          <w:tcPr>
            <w:tcW w:w="969" w:type="dxa"/>
            <w:shd w:val="clear" w:color="auto" w:fill="auto"/>
            <w:noWrap/>
            <w:vAlign w:val="bottom"/>
            <w:hideMark/>
          </w:tcPr>
          <w:p w14:paraId="7EC7758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43648283.92</w:t>
            </w:r>
          </w:p>
        </w:tc>
      </w:tr>
      <w:tr w:rsidR="00C1571C" w:rsidRPr="00C1571C" w14:paraId="08F79198" w14:textId="77777777" w:rsidTr="00C1571C">
        <w:trPr>
          <w:trHeight w:val="300"/>
        </w:trPr>
        <w:tc>
          <w:tcPr>
            <w:tcW w:w="509" w:type="dxa"/>
            <w:tcBorders>
              <w:right w:val="single" w:sz="4" w:space="0" w:color="auto"/>
            </w:tcBorders>
            <w:shd w:val="clear" w:color="auto" w:fill="auto"/>
            <w:noWrap/>
            <w:vAlign w:val="bottom"/>
            <w:hideMark/>
          </w:tcPr>
          <w:p w14:paraId="27A87694"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1996</w:t>
            </w:r>
          </w:p>
        </w:tc>
        <w:tc>
          <w:tcPr>
            <w:tcW w:w="1014" w:type="dxa"/>
            <w:tcBorders>
              <w:left w:val="single" w:sz="4" w:space="0" w:color="auto"/>
            </w:tcBorders>
            <w:shd w:val="clear" w:color="auto" w:fill="auto"/>
            <w:noWrap/>
            <w:vAlign w:val="bottom"/>
            <w:hideMark/>
          </w:tcPr>
          <w:p w14:paraId="04D9CD4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220.69</w:t>
            </w:r>
          </w:p>
        </w:tc>
        <w:tc>
          <w:tcPr>
            <w:tcW w:w="1081" w:type="dxa"/>
            <w:shd w:val="clear" w:color="auto" w:fill="auto"/>
            <w:noWrap/>
            <w:vAlign w:val="bottom"/>
            <w:hideMark/>
          </w:tcPr>
          <w:p w14:paraId="32A4070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10468.90</w:t>
            </w:r>
          </w:p>
        </w:tc>
        <w:tc>
          <w:tcPr>
            <w:tcW w:w="1081" w:type="dxa"/>
            <w:shd w:val="clear" w:color="auto" w:fill="auto"/>
            <w:noWrap/>
            <w:vAlign w:val="bottom"/>
            <w:hideMark/>
          </w:tcPr>
          <w:p w14:paraId="59ADD41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17089.51</w:t>
            </w:r>
          </w:p>
        </w:tc>
        <w:tc>
          <w:tcPr>
            <w:tcW w:w="956" w:type="dxa"/>
            <w:shd w:val="clear" w:color="auto" w:fill="auto"/>
            <w:noWrap/>
            <w:vAlign w:val="bottom"/>
            <w:hideMark/>
          </w:tcPr>
          <w:p w14:paraId="7CAEFDB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196465.42</w:t>
            </w:r>
          </w:p>
        </w:tc>
        <w:tc>
          <w:tcPr>
            <w:tcW w:w="987" w:type="dxa"/>
            <w:shd w:val="clear" w:color="auto" w:fill="auto"/>
            <w:noWrap/>
            <w:vAlign w:val="bottom"/>
            <w:hideMark/>
          </w:tcPr>
          <w:p w14:paraId="6048B45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456.14</w:t>
            </w:r>
          </w:p>
        </w:tc>
        <w:tc>
          <w:tcPr>
            <w:tcW w:w="999" w:type="dxa"/>
            <w:shd w:val="clear" w:color="auto" w:fill="auto"/>
            <w:noWrap/>
            <w:vAlign w:val="bottom"/>
            <w:hideMark/>
          </w:tcPr>
          <w:p w14:paraId="603A690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1991.17</w:t>
            </w:r>
          </w:p>
        </w:tc>
        <w:tc>
          <w:tcPr>
            <w:tcW w:w="999" w:type="dxa"/>
            <w:shd w:val="clear" w:color="auto" w:fill="auto"/>
            <w:noWrap/>
            <w:vAlign w:val="bottom"/>
            <w:hideMark/>
          </w:tcPr>
          <w:p w14:paraId="3BDD31E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2577.82</w:t>
            </w:r>
          </w:p>
        </w:tc>
        <w:tc>
          <w:tcPr>
            <w:tcW w:w="872" w:type="dxa"/>
            <w:shd w:val="clear" w:color="auto" w:fill="auto"/>
            <w:noWrap/>
            <w:vAlign w:val="bottom"/>
            <w:hideMark/>
          </w:tcPr>
          <w:p w14:paraId="2FD123E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10211.69</w:t>
            </w:r>
          </w:p>
        </w:tc>
        <w:tc>
          <w:tcPr>
            <w:tcW w:w="969" w:type="dxa"/>
            <w:shd w:val="clear" w:color="auto" w:fill="auto"/>
            <w:noWrap/>
            <w:vAlign w:val="bottom"/>
            <w:hideMark/>
          </w:tcPr>
          <w:p w14:paraId="055AD70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43641680.05</w:t>
            </w:r>
          </w:p>
        </w:tc>
      </w:tr>
      <w:tr w:rsidR="00C1571C" w:rsidRPr="00C1571C" w14:paraId="7A283F26" w14:textId="77777777" w:rsidTr="00C1571C">
        <w:trPr>
          <w:trHeight w:val="300"/>
        </w:trPr>
        <w:tc>
          <w:tcPr>
            <w:tcW w:w="509" w:type="dxa"/>
            <w:tcBorders>
              <w:right w:val="single" w:sz="4" w:space="0" w:color="auto"/>
            </w:tcBorders>
            <w:shd w:val="clear" w:color="auto" w:fill="auto"/>
            <w:noWrap/>
            <w:vAlign w:val="bottom"/>
            <w:hideMark/>
          </w:tcPr>
          <w:p w14:paraId="1C991F3B"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1997</w:t>
            </w:r>
          </w:p>
        </w:tc>
        <w:tc>
          <w:tcPr>
            <w:tcW w:w="1014" w:type="dxa"/>
            <w:tcBorders>
              <w:left w:val="single" w:sz="4" w:space="0" w:color="auto"/>
            </w:tcBorders>
            <w:shd w:val="clear" w:color="auto" w:fill="auto"/>
            <w:noWrap/>
            <w:vAlign w:val="bottom"/>
            <w:hideMark/>
          </w:tcPr>
          <w:p w14:paraId="394FD7F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281.19</w:t>
            </w:r>
          </w:p>
        </w:tc>
        <w:tc>
          <w:tcPr>
            <w:tcW w:w="1081" w:type="dxa"/>
            <w:shd w:val="clear" w:color="auto" w:fill="auto"/>
            <w:noWrap/>
            <w:vAlign w:val="bottom"/>
            <w:hideMark/>
          </w:tcPr>
          <w:p w14:paraId="471C63F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15090.74</w:t>
            </w:r>
          </w:p>
        </w:tc>
        <w:tc>
          <w:tcPr>
            <w:tcW w:w="1081" w:type="dxa"/>
            <w:shd w:val="clear" w:color="auto" w:fill="auto"/>
            <w:noWrap/>
            <w:vAlign w:val="bottom"/>
            <w:hideMark/>
          </w:tcPr>
          <w:p w14:paraId="2734AB2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31314.18</w:t>
            </w:r>
          </w:p>
        </w:tc>
        <w:tc>
          <w:tcPr>
            <w:tcW w:w="956" w:type="dxa"/>
            <w:shd w:val="clear" w:color="auto" w:fill="auto"/>
            <w:noWrap/>
            <w:vAlign w:val="bottom"/>
            <w:hideMark/>
          </w:tcPr>
          <w:p w14:paraId="2A97445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198639.14</w:t>
            </w:r>
          </w:p>
        </w:tc>
        <w:tc>
          <w:tcPr>
            <w:tcW w:w="987" w:type="dxa"/>
            <w:shd w:val="clear" w:color="auto" w:fill="auto"/>
            <w:noWrap/>
            <w:vAlign w:val="bottom"/>
            <w:hideMark/>
          </w:tcPr>
          <w:p w14:paraId="0824E45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829.09</w:t>
            </w:r>
          </w:p>
        </w:tc>
        <w:tc>
          <w:tcPr>
            <w:tcW w:w="999" w:type="dxa"/>
            <w:shd w:val="clear" w:color="auto" w:fill="auto"/>
            <w:noWrap/>
            <w:vAlign w:val="bottom"/>
            <w:hideMark/>
          </w:tcPr>
          <w:p w14:paraId="0A59B72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3284.16</w:t>
            </w:r>
          </w:p>
        </w:tc>
        <w:tc>
          <w:tcPr>
            <w:tcW w:w="999" w:type="dxa"/>
            <w:shd w:val="clear" w:color="auto" w:fill="auto"/>
            <w:noWrap/>
            <w:vAlign w:val="bottom"/>
            <w:hideMark/>
          </w:tcPr>
          <w:p w14:paraId="2ED508B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2502.99</w:t>
            </w:r>
          </w:p>
        </w:tc>
        <w:tc>
          <w:tcPr>
            <w:tcW w:w="872" w:type="dxa"/>
            <w:shd w:val="clear" w:color="auto" w:fill="auto"/>
            <w:noWrap/>
            <w:vAlign w:val="bottom"/>
            <w:hideMark/>
          </w:tcPr>
          <w:p w14:paraId="3DBB7C3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8896.95</w:t>
            </w:r>
          </w:p>
        </w:tc>
        <w:tc>
          <w:tcPr>
            <w:tcW w:w="969" w:type="dxa"/>
            <w:shd w:val="clear" w:color="auto" w:fill="auto"/>
            <w:noWrap/>
            <w:vAlign w:val="bottom"/>
            <w:hideMark/>
          </w:tcPr>
          <w:p w14:paraId="5C9924D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43620322.95</w:t>
            </w:r>
          </w:p>
        </w:tc>
      </w:tr>
      <w:tr w:rsidR="00C1571C" w:rsidRPr="00C1571C" w14:paraId="13493750" w14:textId="77777777" w:rsidTr="00C1571C">
        <w:trPr>
          <w:trHeight w:val="300"/>
        </w:trPr>
        <w:tc>
          <w:tcPr>
            <w:tcW w:w="509" w:type="dxa"/>
            <w:tcBorders>
              <w:right w:val="single" w:sz="4" w:space="0" w:color="auto"/>
            </w:tcBorders>
            <w:shd w:val="clear" w:color="auto" w:fill="auto"/>
            <w:noWrap/>
            <w:vAlign w:val="bottom"/>
            <w:hideMark/>
          </w:tcPr>
          <w:p w14:paraId="750B8139"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1998</w:t>
            </w:r>
          </w:p>
        </w:tc>
        <w:tc>
          <w:tcPr>
            <w:tcW w:w="1014" w:type="dxa"/>
            <w:tcBorders>
              <w:left w:val="single" w:sz="4" w:space="0" w:color="auto"/>
            </w:tcBorders>
            <w:shd w:val="clear" w:color="auto" w:fill="auto"/>
            <w:noWrap/>
            <w:vAlign w:val="bottom"/>
            <w:hideMark/>
          </w:tcPr>
          <w:p w14:paraId="5569619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490.81</w:t>
            </w:r>
          </w:p>
        </w:tc>
        <w:tc>
          <w:tcPr>
            <w:tcW w:w="1081" w:type="dxa"/>
            <w:shd w:val="clear" w:color="auto" w:fill="auto"/>
            <w:noWrap/>
            <w:vAlign w:val="bottom"/>
            <w:hideMark/>
          </w:tcPr>
          <w:p w14:paraId="46D2B24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16033.56</w:t>
            </w:r>
          </w:p>
        </w:tc>
        <w:tc>
          <w:tcPr>
            <w:tcW w:w="1081" w:type="dxa"/>
            <w:shd w:val="clear" w:color="auto" w:fill="auto"/>
            <w:noWrap/>
            <w:vAlign w:val="bottom"/>
            <w:hideMark/>
          </w:tcPr>
          <w:p w14:paraId="1C0D48D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38481.65</w:t>
            </w:r>
          </w:p>
        </w:tc>
        <w:tc>
          <w:tcPr>
            <w:tcW w:w="956" w:type="dxa"/>
            <w:shd w:val="clear" w:color="auto" w:fill="auto"/>
            <w:noWrap/>
            <w:vAlign w:val="bottom"/>
            <w:hideMark/>
          </w:tcPr>
          <w:p w14:paraId="44B1640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214258.03</w:t>
            </w:r>
          </w:p>
        </w:tc>
        <w:tc>
          <w:tcPr>
            <w:tcW w:w="987" w:type="dxa"/>
            <w:shd w:val="clear" w:color="auto" w:fill="auto"/>
            <w:noWrap/>
            <w:vAlign w:val="bottom"/>
            <w:hideMark/>
          </w:tcPr>
          <w:p w14:paraId="6456882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791.51</w:t>
            </w:r>
          </w:p>
        </w:tc>
        <w:tc>
          <w:tcPr>
            <w:tcW w:w="999" w:type="dxa"/>
            <w:shd w:val="clear" w:color="auto" w:fill="auto"/>
            <w:noWrap/>
            <w:vAlign w:val="bottom"/>
            <w:hideMark/>
          </w:tcPr>
          <w:p w14:paraId="66B126F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2247.87</w:t>
            </w:r>
          </w:p>
        </w:tc>
        <w:tc>
          <w:tcPr>
            <w:tcW w:w="999" w:type="dxa"/>
            <w:shd w:val="clear" w:color="auto" w:fill="auto"/>
            <w:noWrap/>
            <w:vAlign w:val="bottom"/>
            <w:hideMark/>
          </w:tcPr>
          <w:p w14:paraId="352FB3E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3505.69</w:t>
            </w:r>
          </w:p>
        </w:tc>
        <w:tc>
          <w:tcPr>
            <w:tcW w:w="872" w:type="dxa"/>
            <w:shd w:val="clear" w:color="auto" w:fill="auto"/>
            <w:noWrap/>
            <w:vAlign w:val="bottom"/>
            <w:hideMark/>
          </w:tcPr>
          <w:p w14:paraId="02169D2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8641.75</w:t>
            </w:r>
          </w:p>
        </w:tc>
        <w:tc>
          <w:tcPr>
            <w:tcW w:w="969" w:type="dxa"/>
            <w:shd w:val="clear" w:color="auto" w:fill="auto"/>
            <w:noWrap/>
            <w:vAlign w:val="bottom"/>
            <w:hideMark/>
          </w:tcPr>
          <w:p w14:paraId="3896FBD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43596710.51</w:t>
            </w:r>
          </w:p>
        </w:tc>
      </w:tr>
      <w:tr w:rsidR="00C1571C" w:rsidRPr="00C1571C" w14:paraId="79958497" w14:textId="77777777" w:rsidTr="00C1571C">
        <w:trPr>
          <w:trHeight w:val="300"/>
        </w:trPr>
        <w:tc>
          <w:tcPr>
            <w:tcW w:w="509" w:type="dxa"/>
            <w:tcBorders>
              <w:right w:val="single" w:sz="4" w:space="0" w:color="auto"/>
            </w:tcBorders>
            <w:shd w:val="clear" w:color="auto" w:fill="auto"/>
            <w:noWrap/>
            <w:vAlign w:val="bottom"/>
            <w:hideMark/>
          </w:tcPr>
          <w:p w14:paraId="7ADBC35D"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1999</w:t>
            </w:r>
          </w:p>
        </w:tc>
        <w:tc>
          <w:tcPr>
            <w:tcW w:w="1014" w:type="dxa"/>
            <w:tcBorders>
              <w:left w:val="single" w:sz="4" w:space="0" w:color="auto"/>
            </w:tcBorders>
            <w:shd w:val="clear" w:color="auto" w:fill="auto"/>
            <w:noWrap/>
            <w:vAlign w:val="bottom"/>
            <w:hideMark/>
          </w:tcPr>
          <w:p w14:paraId="5BE2B5A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583.92</w:t>
            </w:r>
          </w:p>
        </w:tc>
        <w:tc>
          <w:tcPr>
            <w:tcW w:w="1081" w:type="dxa"/>
            <w:shd w:val="clear" w:color="auto" w:fill="auto"/>
            <w:noWrap/>
            <w:vAlign w:val="bottom"/>
            <w:hideMark/>
          </w:tcPr>
          <w:p w14:paraId="2360A77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23029.66</w:t>
            </w:r>
          </w:p>
        </w:tc>
        <w:tc>
          <w:tcPr>
            <w:tcW w:w="1081" w:type="dxa"/>
            <w:shd w:val="clear" w:color="auto" w:fill="auto"/>
            <w:noWrap/>
            <w:vAlign w:val="bottom"/>
            <w:hideMark/>
          </w:tcPr>
          <w:p w14:paraId="4E0505C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25976.24</w:t>
            </w:r>
          </w:p>
        </w:tc>
        <w:tc>
          <w:tcPr>
            <w:tcW w:w="956" w:type="dxa"/>
            <w:shd w:val="clear" w:color="auto" w:fill="auto"/>
            <w:noWrap/>
            <w:vAlign w:val="bottom"/>
            <w:hideMark/>
          </w:tcPr>
          <w:p w14:paraId="31BB67B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229917.62</w:t>
            </w:r>
          </w:p>
        </w:tc>
        <w:tc>
          <w:tcPr>
            <w:tcW w:w="987" w:type="dxa"/>
            <w:shd w:val="clear" w:color="auto" w:fill="auto"/>
            <w:noWrap/>
            <w:vAlign w:val="bottom"/>
            <w:hideMark/>
          </w:tcPr>
          <w:p w14:paraId="7D86380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767.24</w:t>
            </w:r>
          </w:p>
        </w:tc>
        <w:tc>
          <w:tcPr>
            <w:tcW w:w="999" w:type="dxa"/>
            <w:shd w:val="clear" w:color="auto" w:fill="auto"/>
            <w:noWrap/>
            <w:vAlign w:val="bottom"/>
            <w:hideMark/>
          </w:tcPr>
          <w:p w14:paraId="211F99D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2117.42</w:t>
            </w:r>
          </w:p>
        </w:tc>
        <w:tc>
          <w:tcPr>
            <w:tcW w:w="999" w:type="dxa"/>
            <w:shd w:val="clear" w:color="auto" w:fill="auto"/>
            <w:noWrap/>
            <w:vAlign w:val="bottom"/>
            <w:hideMark/>
          </w:tcPr>
          <w:p w14:paraId="545DA35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3804.77</w:t>
            </w:r>
          </w:p>
        </w:tc>
        <w:tc>
          <w:tcPr>
            <w:tcW w:w="872" w:type="dxa"/>
            <w:shd w:val="clear" w:color="auto" w:fill="auto"/>
            <w:noWrap/>
            <w:vAlign w:val="bottom"/>
            <w:hideMark/>
          </w:tcPr>
          <w:p w14:paraId="275069C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9753.58</w:t>
            </w:r>
          </w:p>
        </w:tc>
        <w:tc>
          <w:tcPr>
            <w:tcW w:w="969" w:type="dxa"/>
            <w:shd w:val="clear" w:color="auto" w:fill="auto"/>
            <w:noWrap/>
            <w:vAlign w:val="bottom"/>
            <w:hideMark/>
          </w:tcPr>
          <w:p w14:paraId="52F7702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43585210.93</w:t>
            </w:r>
          </w:p>
        </w:tc>
      </w:tr>
      <w:tr w:rsidR="00C1571C" w:rsidRPr="00C1571C" w14:paraId="44D1B7F6" w14:textId="77777777" w:rsidTr="00C1571C">
        <w:trPr>
          <w:trHeight w:val="300"/>
        </w:trPr>
        <w:tc>
          <w:tcPr>
            <w:tcW w:w="509" w:type="dxa"/>
            <w:tcBorders>
              <w:right w:val="single" w:sz="4" w:space="0" w:color="auto"/>
            </w:tcBorders>
            <w:shd w:val="clear" w:color="auto" w:fill="auto"/>
            <w:noWrap/>
            <w:vAlign w:val="bottom"/>
            <w:hideMark/>
          </w:tcPr>
          <w:p w14:paraId="780C968E"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2000</w:t>
            </w:r>
          </w:p>
        </w:tc>
        <w:tc>
          <w:tcPr>
            <w:tcW w:w="1014" w:type="dxa"/>
            <w:tcBorders>
              <w:left w:val="single" w:sz="4" w:space="0" w:color="auto"/>
            </w:tcBorders>
            <w:shd w:val="clear" w:color="auto" w:fill="auto"/>
            <w:noWrap/>
            <w:vAlign w:val="bottom"/>
            <w:hideMark/>
          </w:tcPr>
          <w:p w14:paraId="15F8AF9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724.39</w:t>
            </w:r>
          </w:p>
        </w:tc>
        <w:tc>
          <w:tcPr>
            <w:tcW w:w="1081" w:type="dxa"/>
            <w:shd w:val="clear" w:color="auto" w:fill="auto"/>
            <w:noWrap/>
            <w:vAlign w:val="bottom"/>
            <w:hideMark/>
          </w:tcPr>
          <w:p w14:paraId="0075CE6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16146.75</w:t>
            </w:r>
          </w:p>
        </w:tc>
        <w:tc>
          <w:tcPr>
            <w:tcW w:w="1081" w:type="dxa"/>
            <w:shd w:val="clear" w:color="auto" w:fill="auto"/>
            <w:noWrap/>
            <w:vAlign w:val="bottom"/>
            <w:hideMark/>
          </w:tcPr>
          <w:p w14:paraId="427C6AB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36536.77</w:t>
            </w:r>
          </w:p>
        </w:tc>
        <w:tc>
          <w:tcPr>
            <w:tcW w:w="956" w:type="dxa"/>
            <w:shd w:val="clear" w:color="auto" w:fill="auto"/>
            <w:noWrap/>
            <w:vAlign w:val="bottom"/>
            <w:hideMark/>
          </w:tcPr>
          <w:p w14:paraId="3A16966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239789.97</w:t>
            </w:r>
          </w:p>
        </w:tc>
        <w:tc>
          <w:tcPr>
            <w:tcW w:w="987" w:type="dxa"/>
            <w:shd w:val="clear" w:color="auto" w:fill="auto"/>
            <w:noWrap/>
            <w:vAlign w:val="bottom"/>
            <w:hideMark/>
          </w:tcPr>
          <w:p w14:paraId="0F95650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707.58</w:t>
            </w:r>
          </w:p>
        </w:tc>
        <w:tc>
          <w:tcPr>
            <w:tcW w:w="999" w:type="dxa"/>
            <w:shd w:val="clear" w:color="auto" w:fill="auto"/>
            <w:noWrap/>
            <w:vAlign w:val="bottom"/>
            <w:hideMark/>
          </w:tcPr>
          <w:p w14:paraId="7152B04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1825.79</w:t>
            </w:r>
          </w:p>
        </w:tc>
        <w:tc>
          <w:tcPr>
            <w:tcW w:w="999" w:type="dxa"/>
            <w:shd w:val="clear" w:color="auto" w:fill="auto"/>
            <w:noWrap/>
            <w:vAlign w:val="bottom"/>
            <w:hideMark/>
          </w:tcPr>
          <w:p w14:paraId="0C41D76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4817.52</w:t>
            </w:r>
          </w:p>
        </w:tc>
        <w:tc>
          <w:tcPr>
            <w:tcW w:w="872" w:type="dxa"/>
            <w:shd w:val="clear" w:color="auto" w:fill="auto"/>
            <w:noWrap/>
            <w:vAlign w:val="bottom"/>
            <w:hideMark/>
          </w:tcPr>
          <w:p w14:paraId="54F27AF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11608.90</w:t>
            </w:r>
          </w:p>
        </w:tc>
        <w:tc>
          <w:tcPr>
            <w:tcW w:w="969" w:type="dxa"/>
            <w:shd w:val="clear" w:color="auto" w:fill="auto"/>
            <w:noWrap/>
            <w:vAlign w:val="bottom"/>
            <w:hideMark/>
          </w:tcPr>
          <w:p w14:paraId="7565288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43569003.72</w:t>
            </w:r>
          </w:p>
        </w:tc>
      </w:tr>
      <w:tr w:rsidR="00C1571C" w:rsidRPr="00C1571C" w14:paraId="29ACEF88" w14:textId="77777777" w:rsidTr="00C1571C">
        <w:trPr>
          <w:trHeight w:val="300"/>
        </w:trPr>
        <w:tc>
          <w:tcPr>
            <w:tcW w:w="509" w:type="dxa"/>
            <w:tcBorders>
              <w:right w:val="single" w:sz="4" w:space="0" w:color="auto"/>
            </w:tcBorders>
            <w:shd w:val="clear" w:color="auto" w:fill="auto"/>
            <w:noWrap/>
            <w:vAlign w:val="bottom"/>
            <w:hideMark/>
          </w:tcPr>
          <w:p w14:paraId="3C8B3341"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2001</w:t>
            </w:r>
          </w:p>
        </w:tc>
        <w:tc>
          <w:tcPr>
            <w:tcW w:w="1014" w:type="dxa"/>
            <w:tcBorders>
              <w:left w:val="single" w:sz="4" w:space="0" w:color="auto"/>
            </w:tcBorders>
            <w:shd w:val="clear" w:color="auto" w:fill="auto"/>
            <w:noWrap/>
            <w:vAlign w:val="bottom"/>
            <w:hideMark/>
          </w:tcPr>
          <w:p w14:paraId="433A2B1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667.21</w:t>
            </w:r>
          </w:p>
        </w:tc>
        <w:tc>
          <w:tcPr>
            <w:tcW w:w="1081" w:type="dxa"/>
            <w:shd w:val="clear" w:color="auto" w:fill="auto"/>
            <w:noWrap/>
            <w:vAlign w:val="bottom"/>
            <w:hideMark/>
          </w:tcPr>
          <w:p w14:paraId="2994E3F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14293.64</w:t>
            </w:r>
          </w:p>
        </w:tc>
        <w:tc>
          <w:tcPr>
            <w:tcW w:w="1081" w:type="dxa"/>
            <w:shd w:val="clear" w:color="auto" w:fill="auto"/>
            <w:noWrap/>
            <w:vAlign w:val="bottom"/>
            <w:hideMark/>
          </w:tcPr>
          <w:p w14:paraId="4FFA017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41930.12</w:t>
            </w:r>
          </w:p>
        </w:tc>
        <w:tc>
          <w:tcPr>
            <w:tcW w:w="956" w:type="dxa"/>
            <w:shd w:val="clear" w:color="auto" w:fill="auto"/>
            <w:noWrap/>
            <w:vAlign w:val="bottom"/>
            <w:hideMark/>
          </w:tcPr>
          <w:p w14:paraId="4517662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262073.47</w:t>
            </w:r>
          </w:p>
        </w:tc>
        <w:tc>
          <w:tcPr>
            <w:tcW w:w="987" w:type="dxa"/>
            <w:shd w:val="clear" w:color="auto" w:fill="auto"/>
            <w:noWrap/>
            <w:vAlign w:val="bottom"/>
            <w:hideMark/>
          </w:tcPr>
          <w:p w14:paraId="2DB604C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1125.23</w:t>
            </w:r>
          </w:p>
        </w:tc>
        <w:tc>
          <w:tcPr>
            <w:tcW w:w="999" w:type="dxa"/>
            <w:shd w:val="clear" w:color="auto" w:fill="auto"/>
            <w:noWrap/>
            <w:vAlign w:val="bottom"/>
            <w:hideMark/>
          </w:tcPr>
          <w:p w14:paraId="3AE1819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2476.95</w:t>
            </w:r>
          </w:p>
        </w:tc>
        <w:tc>
          <w:tcPr>
            <w:tcW w:w="999" w:type="dxa"/>
            <w:shd w:val="clear" w:color="auto" w:fill="auto"/>
            <w:noWrap/>
            <w:vAlign w:val="bottom"/>
            <w:hideMark/>
          </w:tcPr>
          <w:p w14:paraId="78351BA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5379.02</w:t>
            </w:r>
          </w:p>
        </w:tc>
        <w:tc>
          <w:tcPr>
            <w:tcW w:w="872" w:type="dxa"/>
            <w:shd w:val="clear" w:color="auto" w:fill="auto"/>
            <w:noWrap/>
            <w:vAlign w:val="bottom"/>
            <w:hideMark/>
          </w:tcPr>
          <w:p w14:paraId="2873A0E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13548.63</w:t>
            </w:r>
          </w:p>
        </w:tc>
        <w:tc>
          <w:tcPr>
            <w:tcW w:w="969" w:type="dxa"/>
            <w:shd w:val="clear" w:color="auto" w:fill="auto"/>
            <w:noWrap/>
            <w:vAlign w:val="bottom"/>
            <w:hideMark/>
          </w:tcPr>
          <w:p w14:paraId="76F17F4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43539667.11</w:t>
            </w:r>
          </w:p>
        </w:tc>
      </w:tr>
      <w:tr w:rsidR="00C1571C" w:rsidRPr="00C1571C" w14:paraId="0BB8EED5" w14:textId="77777777" w:rsidTr="00C1571C">
        <w:trPr>
          <w:trHeight w:val="300"/>
        </w:trPr>
        <w:tc>
          <w:tcPr>
            <w:tcW w:w="509" w:type="dxa"/>
            <w:tcBorders>
              <w:right w:val="single" w:sz="4" w:space="0" w:color="auto"/>
            </w:tcBorders>
            <w:shd w:val="clear" w:color="auto" w:fill="auto"/>
            <w:noWrap/>
            <w:vAlign w:val="bottom"/>
            <w:hideMark/>
          </w:tcPr>
          <w:p w14:paraId="6A6E1057"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2002</w:t>
            </w:r>
          </w:p>
        </w:tc>
        <w:tc>
          <w:tcPr>
            <w:tcW w:w="1014" w:type="dxa"/>
            <w:tcBorders>
              <w:left w:val="single" w:sz="4" w:space="0" w:color="auto"/>
            </w:tcBorders>
            <w:shd w:val="clear" w:color="auto" w:fill="auto"/>
            <w:noWrap/>
            <w:vAlign w:val="bottom"/>
            <w:hideMark/>
          </w:tcPr>
          <w:p w14:paraId="1B75D4F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706.73</w:t>
            </w:r>
          </w:p>
        </w:tc>
        <w:tc>
          <w:tcPr>
            <w:tcW w:w="1081" w:type="dxa"/>
            <w:shd w:val="clear" w:color="auto" w:fill="auto"/>
            <w:noWrap/>
            <w:vAlign w:val="bottom"/>
            <w:hideMark/>
          </w:tcPr>
          <w:p w14:paraId="1276D44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20700.62</w:t>
            </w:r>
          </w:p>
        </w:tc>
        <w:tc>
          <w:tcPr>
            <w:tcW w:w="1081" w:type="dxa"/>
            <w:shd w:val="clear" w:color="auto" w:fill="auto"/>
            <w:noWrap/>
            <w:vAlign w:val="bottom"/>
            <w:hideMark/>
          </w:tcPr>
          <w:p w14:paraId="73BA808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38361.39</w:t>
            </w:r>
          </w:p>
        </w:tc>
        <w:tc>
          <w:tcPr>
            <w:tcW w:w="956" w:type="dxa"/>
            <w:shd w:val="clear" w:color="auto" w:fill="auto"/>
            <w:noWrap/>
            <w:vAlign w:val="bottom"/>
            <w:hideMark/>
          </w:tcPr>
          <w:p w14:paraId="54E0D77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283721.48</w:t>
            </w:r>
          </w:p>
        </w:tc>
        <w:tc>
          <w:tcPr>
            <w:tcW w:w="987" w:type="dxa"/>
            <w:shd w:val="clear" w:color="auto" w:fill="auto"/>
            <w:noWrap/>
            <w:vAlign w:val="bottom"/>
            <w:hideMark/>
          </w:tcPr>
          <w:p w14:paraId="50B6BAC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2086.51</w:t>
            </w:r>
          </w:p>
        </w:tc>
        <w:tc>
          <w:tcPr>
            <w:tcW w:w="999" w:type="dxa"/>
            <w:shd w:val="clear" w:color="auto" w:fill="auto"/>
            <w:noWrap/>
            <w:vAlign w:val="bottom"/>
            <w:hideMark/>
          </w:tcPr>
          <w:p w14:paraId="0D28809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3944.25</w:t>
            </w:r>
          </w:p>
        </w:tc>
        <w:tc>
          <w:tcPr>
            <w:tcW w:w="999" w:type="dxa"/>
            <w:shd w:val="clear" w:color="auto" w:fill="auto"/>
            <w:noWrap/>
            <w:vAlign w:val="bottom"/>
            <w:hideMark/>
          </w:tcPr>
          <w:p w14:paraId="65DA1D4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5012.19</w:t>
            </w:r>
          </w:p>
        </w:tc>
        <w:tc>
          <w:tcPr>
            <w:tcW w:w="872" w:type="dxa"/>
            <w:shd w:val="clear" w:color="auto" w:fill="auto"/>
            <w:noWrap/>
            <w:vAlign w:val="bottom"/>
            <w:hideMark/>
          </w:tcPr>
          <w:p w14:paraId="7BA3549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13564.10</w:t>
            </w:r>
          </w:p>
        </w:tc>
        <w:tc>
          <w:tcPr>
            <w:tcW w:w="969" w:type="dxa"/>
            <w:shd w:val="clear" w:color="auto" w:fill="auto"/>
            <w:noWrap/>
            <w:vAlign w:val="bottom"/>
            <w:hideMark/>
          </w:tcPr>
          <w:p w14:paraId="43F0E61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43513064.12</w:t>
            </w:r>
          </w:p>
        </w:tc>
      </w:tr>
      <w:tr w:rsidR="00C1571C" w:rsidRPr="00C1571C" w14:paraId="452CC24A" w14:textId="77777777" w:rsidTr="00C1571C">
        <w:trPr>
          <w:trHeight w:val="300"/>
        </w:trPr>
        <w:tc>
          <w:tcPr>
            <w:tcW w:w="509" w:type="dxa"/>
            <w:tcBorders>
              <w:right w:val="single" w:sz="4" w:space="0" w:color="auto"/>
            </w:tcBorders>
            <w:shd w:val="clear" w:color="auto" w:fill="auto"/>
            <w:noWrap/>
            <w:vAlign w:val="bottom"/>
            <w:hideMark/>
          </w:tcPr>
          <w:p w14:paraId="50AF245D"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2003</w:t>
            </w:r>
          </w:p>
        </w:tc>
        <w:tc>
          <w:tcPr>
            <w:tcW w:w="1014" w:type="dxa"/>
            <w:tcBorders>
              <w:left w:val="single" w:sz="4" w:space="0" w:color="auto"/>
            </w:tcBorders>
            <w:shd w:val="clear" w:color="auto" w:fill="auto"/>
            <w:noWrap/>
            <w:vAlign w:val="bottom"/>
            <w:hideMark/>
          </w:tcPr>
          <w:p w14:paraId="6A12EC7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998.33</w:t>
            </w:r>
          </w:p>
        </w:tc>
        <w:tc>
          <w:tcPr>
            <w:tcW w:w="1081" w:type="dxa"/>
            <w:shd w:val="clear" w:color="auto" w:fill="auto"/>
            <w:noWrap/>
            <w:vAlign w:val="bottom"/>
            <w:hideMark/>
          </w:tcPr>
          <w:p w14:paraId="73063B3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20116.82</w:t>
            </w:r>
          </w:p>
        </w:tc>
        <w:tc>
          <w:tcPr>
            <w:tcW w:w="1081" w:type="dxa"/>
            <w:shd w:val="clear" w:color="auto" w:fill="auto"/>
            <w:noWrap/>
            <w:vAlign w:val="bottom"/>
            <w:hideMark/>
          </w:tcPr>
          <w:p w14:paraId="511995D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37228.54</w:t>
            </w:r>
          </w:p>
        </w:tc>
        <w:tc>
          <w:tcPr>
            <w:tcW w:w="956" w:type="dxa"/>
            <w:shd w:val="clear" w:color="auto" w:fill="auto"/>
            <w:noWrap/>
            <w:vAlign w:val="bottom"/>
            <w:hideMark/>
          </w:tcPr>
          <w:p w14:paraId="5D9697F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303054.23</w:t>
            </w:r>
          </w:p>
        </w:tc>
        <w:tc>
          <w:tcPr>
            <w:tcW w:w="987" w:type="dxa"/>
            <w:shd w:val="clear" w:color="auto" w:fill="auto"/>
            <w:noWrap/>
            <w:vAlign w:val="bottom"/>
            <w:hideMark/>
          </w:tcPr>
          <w:p w14:paraId="7550114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2340.02</w:t>
            </w:r>
          </w:p>
        </w:tc>
        <w:tc>
          <w:tcPr>
            <w:tcW w:w="999" w:type="dxa"/>
            <w:shd w:val="clear" w:color="auto" w:fill="auto"/>
            <w:noWrap/>
            <w:vAlign w:val="bottom"/>
            <w:hideMark/>
          </w:tcPr>
          <w:p w14:paraId="1BB2CB8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3822.19</w:t>
            </w:r>
          </w:p>
        </w:tc>
        <w:tc>
          <w:tcPr>
            <w:tcW w:w="999" w:type="dxa"/>
            <w:shd w:val="clear" w:color="auto" w:fill="auto"/>
            <w:noWrap/>
            <w:vAlign w:val="bottom"/>
            <w:hideMark/>
          </w:tcPr>
          <w:p w14:paraId="35359BB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3197.68</w:t>
            </w:r>
          </w:p>
        </w:tc>
        <w:tc>
          <w:tcPr>
            <w:tcW w:w="872" w:type="dxa"/>
            <w:shd w:val="clear" w:color="auto" w:fill="auto"/>
            <w:noWrap/>
            <w:vAlign w:val="bottom"/>
            <w:hideMark/>
          </w:tcPr>
          <w:p w14:paraId="64A4318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13120.81</w:t>
            </w:r>
          </w:p>
        </w:tc>
        <w:tc>
          <w:tcPr>
            <w:tcW w:w="969" w:type="dxa"/>
            <w:shd w:val="clear" w:color="auto" w:fill="auto"/>
            <w:noWrap/>
            <w:vAlign w:val="bottom"/>
            <w:hideMark/>
          </w:tcPr>
          <w:p w14:paraId="0A0D8ED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43497282.78</w:t>
            </w:r>
          </w:p>
        </w:tc>
      </w:tr>
      <w:tr w:rsidR="00C1571C" w:rsidRPr="00C1571C" w14:paraId="20001656" w14:textId="77777777" w:rsidTr="00C1571C">
        <w:trPr>
          <w:trHeight w:val="300"/>
        </w:trPr>
        <w:tc>
          <w:tcPr>
            <w:tcW w:w="509" w:type="dxa"/>
            <w:tcBorders>
              <w:right w:val="single" w:sz="4" w:space="0" w:color="auto"/>
            </w:tcBorders>
            <w:shd w:val="clear" w:color="auto" w:fill="auto"/>
            <w:noWrap/>
            <w:vAlign w:val="bottom"/>
            <w:hideMark/>
          </w:tcPr>
          <w:p w14:paraId="61266CF8"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2004</w:t>
            </w:r>
          </w:p>
        </w:tc>
        <w:tc>
          <w:tcPr>
            <w:tcW w:w="1014" w:type="dxa"/>
            <w:tcBorders>
              <w:left w:val="single" w:sz="4" w:space="0" w:color="auto"/>
            </w:tcBorders>
            <w:shd w:val="clear" w:color="auto" w:fill="auto"/>
            <w:noWrap/>
            <w:vAlign w:val="bottom"/>
            <w:hideMark/>
          </w:tcPr>
          <w:p w14:paraId="1A2F490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765.74</w:t>
            </w:r>
          </w:p>
        </w:tc>
        <w:tc>
          <w:tcPr>
            <w:tcW w:w="1081" w:type="dxa"/>
            <w:shd w:val="clear" w:color="auto" w:fill="auto"/>
            <w:noWrap/>
            <w:vAlign w:val="bottom"/>
            <w:hideMark/>
          </w:tcPr>
          <w:p w14:paraId="231055D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27315.78</w:t>
            </w:r>
          </w:p>
        </w:tc>
        <w:tc>
          <w:tcPr>
            <w:tcW w:w="1081" w:type="dxa"/>
            <w:shd w:val="clear" w:color="auto" w:fill="auto"/>
            <w:noWrap/>
            <w:vAlign w:val="bottom"/>
            <w:hideMark/>
          </w:tcPr>
          <w:p w14:paraId="44BA3F4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38661.69</w:t>
            </w:r>
          </w:p>
        </w:tc>
        <w:tc>
          <w:tcPr>
            <w:tcW w:w="956" w:type="dxa"/>
            <w:shd w:val="clear" w:color="auto" w:fill="auto"/>
            <w:noWrap/>
            <w:vAlign w:val="bottom"/>
            <w:hideMark/>
          </w:tcPr>
          <w:p w14:paraId="381B1BC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314541.26</w:t>
            </w:r>
          </w:p>
        </w:tc>
        <w:tc>
          <w:tcPr>
            <w:tcW w:w="987" w:type="dxa"/>
            <w:shd w:val="clear" w:color="auto" w:fill="auto"/>
            <w:noWrap/>
            <w:vAlign w:val="bottom"/>
            <w:hideMark/>
          </w:tcPr>
          <w:p w14:paraId="0306757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2028.72</w:t>
            </w:r>
          </w:p>
        </w:tc>
        <w:tc>
          <w:tcPr>
            <w:tcW w:w="999" w:type="dxa"/>
            <w:shd w:val="clear" w:color="auto" w:fill="auto"/>
            <w:noWrap/>
            <w:vAlign w:val="bottom"/>
            <w:hideMark/>
          </w:tcPr>
          <w:p w14:paraId="29D548F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3784.74</w:t>
            </w:r>
          </w:p>
        </w:tc>
        <w:tc>
          <w:tcPr>
            <w:tcW w:w="999" w:type="dxa"/>
            <w:shd w:val="clear" w:color="auto" w:fill="auto"/>
            <w:noWrap/>
            <w:vAlign w:val="bottom"/>
            <w:hideMark/>
          </w:tcPr>
          <w:p w14:paraId="765C494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3709.80</w:t>
            </w:r>
          </w:p>
        </w:tc>
        <w:tc>
          <w:tcPr>
            <w:tcW w:w="872" w:type="dxa"/>
            <w:shd w:val="clear" w:color="auto" w:fill="auto"/>
            <w:noWrap/>
            <w:vAlign w:val="bottom"/>
            <w:hideMark/>
          </w:tcPr>
          <w:p w14:paraId="4D73FFB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11503.36</w:t>
            </w:r>
          </w:p>
        </w:tc>
        <w:tc>
          <w:tcPr>
            <w:tcW w:w="969" w:type="dxa"/>
            <w:shd w:val="clear" w:color="auto" w:fill="auto"/>
            <w:noWrap/>
            <w:vAlign w:val="bottom"/>
            <w:hideMark/>
          </w:tcPr>
          <w:p w14:paraId="7625B79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43478850.30</w:t>
            </w:r>
          </w:p>
        </w:tc>
      </w:tr>
      <w:tr w:rsidR="00C1571C" w:rsidRPr="00C1571C" w14:paraId="529CF776" w14:textId="77777777" w:rsidTr="00C1571C">
        <w:trPr>
          <w:trHeight w:val="300"/>
        </w:trPr>
        <w:tc>
          <w:tcPr>
            <w:tcW w:w="509" w:type="dxa"/>
            <w:tcBorders>
              <w:right w:val="single" w:sz="4" w:space="0" w:color="auto"/>
            </w:tcBorders>
            <w:shd w:val="clear" w:color="auto" w:fill="auto"/>
            <w:noWrap/>
            <w:vAlign w:val="bottom"/>
            <w:hideMark/>
          </w:tcPr>
          <w:p w14:paraId="3E65A102"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2005</w:t>
            </w:r>
          </w:p>
        </w:tc>
        <w:tc>
          <w:tcPr>
            <w:tcW w:w="1014" w:type="dxa"/>
            <w:tcBorders>
              <w:left w:val="single" w:sz="4" w:space="0" w:color="auto"/>
            </w:tcBorders>
            <w:shd w:val="clear" w:color="auto" w:fill="auto"/>
            <w:noWrap/>
            <w:vAlign w:val="bottom"/>
            <w:hideMark/>
          </w:tcPr>
          <w:p w14:paraId="5BDE934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317.87</w:t>
            </w:r>
          </w:p>
        </w:tc>
        <w:tc>
          <w:tcPr>
            <w:tcW w:w="1081" w:type="dxa"/>
            <w:shd w:val="clear" w:color="auto" w:fill="auto"/>
            <w:noWrap/>
            <w:vAlign w:val="bottom"/>
            <w:hideMark/>
          </w:tcPr>
          <w:p w14:paraId="04C5FF6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24350.31</w:t>
            </w:r>
          </w:p>
        </w:tc>
        <w:tc>
          <w:tcPr>
            <w:tcW w:w="1081" w:type="dxa"/>
            <w:shd w:val="clear" w:color="auto" w:fill="auto"/>
            <w:noWrap/>
            <w:vAlign w:val="bottom"/>
            <w:hideMark/>
          </w:tcPr>
          <w:p w14:paraId="3AE4447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36893.68</w:t>
            </w:r>
          </w:p>
        </w:tc>
        <w:tc>
          <w:tcPr>
            <w:tcW w:w="956" w:type="dxa"/>
            <w:shd w:val="clear" w:color="auto" w:fill="auto"/>
            <w:noWrap/>
            <w:vAlign w:val="bottom"/>
            <w:hideMark/>
          </w:tcPr>
          <w:p w14:paraId="6222B96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330563.49</w:t>
            </w:r>
          </w:p>
        </w:tc>
        <w:tc>
          <w:tcPr>
            <w:tcW w:w="987" w:type="dxa"/>
            <w:shd w:val="clear" w:color="auto" w:fill="auto"/>
            <w:noWrap/>
            <w:vAlign w:val="bottom"/>
            <w:hideMark/>
          </w:tcPr>
          <w:p w14:paraId="6930A00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2376.81</w:t>
            </w:r>
          </w:p>
        </w:tc>
        <w:tc>
          <w:tcPr>
            <w:tcW w:w="999" w:type="dxa"/>
            <w:shd w:val="clear" w:color="auto" w:fill="auto"/>
            <w:noWrap/>
            <w:vAlign w:val="bottom"/>
            <w:hideMark/>
          </w:tcPr>
          <w:p w14:paraId="0977278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3965.37</w:t>
            </w:r>
          </w:p>
        </w:tc>
        <w:tc>
          <w:tcPr>
            <w:tcW w:w="999" w:type="dxa"/>
            <w:shd w:val="clear" w:color="auto" w:fill="auto"/>
            <w:noWrap/>
            <w:vAlign w:val="bottom"/>
            <w:hideMark/>
          </w:tcPr>
          <w:p w14:paraId="3B34EFE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2580.11</w:t>
            </w:r>
          </w:p>
        </w:tc>
        <w:tc>
          <w:tcPr>
            <w:tcW w:w="872" w:type="dxa"/>
            <w:shd w:val="clear" w:color="auto" w:fill="auto"/>
            <w:noWrap/>
            <w:vAlign w:val="bottom"/>
            <w:hideMark/>
          </w:tcPr>
          <w:p w14:paraId="78E3C2F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9636.72</w:t>
            </w:r>
          </w:p>
        </w:tc>
        <w:tc>
          <w:tcPr>
            <w:tcW w:w="969" w:type="dxa"/>
            <w:shd w:val="clear" w:color="auto" w:fill="auto"/>
            <w:noWrap/>
            <w:vAlign w:val="bottom"/>
            <w:hideMark/>
          </w:tcPr>
          <w:p w14:paraId="54BC307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43470477.04</w:t>
            </w:r>
          </w:p>
        </w:tc>
      </w:tr>
      <w:tr w:rsidR="00C1571C" w:rsidRPr="00C1571C" w14:paraId="46D8C905" w14:textId="77777777" w:rsidTr="00C1571C">
        <w:trPr>
          <w:trHeight w:val="300"/>
        </w:trPr>
        <w:tc>
          <w:tcPr>
            <w:tcW w:w="509" w:type="dxa"/>
            <w:tcBorders>
              <w:right w:val="single" w:sz="4" w:space="0" w:color="auto"/>
            </w:tcBorders>
            <w:shd w:val="clear" w:color="auto" w:fill="auto"/>
            <w:noWrap/>
            <w:vAlign w:val="bottom"/>
            <w:hideMark/>
          </w:tcPr>
          <w:p w14:paraId="6ACE51B7"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2006</w:t>
            </w:r>
          </w:p>
        </w:tc>
        <w:tc>
          <w:tcPr>
            <w:tcW w:w="1014" w:type="dxa"/>
            <w:tcBorders>
              <w:left w:val="single" w:sz="4" w:space="0" w:color="auto"/>
            </w:tcBorders>
            <w:shd w:val="clear" w:color="auto" w:fill="auto"/>
            <w:noWrap/>
            <w:vAlign w:val="bottom"/>
            <w:hideMark/>
          </w:tcPr>
          <w:p w14:paraId="0821D03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373.39</w:t>
            </w:r>
          </w:p>
        </w:tc>
        <w:tc>
          <w:tcPr>
            <w:tcW w:w="1081" w:type="dxa"/>
            <w:shd w:val="clear" w:color="auto" w:fill="auto"/>
            <w:noWrap/>
            <w:vAlign w:val="bottom"/>
            <w:hideMark/>
          </w:tcPr>
          <w:p w14:paraId="143EB09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24705.74</w:t>
            </w:r>
          </w:p>
        </w:tc>
        <w:tc>
          <w:tcPr>
            <w:tcW w:w="1081" w:type="dxa"/>
            <w:shd w:val="clear" w:color="auto" w:fill="auto"/>
            <w:noWrap/>
            <w:vAlign w:val="bottom"/>
            <w:hideMark/>
          </w:tcPr>
          <w:p w14:paraId="440A6BE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44536.05</w:t>
            </w:r>
          </w:p>
        </w:tc>
        <w:tc>
          <w:tcPr>
            <w:tcW w:w="956" w:type="dxa"/>
            <w:shd w:val="clear" w:color="auto" w:fill="auto"/>
            <w:noWrap/>
            <w:vAlign w:val="bottom"/>
            <w:hideMark/>
          </w:tcPr>
          <w:p w14:paraId="5EDB245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344754.85</w:t>
            </w:r>
          </w:p>
        </w:tc>
        <w:tc>
          <w:tcPr>
            <w:tcW w:w="987" w:type="dxa"/>
            <w:shd w:val="clear" w:color="auto" w:fill="auto"/>
            <w:noWrap/>
            <w:vAlign w:val="bottom"/>
            <w:hideMark/>
          </w:tcPr>
          <w:p w14:paraId="180EBF4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1055.22</w:t>
            </w:r>
          </w:p>
        </w:tc>
        <w:tc>
          <w:tcPr>
            <w:tcW w:w="999" w:type="dxa"/>
            <w:shd w:val="clear" w:color="auto" w:fill="auto"/>
            <w:noWrap/>
            <w:vAlign w:val="bottom"/>
            <w:hideMark/>
          </w:tcPr>
          <w:p w14:paraId="08CCE92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2753.65</w:t>
            </w:r>
          </w:p>
        </w:tc>
        <w:tc>
          <w:tcPr>
            <w:tcW w:w="999" w:type="dxa"/>
            <w:shd w:val="clear" w:color="auto" w:fill="auto"/>
            <w:noWrap/>
            <w:vAlign w:val="bottom"/>
            <w:hideMark/>
          </w:tcPr>
          <w:p w14:paraId="381A29C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2478.99</w:t>
            </w:r>
          </w:p>
        </w:tc>
        <w:tc>
          <w:tcPr>
            <w:tcW w:w="872" w:type="dxa"/>
            <w:shd w:val="clear" w:color="auto" w:fill="auto"/>
            <w:noWrap/>
            <w:vAlign w:val="bottom"/>
            <w:hideMark/>
          </w:tcPr>
          <w:p w14:paraId="5EC1AD9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8725.83</w:t>
            </w:r>
          </w:p>
        </w:tc>
        <w:tc>
          <w:tcPr>
            <w:tcW w:w="969" w:type="dxa"/>
            <w:shd w:val="clear" w:color="auto" w:fill="auto"/>
            <w:noWrap/>
            <w:vAlign w:val="bottom"/>
            <w:hideMark/>
          </w:tcPr>
          <w:p w14:paraId="472DE5E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43451777.67</w:t>
            </w:r>
          </w:p>
        </w:tc>
      </w:tr>
      <w:tr w:rsidR="00C1571C" w:rsidRPr="00C1571C" w14:paraId="3782402F" w14:textId="77777777" w:rsidTr="00C1571C">
        <w:trPr>
          <w:trHeight w:val="300"/>
        </w:trPr>
        <w:tc>
          <w:tcPr>
            <w:tcW w:w="509" w:type="dxa"/>
            <w:tcBorders>
              <w:right w:val="single" w:sz="4" w:space="0" w:color="auto"/>
            </w:tcBorders>
            <w:shd w:val="clear" w:color="auto" w:fill="auto"/>
            <w:noWrap/>
            <w:vAlign w:val="bottom"/>
            <w:hideMark/>
          </w:tcPr>
          <w:p w14:paraId="05A4AE52"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2007</w:t>
            </w:r>
          </w:p>
        </w:tc>
        <w:tc>
          <w:tcPr>
            <w:tcW w:w="1014" w:type="dxa"/>
            <w:tcBorders>
              <w:left w:val="single" w:sz="4" w:space="0" w:color="auto"/>
            </w:tcBorders>
            <w:shd w:val="clear" w:color="auto" w:fill="auto"/>
            <w:noWrap/>
            <w:vAlign w:val="bottom"/>
            <w:hideMark/>
          </w:tcPr>
          <w:p w14:paraId="19C029A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287.43</w:t>
            </w:r>
          </w:p>
        </w:tc>
        <w:tc>
          <w:tcPr>
            <w:tcW w:w="1081" w:type="dxa"/>
            <w:shd w:val="clear" w:color="auto" w:fill="auto"/>
            <w:noWrap/>
            <w:vAlign w:val="bottom"/>
            <w:hideMark/>
          </w:tcPr>
          <w:p w14:paraId="7C0B99E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27003.19</w:t>
            </w:r>
          </w:p>
        </w:tc>
        <w:tc>
          <w:tcPr>
            <w:tcW w:w="1081" w:type="dxa"/>
            <w:shd w:val="clear" w:color="auto" w:fill="auto"/>
            <w:noWrap/>
            <w:vAlign w:val="bottom"/>
            <w:hideMark/>
          </w:tcPr>
          <w:p w14:paraId="641D0F4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57464.01</w:t>
            </w:r>
          </w:p>
        </w:tc>
        <w:tc>
          <w:tcPr>
            <w:tcW w:w="956" w:type="dxa"/>
            <w:shd w:val="clear" w:color="auto" w:fill="auto"/>
            <w:noWrap/>
            <w:vAlign w:val="bottom"/>
            <w:hideMark/>
          </w:tcPr>
          <w:p w14:paraId="49DF420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363055.50</w:t>
            </w:r>
          </w:p>
        </w:tc>
        <w:tc>
          <w:tcPr>
            <w:tcW w:w="987" w:type="dxa"/>
            <w:shd w:val="clear" w:color="auto" w:fill="auto"/>
            <w:noWrap/>
            <w:vAlign w:val="bottom"/>
            <w:hideMark/>
          </w:tcPr>
          <w:p w14:paraId="14F5B5D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1063.28</w:t>
            </w:r>
          </w:p>
        </w:tc>
        <w:tc>
          <w:tcPr>
            <w:tcW w:w="999" w:type="dxa"/>
            <w:shd w:val="clear" w:color="auto" w:fill="auto"/>
            <w:noWrap/>
            <w:vAlign w:val="bottom"/>
            <w:hideMark/>
          </w:tcPr>
          <w:p w14:paraId="314E50D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2630.33</w:t>
            </w:r>
          </w:p>
        </w:tc>
        <w:tc>
          <w:tcPr>
            <w:tcW w:w="999" w:type="dxa"/>
            <w:shd w:val="clear" w:color="auto" w:fill="auto"/>
            <w:noWrap/>
            <w:vAlign w:val="bottom"/>
            <w:hideMark/>
          </w:tcPr>
          <w:p w14:paraId="247F865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1942.86</w:t>
            </w:r>
          </w:p>
        </w:tc>
        <w:tc>
          <w:tcPr>
            <w:tcW w:w="872" w:type="dxa"/>
            <w:shd w:val="clear" w:color="auto" w:fill="auto"/>
            <w:noWrap/>
            <w:vAlign w:val="bottom"/>
            <w:hideMark/>
          </w:tcPr>
          <w:p w14:paraId="4B50BF3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7884.60</w:t>
            </w:r>
          </w:p>
        </w:tc>
        <w:tc>
          <w:tcPr>
            <w:tcW w:w="969" w:type="dxa"/>
            <w:shd w:val="clear" w:color="auto" w:fill="auto"/>
            <w:noWrap/>
            <w:vAlign w:val="bottom"/>
            <w:hideMark/>
          </w:tcPr>
          <w:p w14:paraId="73C3BEF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43419830.20</w:t>
            </w:r>
          </w:p>
        </w:tc>
      </w:tr>
      <w:tr w:rsidR="00C1571C" w:rsidRPr="00C1571C" w14:paraId="04A61158" w14:textId="77777777" w:rsidTr="00C1571C">
        <w:trPr>
          <w:trHeight w:val="300"/>
        </w:trPr>
        <w:tc>
          <w:tcPr>
            <w:tcW w:w="509" w:type="dxa"/>
            <w:tcBorders>
              <w:right w:val="single" w:sz="4" w:space="0" w:color="auto"/>
            </w:tcBorders>
            <w:shd w:val="clear" w:color="auto" w:fill="auto"/>
            <w:noWrap/>
            <w:vAlign w:val="bottom"/>
            <w:hideMark/>
          </w:tcPr>
          <w:p w14:paraId="1AE509F1"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2008</w:t>
            </w:r>
          </w:p>
        </w:tc>
        <w:tc>
          <w:tcPr>
            <w:tcW w:w="1014" w:type="dxa"/>
            <w:tcBorders>
              <w:left w:val="single" w:sz="4" w:space="0" w:color="auto"/>
            </w:tcBorders>
            <w:shd w:val="clear" w:color="auto" w:fill="auto"/>
            <w:noWrap/>
            <w:vAlign w:val="bottom"/>
            <w:hideMark/>
          </w:tcPr>
          <w:p w14:paraId="5FBB253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414.81</w:t>
            </w:r>
          </w:p>
        </w:tc>
        <w:tc>
          <w:tcPr>
            <w:tcW w:w="1081" w:type="dxa"/>
            <w:shd w:val="clear" w:color="auto" w:fill="auto"/>
            <w:noWrap/>
            <w:vAlign w:val="bottom"/>
            <w:hideMark/>
          </w:tcPr>
          <w:p w14:paraId="299061F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36438.60</w:t>
            </w:r>
          </w:p>
        </w:tc>
        <w:tc>
          <w:tcPr>
            <w:tcW w:w="1081" w:type="dxa"/>
            <w:shd w:val="clear" w:color="auto" w:fill="auto"/>
            <w:noWrap/>
            <w:vAlign w:val="bottom"/>
            <w:hideMark/>
          </w:tcPr>
          <w:p w14:paraId="230AFB2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36622.64</w:t>
            </w:r>
          </w:p>
        </w:tc>
        <w:tc>
          <w:tcPr>
            <w:tcW w:w="956" w:type="dxa"/>
            <w:shd w:val="clear" w:color="auto" w:fill="auto"/>
            <w:noWrap/>
            <w:vAlign w:val="bottom"/>
            <w:hideMark/>
          </w:tcPr>
          <w:p w14:paraId="7752BAE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384729.37</w:t>
            </w:r>
          </w:p>
        </w:tc>
        <w:tc>
          <w:tcPr>
            <w:tcW w:w="987" w:type="dxa"/>
            <w:shd w:val="clear" w:color="auto" w:fill="auto"/>
            <w:noWrap/>
            <w:vAlign w:val="bottom"/>
            <w:hideMark/>
          </w:tcPr>
          <w:p w14:paraId="3BD8E35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554.46</w:t>
            </w:r>
          </w:p>
        </w:tc>
        <w:tc>
          <w:tcPr>
            <w:tcW w:w="999" w:type="dxa"/>
            <w:shd w:val="clear" w:color="auto" w:fill="auto"/>
            <w:noWrap/>
            <w:vAlign w:val="bottom"/>
            <w:hideMark/>
          </w:tcPr>
          <w:p w14:paraId="0A958BA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2371.60</w:t>
            </w:r>
          </w:p>
        </w:tc>
        <w:tc>
          <w:tcPr>
            <w:tcW w:w="999" w:type="dxa"/>
            <w:shd w:val="clear" w:color="auto" w:fill="auto"/>
            <w:noWrap/>
            <w:vAlign w:val="bottom"/>
            <w:hideMark/>
          </w:tcPr>
          <w:p w14:paraId="261AFE0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1895.08</w:t>
            </w:r>
          </w:p>
        </w:tc>
        <w:tc>
          <w:tcPr>
            <w:tcW w:w="872" w:type="dxa"/>
            <w:shd w:val="clear" w:color="auto" w:fill="auto"/>
            <w:noWrap/>
            <w:vAlign w:val="bottom"/>
            <w:hideMark/>
          </w:tcPr>
          <w:p w14:paraId="7490182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7188.83</w:t>
            </w:r>
          </w:p>
        </w:tc>
        <w:tc>
          <w:tcPr>
            <w:tcW w:w="969" w:type="dxa"/>
            <w:shd w:val="clear" w:color="auto" w:fill="auto"/>
            <w:noWrap/>
            <w:vAlign w:val="bottom"/>
            <w:hideMark/>
          </w:tcPr>
          <w:p w14:paraId="56FB603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43410945.99</w:t>
            </w:r>
          </w:p>
        </w:tc>
      </w:tr>
      <w:tr w:rsidR="00C1571C" w:rsidRPr="00C1571C" w14:paraId="5031A6AD" w14:textId="77777777" w:rsidTr="00C1571C">
        <w:trPr>
          <w:trHeight w:val="300"/>
        </w:trPr>
        <w:tc>
          <w:tcPr>
            <w:tcW w:w="509" w:type="dxa"/>
            <w:tcBorders>
              <w:right w:val="single" w:sz="4" w:space="0" w:color="auto"/>
            </w:tcBorders>
            <w:shd w:val="clear" w:color="auto" w:fill="auto"/>
            <w:noWrap/>
            <w:vAlign w:val="bottom"/>
            <w:hideMark/>
          </w:tcPr>
          <w:p w14:paraId="71F412C4"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2009</w:t>
            </w:r>
          </w:p>
        </w:tc>
        <w:tc>
          <w:tcPr>
            <w:tcW w:w="1014" w:type="dxa"/>
            <w:tcBorders>
              <w:left w:val="single" w:sz="4" w:space="0" w:color="auto"/>
            </w:tcBorders>
            <w:shd w:val="clear" w:color="auto" w:fill="auto"/>
            <w:noWrap/>
            <w:vAlign w:val="bottom"/>
            <w:hideMark/>
          </w:tcPr>
          <w:p w14:paraId="3B80D31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219.09</w:t>
            </w:r>
          </w:p>
        </w:tc>
        <w:tc>
          <w:tcPr>
            <w:tcW w:w="1081" w:type="dxa"/>
            <w:shd w:val="clear" w:color="auto" w:fill="auto"/>
            <w:noWrap/>
            <w:vAlign w:val="bottom"/>
            <w:hideMark/>
          </w:tcPr>
          <w:p w14:paraId="582E731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28229.31</w:t>
            </w:r>
          </w:p>
        </w:tc>
        <w:tc>
          <w:tcPr>
            <w:tcW w:w="1081" w:type="dxa"/>
            <w:shd w:val="clear" w:color="auto" w:fill="auto"/>
            <w:noWrap/>
            <w:vAlign w:val="bottom"/>
            <w:hideMark/>
          </w:tcPr>
          <w:p w14:paraId="090133F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48633.71</w:t>
            </w:r>
          </w:p>
        </w:tc>
        <w:tc>
          <w:tcPr>
            <w:tcW w:w="956" w:type="dxa"/>
            <w:shd w:val="clear" w:color="auto" w:fill="auto"/>
            <w:noWrap/>
            <w:vAlign w:val="bottom"/>
            <w:hideMark/>
          </w:tcPr>
          <w:p w14:paraId="0E34181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393458.08</w:t>
            </w:r>
          </w:p>
        </w:tc>
        <w:tc>
          <w:tcPr>
            <w:tcW w:w="987" w:type="dxa"/>
            <w:shd w:val="clear" w:color="auto" w:fill="auto"/>
            <w:noWrap/>
            <w:vAlign w:val="bottom"/>
            <w:hideMark/>
          </w:tcPr>
          <w:p w14:paraId="7F8D50D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1009.71</w:t>
            </w:r>
          </w:p>
        </w:tc>
        <w:tc>
          <w:tcPr>
            <w:tcW w:w="999" w:type="dxa"/>
            <w:shd w:val="clear" w:color="auto" w:fill="auto"/>
            <w:noWrap/>
            <w:vAlign w:val="bottom"/>
            <w:hideMark/>
          </w:tcPr>
          <w:p w14:paraId="6B635F8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2451.22</w:t>
            </w:r>
          </w:p>
        </w:tc>
        <w:tc>
          <w:tcPr>
            <w:tcW w:w="999" w:type="dxa"/>
            <w:shd w:val="clear" w:color="auto" w:fill="auto"/>
            <w:noWrap/>
            <w:vAlign w:val="bottom"/>
            <w:hideMark/>
          </w:tcPr>
          <w:p w14:paraId="5E54E85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1813.40</w:t>
            </w:r>
          </w:p>
        </w:tc>
        <w:tc>
          <w:tcPr>
            <w:tcW w:w="872" w:type="dxa"/>
            <w:shd w:val="clear" w:color="auto" w:fill="auto"/>
            <w:noWrap/>
            <w:vAlign w:val="bottom"/>
            <w:hideMark/>
          </w:tcPr>
          <w:p w14:paraId="7A62BFF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6037.79</w:t>
            </w:r>
          </w:p>
        </w:tc>
        <w:tc>
          <w:tcPr>
            <w:tcW w:w="969" w:type="dxa"/>
            <w:shd w:val="clear" w:color="auto" w:fill="auto"/>
            <w:noWrap/>
            <w:vAlign w:val="bottom"/>
            <w:hideMark/>
          </w:tcPr>
          <w:p w14:paraId="396AC5C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43399309.08</w:t>
            </w:r>
          </w:p>
        </w:tc>
      </w:tr>
      <w:tr w:rsidR="00C1571C" w:rsidRPr="00C1571C" w14:paraId="512D3A44" w14:textId="77777777" w:rsidTr="00C1571C">
        <w:trPr>
          <w:trHeight w:val="300"/>
        </w:trPr>
        <w:tc>
          <w:tcPr>
            <w:tcW w:w="509" w:type="dxa"/>
            <w:tcBorders>
              <w:right w:val="single" w:sz="4" w:space="0" w:color="auto"/>
            </w:tcBorders>
            <w:shd w:val="clear" w:color="auto" w:fill="auto"/>
            <w:noWrap/>
            <w:vAlign w:val="bottom"/>
            <w:hideMark/>
          </w:tcPr>
          <w:p w14:paraId="1BD416B6"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2010</w:t>
            </w:r>
          </w:p>
        </w:tc>
        <w:tc>
          <w:tcPr>
            <w:tcW w:w="1014" w:type="dxa"/>
            <w:tcBorders>
              <w:left w:val="single" w:sz="4" w:space="0" w:color="auto"/>
            </w:tcBorders>
            <w:shd w:val="clear" w:color="auto" w:fill="auto"/>
            <w:noWrap/>
            <w:vAlign w:val="bottom"/>
            <w:hideMark/>
          </w:tcPr>
          <w:p w14:paraId="3278121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209.68</w:t>
            </w:r>
          </w:p>
        </w:tc>
        <w:tc>
          <w:tcPr>
            <w:tcW w:w="1081" w:type="dxa"/>
            <w:shd w:val="clear" w:color="auto" w:fill="auto"/>
            <w:noWrap/>
            <w:vAlign w:val="bottom"/>
            <w:hideMark/>
          </w:tcPr>
          <w:p w14:paraId="435BE61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23560.04</w:t>
            </w:r>
          </w:p>
        </w:tc>
        <w:tc>
          <w:tcPr>
            <w:tcW w:w="1081" w:type="dxa"/>
            <w:shd w:val="clear" w:color="auto" w:fill="auto"/>
            <w:noWrap/>
            <w:vAlign w:val="bottom"/>
            <w:hideMark/>
          </w:tcPr>
          <w:p w14:paraId="3797988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69808.32</w:t>
            </w:r>
          </w:p>
        </w:tc>
        <w:tc>
          <w:tcPr>
            <w:tcW w:w="956" w:type="dxa"/>
            <w:shd w:val="clear" w:color="auto" w:fill="auto"/>
            <w:noWrap/>
            <w:vAlign w:val="bottom"/>
            <w:hideMark/>
          </w:tcPr>
          <w:p w14:paraId="4DC2B95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419331.78</w:t>
            </w:r>
          </w:p>
        </w:tc>
        <w:tc>
          <w:tcPr>
            <w:tcW w:w="987" w:type="dxa"/>
            <w:shd w:val="clear" w:color="auto" w:fill="auto"/>
            <w:noWrap/>
            <w:vAlign w:val="bottom"/>
            <w:hideMark/>
          </w:tcPr>
          <w:p w14:paraId="424D6A6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721.97</w:t>
            </w:r>
          </w:p>
        </w:tc>
        <w:tc>
          <w:tcPr>
            <w:tcW w:w="999" w:type="dxa"/>
            <w:shd w:val="clear" w:color="auto" w:fill="auto"/>
            <w:noWrap/>
            <w:vAlign w:val="bottom"/>
            <w:hideMark/>
          </w:tcPr>
          <w:p w14:paraId="2EF8519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1878.58</w:t>
            </w:r>
          </w:p>
        </w:tc>
        <w:tc>
          <w:tcPr>
            <w:tcW w:w="999" w:type="dxa"/>
            <w:shd w:val="clear" w:color="auto" w:fill="auto"/>
            <w:noWrap/>
            <w:vAlign w:val="bottom"/>
            <w:hideMark/>
          </w:tcPr>
          <w:p w14:paraId="075F6CC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1958.48</w:t>
            </w:r>
          </w:p>
        </w:tc>
        <w:tc>
          <w:tcPr>
            <w:tcW w:w="872" w:type="dxa"/>
            <w:shd w:val="clear" w:color="auto" w:fill="auto"/>
            <w:noWrap/>
            <w:vAlign w:val="bottom"/>
            <w:hideMark/>
          </w:tcPr>
          <w:p w14:paraId="72DC83A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5469.73</w:t>
            </w:r>
          </w:p>
        </w:tc>
        <w:tc>
          <w:tcPr>
            <w:tcW w:w="969" w:type="dxa"/>
            <w:shd w:val="clear" w:color="auto" w:fill="auto"/>
            <w:noWrap/>
            <w:vAlign w:val="bottom"/>
            <w:hideMark/>
          </w:tcPr>
          <w:p w14:paraId="10B37F7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43358222.81</w:t>
            </w:r>
          </w:p>
        </w:tc>
      </w:tr>
      <w:tr w:rsidR="00C1571C" w:rsidRPr="00C1571C" w14:paraId="0F94592B" w14:textId="77777777" w:rsidTr="00C1571C">
        <w:trPr>
          <w:trHeight w:val="300"/>
        </w:trPr>
        <w:tc>
          <w:tcPr>
            <w:tcW w:w="509" w:type="dxa"/>
            <w:tcBorders>
              <w:right w:val="single" w:sz="4" w:space="0" w:color="auto"/>
            </w:tcBorders>
            <w:shd w:val="clear" w:color="auto" w:fill="auto"/>
            <w:noWrap/>
            <w:vAlign w:val="bottom"/>
            <w:hideMark/>
          </w:tcPr>
          <w:p w14:paraId="4F211439"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2011</w:t>
            </w:r>
          </w:p>
        </w:tc>
        <w:tc>
          <w:tcPr>
            <w:tcW w:w="1014" w:type="dxa"/>
            <w:tcBorders>
              <w:left w:val="single" w:sz="4" w:space="0" w:color="auto"/>
            </w:tcBorders>
            <w:shd w:val="clear" w:color="auto" w:fill="auto"/>
            <w:noWrap/>
            <w:vAlign w:val="bottom"/>
            <w:hideMark/>
          </w:tcPr>
          <w:p w14:paraId="4311C08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348.05</w:t>
            </w:r>
          </w:p>
        </w:tc>
        <w:tc>
          <w:tcPr>
            <w:tcW w:w="1081" w:type="dxa"/>
            <w:shd w:val="clear" w:color="auto" w:fill="auto"/>
            <w:noWrap/>
            <w:vAlign w:val="bottom"/>
            <w:hideMark/>
          </w:tcPr>
          <w:p w14:paraId="1B13AB2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39714.75</w:t>
            </w:r>
          </w:p>
        </w:tc>
        <w:tc>
          <w:tcPr>
            <w:tcW w:w="1081" w:type="dxa"/>
            <w:shd w:val="clear" w:color="auto" w:fill="auto"/>
            <w:noWrap/>
            <w:vAlign w:val="bottom"/>
            <w:hideMark/>
          </w:tcPr>
          <w:p w14:paraId="5C999BC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58454.98</w:t>
            </w:r>
          </w:p>
        </w:tc>
        <w:tc>
          <w:tcPr>
            <w:tcW w:w="956" w:type="dxa"/>
            <w:shd w:val="clear" w:color="auto" w:fill="auto"/>
            <w:noWrap/>
            <w:vAlign w:val="bottom"/>
            <w:hideMark/>
          </w:tcPr>
          <w:p w14:paraId="0BFB273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449799.26</w:t>
            </w:r>
          </w:p>
        </w:tc>
        <w:tc>
          <w:tcPr>
            <w:tcW w:w="987" w:type="dxa"/>
            <w:shd w:val="clear" w:color="auto" w:fill="auto"/>
            <w:noWrap/>
            <w:vAlign w:val="bottom"/>
            <w:hideMark/>
          </w:tcPr>
          <w:p w14:paraId="3D1C731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724.97</w:t>
            </w:r>
          </w:p>
        </w:tc>
        <w:tc>
          <w:tcPr>
            <w:tcW w:w="999" w:type="dxa"/>
            <w:shd w:val="clear" w:color="auto" w:fill="auto"/>
            <w:noWrap/>
            <w:vAlign w:val="bottom"/>
            <w:hideMark/>
          </w:tcPr>
          <w:p w14:paraId="077770A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2145.15</w:t>
            </w:r>
          </w:p>
        </w:tc>
        <w:tc>
          <w:tcPr>
            <w:tcW w:w="999" w:type="dxa"/>
            <w:shd w:val="clear" w:color="auto" w:fill="auto"/>
            <w:noWrap/>
            <w:vAlign w:val="bottom"/>
            <w:hideMark/>
          </w:tcPr>
          <w:p w14:paraId="0C2A6F5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1751.15</w:t>
            </w:r>
          </w:p>
        </w:tc>
        <w:tc>
          <w:tcPr>
            <w:tcW w:w="872" w:type="dxa"/>
            <w:shd w:val="clear" w:color="auto" w:fill="auto"/>
            <w:noWrap/>
            <w:vAlign w:val="bottom"/>
            <w:hideMark/>
          </w:tcPr>
          <w:p w14:paraId="52FE5C4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4767.78</w:t>
            </w:r>
          </w:p>
        </w:tc>
        <w:tc>
          <w:tcPr>
            <w:tcW w:w="969" w:type="dxa"/>
            <w:shd w:val="clear" w:color="auto" w:fill="auto"/>
            <w:noWrap/>
            <w:vAlign w:val="bottom"/>
            <w:hideMark/>
          </w:tcPr>
          <w:p w14:paraId="032723C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43323455.30</w:t>
            </w:r>
          </w:p>
        </w:tc>
      </w:tr>
      <w:tr w:rsidR="00C1571C" w:rsidRPr="00C1571C" w14:paraId="5F2023AD" w14:textId="77777777" w:rsidTr="00C1571C">
        <w:trPr>
          <w:trHeight w:val="300"/>
        </w:trPr>
        <w:tc>
          <w:tcPr>
            <w:tcW w:w="509" w:type="dxa"/>
            <w:tcBorders>
              <w:right w:val="single" w:sz="4" w:space="0" w:color="auto"/>
            </w:tcBorders>
            <w:shd w:val="clear" w:color="auto" w:fill="auto"/>
            <w:noWrap/>
            <w:vAlign w:val="bottom"/>
            <w:hideMark/>
          </w:tcPr>
          <w:p w14:paraId="492D923A"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2012</w:t>
            </w:r>
          </w:p>
        </w:tc>
        <w:tc>
          <w:tcPr>
            <w:tcW w:w="1014" w:type="dxa"/>
            <w:tcBorders>
              <w:left w:val="single" w:sz="4" w:space="0" w:color="auto"/>
            </w:tcBorders>
            <w:shd w:val="clear" w:color="auto" w:fill="auto"/>
            <w:noWrap/>
            <w:vAlign w:val="bottom"/>
            <w:hideMark/>
          </w:tcPr>
          <w:p w14:paraId="744F901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639.25</w:t>
            </w:r>
          </w:p>
        </w:tc>
        <w:tc>
          <w:tcPr>
            <w:tcW w:w="1081" w:type="dxa"/>
            <w:shd w:val="clear" w:color="auto" w:fill="auto"/>
            <w:noWrap/>
            <w:vAlign w:val="bottom"/>
            <w:hideMark/>
          </w:tcPr>
          <w:p w14:paraId="2B58889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38706.05</w:t>
            </w:r>
          </w:p>
        </w:tc>
        <w:tc>
          <w:tcPr>
            <w:tcW w:w="1081" w:type="dxa"/>
            <w:shd w:val="clear" w:color="auto" w:fill="auto"/>
            <w:noWrap/>
            <w:vAlign w:val="bottom"/>
            <w:hideMark/>
          </w:tcPr>
          <w:p w14:paraId="7E7D03F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61060.16</w:t>
            </w:r>
          </w:p>
        </w:tc>
        <w:tc>
          <w:tcPr>
            <w:tcW w:w="956" w:type="dxa"/>
            <w:shd w:val="clear" w:color="auto" w:fill="auto"/>
            <w:noWrap/>
            <w:vAlign w:val="bottom"/>
            <w:hideMark/>
          </w:tcPr>
          <w:p w14:paraId="1D0DDEE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469633.90</w:t>
            </w:r>
          </w:p>
        </w:tc>
        <w:tc>
          <w:tcPr>
            <w:tcW w:w="987" w:type="dxa"/>
            <w:shd w:val="clear" w:color="auto" w:fill="auto"/>
            <w:noWrap/>
            <w:vAlign w:val="bottom"/>
            <w:hideMark/>
          </w:tcPr>
          <w:p w14:paraId="382D9C3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419.13</w:t>
            </w:r>
          </w:p>
        </w:tc>
        <w:tc>
          <w:tcPr>
            <w:tcW w:w="999" w:type="dxa"/>
            <w:shd w:val="clear" w:color="auto" w:fill="auto"/>
            <w:noWrap/>
            <w:vAlign w:val="bottom"/>
            <w:hideMark/>
          </w:tcPr>
          <w:p w14:paraId="48CF92D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1536.79</w:t>
            </w:r>
          </w:p>
        </w:tc>
        <w:tc>
          <w:tcPr>
            <w:tcW w:w="999" w:type="dxa"/>
            <w:shd w:val="clear" w:color="auto" w:fill="auto"/>
            <w:noWrap/>
            <w:vAlign w:val="bottom"/>
            <w:hideMark/>
          </w:tcPr>
          <w:p w14:paraId="5E415BA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2265.29</w:t>
            </w:r>
          </w:p>
        </w:tc>
        <w:tc>
          <w:tcPr>
            <w:tcW w:w="872" w:type="dxa"/>
            <w:shd w:val="clear" w:color="auto" w:fill="auto"/>
            <w:noWrap/>
            <w:vAlign w:val="bottom"/>
            <w:hideMark/>
          </w:tcPr>
          <w:p w14:paraId="0C6536A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4911.06</w:t>
            </w:r>
          </w:p>
        </w:tc>
        <w:tc>
          <w:tcPr>
            <w:tcW w:w="969" w:type="dxa"/>
            <w:shd w:val="clear" w:color="auto" w:fill="auto"/>
            <w:noWrap/>
            <w:vAlign w:val="bottom"/>
            <w:hideMark/>
          </w:tcPr>
          <w:p w14:paraId="21EEBEF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43301989.74</w:t>
            </w:r>
          </w:p>
        </w:tc>
      </w:tr>
      <w:tr w:rsidR="00C1571C" w:rsidRPr="00C1571C" w14:paraId="082C0022" w14:textId="77777777" w:rsidTr="00C1571C">
        <w:trPr>
          <w:trHeight w:val="300"/>
        </w:trPr>
        <w:tc>
          <w:tcPr>
            <w:tcW w:w="509" w:type="dxa"/>
            <w:tcBorders>
              <w:right w:val="single" w:sz="4" w:space="0" w:color="auto"/>
            </w:tcBorders>
            <w:shd w:val="clear" w:color="auto" w:fill="auto"/>
            <w:noWrap/>
            <w:vAlign w:val="bottom"/>
            <w:hideMark/>
          </w:tcPr>
          <w:p w14:paraId="6F0594E9"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2013</w:t>
            </w:r>
          </w:p>
        </w:tc>
        <w:tc>
          <w:tcPr>
            <w:tcW w:w="1014" w:type="dxa"/>
            <w:tcBorders>
              <w:left w:val="single" w:sz="4" w:space="0" w:color="auto"/>
            </w:tcBorders>
            <w:shd w:val="clear" w:color="auto" w:fill="auto"/>
            <w:noWrap/>
            <w:vAlign w:val="bottom"/>
            <w:hideMark/>
          </w:tcPr>
          <w:p w14:paraId="442EB28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1035.28</w:t>
            </w:r>
          </w:p>
        </w:tc>
        <w:tc>
          <w:tcPr>
            <w:tcW w:w="1081" w:type="dxa"/>
            <w:shd w:val="clear" w:color="auto" w:fill="auto"/>
            <w:noWrap/>
            <w:vAlign w:val="bottom"/>
            <w:hideMark/>
          </w:tcPr>
          <w:p w14:paraId="4E83662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36747.70</w:t>
            </w:r>
          </w:p>
        </w:tc>
        <w:tc>
          <w:tcPr>
            <w:tcW w:w="1081" w:type="dxa"/>
            <w:shd w:val="clear" w:color="auto" w:fill="auto"/>
            <w:noWrap/>
            <w:vAlign w:val="bottom"/>
            <w:hideMark/>
          </w:tcPr>
          <w:p w14:paraId="21F34EE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62639.44</w:t>
            </w:r>
          </w:p>
        </w:tc>
        <w:tc>
          <w:tcPr>
            <w:tcW w:w="956" w:type="dxa"/>
            <w:shd w:val="clear" w:color="auto" w:fill="auto"/>
            <w:noWrap/>
            <w:vAlign w:val="bottom"/>
            <w:hideMark/>
          </w:tcPr>
          <w:p w14:paraId="0E2687C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493330.21</w:t>
            </w:r>
          </w:p>
        </w:tc>
        <w:tc>
          <w:tcPr>
            <w:tcW w:w="987" w:type="dxa"/>
            <w:shd w:val="clear" w:color="auto" w:fill="auto"/>
            <w:noWrap/>
            <w:vAlign w:val="bottom"/>
            <w:hideMark/>
          </w:tcPr>
          <w:p w14:paraId="773395F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411.78</w:t>
            </w:r>
          </w:p>
        </w:tc>
        <w:tc>
          <w:tcPr>
            <w:tcW w:w="999" w:type="dxa"/>
            <w:shd w:val="clear" w:color="auto" w:fill="auto"/>
            <w:noWrap/>
            <w:vAlign w:val="bottom"/>
            <w:hideMark/>
          </w:tcPr>
          <w:p w14:paraId="110BFE5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1365.75</w:t>
            </w:r>
          </w:p>
        </w:tc>
        <w:tc>
          <w:tcPr>
            <w:tcW w:w="999" w:type="dxa"/>
            <w:shd w:val="clear" w:color="auto" w:fill="auto"/>
            <w:noWrap/>
            <w:vAlign w:val="bottom"/>
            <w:hideMark/>
          </w:tcPr>
          <w:p w14:paraId="1428331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3968.88</w:t>
            </w:r>
          </w:p>
        </w:tc>
        <w:tc>
          <w:tcPr>
            <w:tcW w:w="872" w:type="dxa"/>
            <w:shd w:val="clear" w:color="auto" w:fill="auto"/>
            <w:noWrap/>
            <w:vAlign w:val="bottom"/>
            <w:hideMark/>
          </w:tcPr>
          <w:p w14:paraId="653C754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6038.08</w:t>
            </w:r>
          </w:p>
        </w:tc>
        <w:tc>
          <w:tcPr>
            <w:tcW w:w="969" w:type="dxa"/>
            <w:shd w:val="clear" w:color="auto" w:fill="auto"/>
            <w:noWrap/>
            <w:vAlign w:val="bottom"/>
            <w:hideMark/>
          </w:tcPr>
          <w:p w14:paraId="5B6D38E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43275624.26</w:t>
            </w:r>
          </w:p>
        </w:tc>
      </w:tr>
      <w:tr w:rsidR="00C1571C" w:rsidRPr="00C1571C" w14:paraId="0E0BDB2A" w14:textId="77777777" w:rsidTr="00C1571C">
        <w:trPr>
          <w:trHeight w:val="300"/>
        </w:trPr>
        <w:tc>
          <w:tcPr>
            <w:tcW w:w="509" w:type="dxa"/>
            <w:tcBorders>
              <w:right w:val="single" w:sz="4" w:space="0" w:color="auto"/>
            </w:tcBorders>
            <w:shd w:val="clear" w:color="auto" w:fill="auto"/>
            <w:noWrap/>
            <w:vAlign w:val="bottom"/>
            <w:hideMark/>
          </w:tcPr>
          <w:p w14:paraId="1B0DDD83"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2014</w:t>
            </w:r>
          </w:p>
        </w:tc>
        <w:tc>
          <w:tcPr>
            <w:tcW w:w="1014" w:type="dxa"/>
            <w:tcBorders>
              <w:left w:val="single" w:sz="4" w:space="0" w:color="auto"/>
            </w:tcBorders>
            <w:shd w:val="clear" w:color="auto" w:fill="auto"/>
            <w:noWrap/>
            <w:vAlign w:val="bottom"/>
            <w:hideMark/>
          </w:tcPr>
          <w:p w14:paraId="7DF7B72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878.28</w:t>
            </w:r>
          </w:p>
        </w:tc>
        <w:tc>
          <w:tcPr>
            <w:tcW w:w="1081" w:type="dxa"/>
            <w:shd w:val="clear" w:color="auto" w:fill="auto"/>
            <w:noWrap/>
            <w:vAlign w:val="bottom"/>
            <w:hideMark/>
          </w:tcPr>
          <w:p w14:paraId="233AB88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32327.63</w:t>
            </w:r>
          </w:p>
        </w:tc>
        <w:tc>
          <w:tcPr>
            <w:tcW w:w="1081" w:type="dxa"/>
            <w:shd w:val="clear" w:color="auto" w:fill="auto"/>
            <w:noWrap/>
            <w:vAlign w:val="bottom"/>
            <w:hideMark/>
          </w:tcPr>
          <w:p w14:paraId="1EC5C6A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69769.95</w:t>
            </w:r>
          </w:p>
        </w:tc>
        <w:tc>
          <w:tcPr>
            <w:tcW w:w="956" w:type="dxa"/>
            <w:shd w:val="clear" w:color="auto" w:fill="auto"/>
            <w:noWrap/>
            <w:vAlign w:val="bottom"/>
            <w:hideMark/>
          </w:tcPr>
          <w:p w14:paraId="24636DB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523175.52</w:t>
            </w:r>
          </w:p>
        </w:tc>
        <w:tc>
          <w:tcPr>
            <w:tcW w:w="987" w:type="dxa"/>
            <w:shd w:val="clear" w:color="auto" w:fill="auto"/>
            <w:noWrap/>
            <w:vAlign w:val="bottom"/>
            <w:hideMark/>
          </w:tcPr>
          <w:p w14:paraId="1575701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643.20</w:t>
            </w:r>
          </w:p>
        </w:tc>
        <w:tc>
          <w:tcPr>
            <w:tcW w:w="999" w:type="dxa"/>
            <w:shd w:val="clear" w:color="auto" w:fill="auto"/>
            <w:noWrap/>
            <w:vAlign w:val="bottom"/>
            <w:hideMark/>
          </w:tcPr>
          <w:p w14:paraId="5559A49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1507.79</w:t>
            </w:r>
          </w:p>
        </w:tc>
        <w:tc>
          <w:tcPr>
            <w:tcW w:w="999" w:type="dxa"/>
            <w:shd w:val="clear" w:color="auto" w:fill="auto"/>
            <w:noWrap/>
            <w:vAlign w:val="bottom"/>
            <w:hideMark/>
          </w:tcPr>
          <w:p w14:paraId="6B0C930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5258.10</w:t>
            </w:r>
          </w:p>
        </w:tc>
        <w:tc>
          <w:tcPr>
            <w:tcW w:w="872" w:type="dxa"/>
            <w:shd w:val="clear" w:color="auto" w:fill="auto"/>
            <w:noWrap/>
            <w:vAlign w:val="bottom"/>
            <w:hideMark/>
          </w:tcPr>
          <w:p w14:paraId="5C70EFF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8891.25</w:t>
            </w:r>
          </w:p>
        </w:tc>
        <w:tc>
          <w:tcPr>
            <w:tcW w:w="969" w:type="dxa"/>
            <w:shd w:val="clear" w:color="auto" w:fill="auto"/>
            <w:noWrap/>
            <w:vAlign w:val="bottom"/>
            <w:hideMark/>
          </w:tcPr>
          <w:p w14:paraId="73B1FB8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43238709.67</w:t>
            </w:r>
          </w:p>
        </w:tc>
      </w:tr>
      <w:tr w:rsidR="00C1571C" w:rsidRPr="00C1571C" w14:paraId="19AC871D" w14:textId="77777777" w:rsidTr="00C1571C">
        <w:trPr>
          <w:trHeight w:val="300"/>
        </w:trPr>
        <w:tc>
          <w:tcPr>
            <w:tcW w:w="509" w:type="dxa"/>
            <w:tcBorders>
              <w:right w:val="single" w:sz="4" w:space="0" w:color="auto"/>
            </w:tcBorders>
            <w:shd w:val="clear" w:color="auto" w:fill="auto"/>
            <w:noWrap/>
            <w:vAlign w:val="bottom"/>
            <w:hideMark/>
          </w:tcPr>
          <w:p w14:paraId="77E3A1D0"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2015</w:t>
            </w:r>
          </w:p>
        </w:tc>
        <w:tc>
          <w:tcPr>
            <w:tcW w:w="1014" w:type="dxa"/>
            <w:tcBorders>
              <w:left w:val="single" w:sz="4" w:space="0" w:color="auto"/>
            </w:tcBorders>
            <w:shd w:val="clear" w:color="auto" w:fill="auto"/>
            <w:noWrap/>
            <w:vAlign w:val="bottom"/>
            <w:hideMark/>
          </w:tcPr>
          <w:p w14:paraId="72C3944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1019.25</w:t>
            </w:r>
          </w:p>
        </w:tc>
        <w:tc>
          <w:tcPr>
            <w:tcW w:w="1081" w:type="dxa"/>
            <w:shd w:val="clear" w:color="auto" w:fill="auto"/>
            <w:noWrap/>
            <w:vAlign w:val="bottom"/>
            <w:hideMark/>
          </w:tcPr>
          <w:p w14:paraId="541D7C5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35025.53</w:t>
            </w:r>
          </w:p>
        </w:tc>
        <w:tc>
          <w:tcPr>
            <w:tcW w:w="1081" w:type="dxa"/>
            <w:shd w:val="clear" w:color="auto" w:fill="auto"/>
            <w:noWrap/>
            <w:vAlign w:val="bottom"/>
            <w:hideMark/>
          </w:tcPr>
          <w:p w14:paraId="0A37966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60684.18</w:t>
            </w:r>
          </w:p>
        </w:tc>
        <w:tc>
          <w:tcPr>
            <w:tcW w:w="956" w:type="dxa"/>
            <w:shd w:val="clear" w:color="auto" w:fill="auto"/>
            <w:noWrap/>
            <w:vAlign w:val="bottom"/>
            <w:hideMark/>
          </w:tcPr>
          <w:p w14:paraId="1192D3B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557543.90</w:t>
            </w:r>
          </w:p>
        </w:tc>
        <w:tc>
          <w:tcPr>
            <w:tcW w:w="987" w:type="dxa"/>
            <w:shd w:val="clear" w:color="auto" w:fill="auto"/>
            <w:noWrap/>
            <w:vAlign w:val="bottom"/>
            <w:hideMark/>
          </w:tcPr>
          <w:p w14:paraId="48D1514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891.39</w:t>
            </w:r>
          </w:p>
        </w:tc>
        <w:tc>
          <w:tcPr>
            <w:tcW w:w="999" w:type="dxa"/>
            <w:shd w:val="clear" w:color="auto" w:fill="auto"/>
            <w:noWrap/>
            <w:vAlign w:val="bottom"/>
            <w:hideMark/>
          </w:tcPr>
          <w:p w14:paraId="2127C7F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2222.37</w:t>
            </w:r>
          </w:p>
        </w:tc>
        <w:tc>
          <w:tcPr>
            <w:tcW w:w="999" w:type="dxa"/>
            <w:shd w:val="clear" w:color="auto" w:fill="auto"/>
            <w:noWrap/>
            <w:vAlign w:val="bottom"/>
            <w:hideMark/>
          </w:tcPr>
          <w:p w14:paraId="0E2E366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5146.32</w:t>
            </w:r>
          </w:p>
        </w:tc>
        <w:tc>
          <w:tcPr>
            <w:tcW w:w="872" w:type="dxa"/>
            <w:shd w:val="clear" w:color="auto" w:fill="auto"/>
            <w:noWrap/>
            <w:vAlign w:val="bottom"/>
            <w:hideMark/>
          </w:tcPr>
          <w:p w14:paraId="1DE9DCB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11913.87</w:t>
            </w:r>
          </w:p>
        </w:tc>
        <w:tc>
          <w:tcPr>
            <w:tcW w:w="969" w:type="dxa"/>
            <w:shd w:val="clear" w:color="auto" w:fill="auto"/>
            <w:noWrap/>
            <w:vAlign w:val="bottom"/>
            <w:hideMark/>
          </w:tcPr>
          <w:p w14:paraId="2FC452E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43206714.59</w:t>
            </w:r>
          </w:p>
        </w:tc>
      </w:tr>
      <w:tr w:rsidR="00C1571C" w:rsidRPr="00C1571C" w14:paraId="22399914" w14:textId="77777777" w:rsidTr="00C1571C">
        <w:trPr>
          <w:trHeight w:val="300"/>
        </w:trPr>
        <w:tc>
          <w:tcPr>
            <w:tcW w:w="509" w:type="dxa"/>
            <w:tcBorders>
              <w:right w:val="single" w:sz="4" w:space="0" w:color="auto"/>
            </w:tcBorders>
            <w:shd w:val="clear" w:color="auto" w:fill="auto"/>
            <w:noWrap/>
            <w:vAlign w:val="bottom"/>
            <w:hideMark/>
          </w:tcPr>
          <w:p w14:paraId="0AC8234D"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2016</w:t>
            </w:r>
          </w:p>
        </w:tc>
        <w:tc>
          <w:tcPr>
            <w:tcW w:w="1014" w:type="dxa"/>
            <w:tcBorders>
              <w:left w:val="single" w:sz="4" w:space="0" w:color="auto"/>
            </w:tcBorders>
            <w:shd w:val="clear" w:color="auto" w:fill="auto"/>
            <w:noWrap/>
            <w:vAlign w:val="bottom"/>
            <w:hideMark/>
          </w:tcPr>
          <w:p w14:paraId="3AFF0A8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771.61</w:t>
            </w:r>
          </w:p>
        </w:tc>
        <w:tc>
          <w:tcPr>
            <w:tcW w:w="1081" w:type="dxa"/>
            <w:shd w:val="clear" w:color="auto" w:fill="auto"/>
            <w:noWrap/>
            <w:vAlign w:val="bottom"/>
            <w:hideMark/>
          </w:tcPr>
          <w:p w14:paraId="6544AB4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28756.31</w:t>
            </w:r>
          </w:p>
        </w:tc>
        <w:tc>
          <w:tcPr>
            <w:tcW w:w="1081" w:type="dxa"/>
            <w:shd w:val="clear" w:color="auto" w:fill="auto"/>
            <w:noWrap/>
            <w:vAlign w:val="bottom"/>
            <w:hideMark/>
          </w:tcPr>
          <w:p w14:paraId="166C67E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72999.77</w:t>
            </w:r>
          </w:p>
        </w:tc>
        <w:tc>
          <w:tcPr>
            <w:tcW w:w="956" w:type="dxa"/>
            <w:shd w:val="clear" w:color="auto" w:fill="auto"/>
            <w:noWrap/>
            <w:vAlign w:val="bottom"/>
            <w:hideMark/>
          </w:tcPr>
          <w:p w14:paraId="57DB45A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589591.54</w:t>
            </w:r>
          </w:p>
        </w:tc>
        <w:tc>
          <w:tcPr>
            <w:tcW w:w="987" w:type="dxa"/>
            <w:shd w:val="clear" w:color="auto" w:fill="auto"/>
            <w:noWrap/>
            <w:vAlign w:val="bottom"/>
            <w:hideMark/>
          </w:tcPr>
          <w:p w14:paraId="120C537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1338.92</w:t>
            </w:r>
          </w:p>
        </w:tc>
        <w:tc>
          <w:tcPr>
            <w:tcW w:w="999" w:type="dxa"/>
            <w:shd w:val="clear" w:color="auto" w:fill="auto"/>
            <w:noWrap/>
            <w:vAlign w:val="bottom"/>
            <w:hideMark/>
          </w:tcPr>
          <w:p w14:paraId="7DE9D0DE"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2450.91</w:t>
            </w:r>
          </w:p>
        </w:tc>
        <w:tc>
          <w:tcPr>
            <w:tcW w:w="999" w:type="dxa"/>
            <w:shd w:val="clear" w:color="auto" w:fill="auto"/>
            <w:noWrap/>
            <w:vAlign w:val="bottom"/>
            <w:hideMark/>
          </w:tcPr>
          <w:p w14:paraId="0DFEC50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4825.46</w:t>
            </w:r>
          </w:p>
        </w:tc>
        <w:tc>
          <w:tcPr>
            <w:tcW w:w="872" w:type="dxa"/>
            <w:shd w:val="clear" w:color="auto" w:fill="auto"/>
            <w:noWrap/>
            <w:vAlign w:val="bottom"/>
            <w:hideMark/>
          </w:tcPr>
          <w:p w14:paraId="01D9FC29"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14289.61</w:t>
            </w:r>
          </w:p>
        </w:tc>
        <w:tc>
          <w:tcPr>
            <w:tcW w:w="969" w:type="dxa"/>
            <w:shd w:val="clear" w:color="auto" w:fill="auto"/>
            <w:noWrap/>
            <w:vAlign w:val="bottom"/>
            <w:hideMark/>
          </w:tcPr>
          <w:p w14:paraId="22AB571C"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43166137.25</w:t>
            </w:r>
          </w:p>
        </w:tc>
      </w:tr>
      <w:tr w:rsidR="00C1571C" w:rsidRPr="00C1571C" w14:paraId="711F3D13" w14:textId="77777777" w:rsidTr="00C1571C">
        <w:trPr>
          <w:trHeight w:val="300"/>
        </w:trPr>
        <w:tc>
          <w:tcPr>
            <w:tcW w:w="509" w:type="dxa"/>
            <w:tcBorders>
              <w:right w:val="single" w:sz="4" w:space="0" w:color="auto"/>
            </w:tcBorders>
            <w:shd w:val="clear" w:color="auto" w:fill="auto"/>
            <w:noWrap/>
            <w:vAlign w:val="bottom"/>
            <w:hideMark/>
          </w:tcPr>
          <w:p w14:paraId="16B25ED2"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2017</w:t>
            </w:r>
          </w:p>
        </w:tc>
        <w:tc>
          <w:tcPr>
            <w:tcW w:w="1014" w:type="dxa"/>
            <w:tcBorders>
              <w:left w:val="single" w:sz="4" w:space="0" w:color="auto"/>
            </w:tcBorders>
            <w:shd w:val="clear" w:color="auto" w:fill="auto"/>
            <w:noWrap/>
            <w:vAlign w:val="bottom"/>
            <w:hideMark/>
          </w:tcPr>
          <w:p w14:paraId="53EC6DD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636.67</w:t>
            </w:r>
          </w:p>
        </w:tc>
        <w:tc>
          <w:tcPr>
            <w:tcW w:w="1081" w:type="dxa"/>
            <w:shd w:val="clear" w:color="auto" w:fill="auto"/>
            <w:noWrap/>
            <w:vAlign w:val="bottom"/>
            <w:hideMark/>
          </w:tcPr>
          <w:p w14:paraId="303F8D6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34216.77</w:t>
            </w:r>
          </w:p>
        </w:tc>
        <w:tc>
          <w:tcPr>
            <w:tcW w:w="1081" w:type="dxa"/>
            <w:shd w:val="clear" w:color="auto" w:fill="auto"/>
            <w:noWrap/>
            <w:vAlign w:val="bottom"/>
            <w:hideMark/>
          </w:tcPr>
          <w:p w14:paraId="111F90C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96157.57</w:t>
            </w:r>
          </w:p>
        </w:tc>
        <w:tc>
          <w:tcPr>
            <w:tcW w:w="956" w:type="dxa"/>
            <w:shd w:val="clear" w:color="auto" w:fill="auto"/>
            <w:noWrap/>
            <w:vAlign w:val="bottom"/>
            <w:hideMark/>
          </w:tcPr>
          <w:p w14:paraId="0301707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629076.79</w:t>
            </w:r>
          </w:p>
        </w:tc>
        <w:tc>
          <w:tcPr>
            <w:tcW w:w="987" w:type="dxa"/>
            <w:shd w:val="clear" w:color="auto" w:fill="auto"/>
            <w:noWrap/>
            <w:vAlign w:val="bottom"/>
            <w:hideMark/>
          </w:tcPr>
          <w:p w14:paraId="6944671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1850.19</w:t>
            </w:r>
          </w:p>
        </w:tc>
        <w:tc>
          <w:tcPr>
            <w:tcW w:w="999" w:type="dxa"/>
            <w:shd w:val="clear" w:color="auto" w:fill="auto"/>
            <w:noWrap/>
            <w:vAlign w:val="bottom"/>
            <w:hideMark/>
          </w:tcPr>
          <w:p w14:paraId="0033996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3294.96</w:t>
            </w:r>
          </w:p>
        </w:tc>
        <w:tc>
          <w:tcPr>
            <w:tcW w:w="999" w:type="dxa"/>
            <w:shd w:val="clear" w:color="auto" w:fill="auto"/>
            <w:noWrap/>
            <w:vAlign w:val="bottom"/>
            <w:hideMark/>
          </w:tcPr>
          <w:p w14:paraId="568FD54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5146.83</w:t>
            </w:r>
          </w:p>
        </w:tc>
        <w:tc>
          <w:tcPr>
            <w:tcW w:w="872" w:type="dxa"/>
            <w:shd w:val="clear" w:color="auto" w:fill="auto"/>
            <w:noWrap/>
            <w:vAlign w:val="bottom"/>
            <w:hideMark/>
          </w:tcPr>
          <w:p w14:paraId="66F724F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14741.53</w:t>
            </w:r>
          </w:p>
        </w:tc>
        <w:tc>
          <w:tcPr>
            <w:tcW w:w="969" w:type="dxa"/>
            <w:shd w:val="clear" w:color="auto" w:fill="auto"/>
            <w:noWrap/>
            <w:vAlign w:val="bottom"/>
            <w:hideMark/>
          </w:tcPr>
          <w:p w14:paraId="325139B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43096040.07</w:t>
            </w:r>
          </w:p>
        </w:tc>
      </w:tr>
      <w:tr w:rsidR="00C1571C" w:rsidRPr="00C1571C" w14:paraId="4504488A" w14:textId="77777777" w:rsidTr="00C1571C">
        <w:trPr>
          <w:trHeight w:val="300"/>
        </w:trPr>
        <w:tc>
          <w:tcPr>
            <w:tcW w:w="509" w:type="dxa"/>
            <w:tcBorders>
              <w:right w:val="single" w:sz="4" w:space="0" w:color="auto"/>
            </w:tcBorders>
            <w:shd w:val="clear" w:color="auto" w:fill="auto"/>
            <w:noWrap/>
            <w:vAlign w:val="bottom"/>
            <w:hideMark/>
          </w:tcPr>
          <w:p w14:paraId="5676F2D1"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2018</w:t>
            </w:r>
          </w:p>
        </w:tc>
        <w:tc>
          <w:tcPr>
            <w:tcW w:w="1014" w:type="dxa"/>
            <w:tcBorders>
              <w:left w:val="single" w:sz="4" w:space="0" w:color="auto"/>
            </w:tcBorders>
            <w:shd w:val="clear" w:color="auto" w:fill="auto"/>
            <w:noWrap/>
            <w:vAlign w:val="bottom"/>
            <w:hideMark/>
          </w:tcPr>
          <w:p w14:paraId="2C4E31F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498.98</w:t>
            </w:r>
          </w:p>
        </w:tc>
        <w:tc>
          <w:tcPr>
            <w:tcW w:w="1081" w:type="dxa"/>
            <w:shd w:val="clear" w:color="auto" w:fill="auto"/>
            <w:noWrap/>
            <w:vAlign w:val="bottom"/>
            <w:hideMark/>
          </w:tcPr>
          <w:p w14:paraId="4EDEA13F"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29211.50</w:t>
            </w:r>
          </w:p>
        </w:tc>
        <w:tc>
          <w:tcPr>
            <w:tcW w:w="1081" w:type="dxa"/>
            <w:shd w:val="clear" w:color="auto" w:fill="auto"/>
            <w:noWrap/>
            <w:vAlign w:val="bottom"/>
            <w:hideMark/>
          </w:tcPr>
          <w:p w14:paraId="4DDCDEA7"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147199.70</w:t>
            </w:r>
          </w:p>
        </w:tc>
        <w:tc>
          <w:tcPr>
            <w:tcW w:w="956" w:type="dxa"/>
            <w:shd w:val="clear" w:color="auto" w:fill="auto"/>
            <w:noWrap/>
            <w:vAlign w:val="bottom"/>
            <w:hideMark/>
          </w:tcPr>
          <w:p w14:paraId="2D5694A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697374.07</w:t>
            </w:r>
          </w:p>
        </w:tc>
        <w:tc>
          <w:tcPr>
            <w:tcW w:w="987" w:type="dxa"/>
            <w:shd w:val="clear" w:color="auto" w:fill="auto"/>
            <w:noWrap/>
            <w:vAlign w:val="bottom"/>
            <w:hideMark/>
          </w:tcPr>
          <w:p w14:paraId="6D924274"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2918.89</w:t>
            </w:r>
          </w:p>
        </w:tc>
        <w:tc>
          <w:tcPr>
            <w:tcW w:w="999" w:type="dxa"/>
            <w:shd w:val="clear" w:color="auto" w:fill="auto"/>
            <w:noWrap/>
            <w:vAlign w:val="bottom"/>
            <w:hideMark/>
          </w:tcPr>
          <w:p w14:paraId="1F0C5048"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3879.33</w:t>
            </w:r>
          </w:p>
        </w:tc>
        <w:tc>
          <w:tcPr>
            <w:tcW w:w="999" w:type="dxa"/>
            <w:shd w:val="clear" w:color="auto" w:fill="auto"/>
            <w:noWrap/>
            <w:vAlign w:val="bottom"/>
            <w:hideMark/>
          </w:tcPr>
          <w:p w14:paraId="3670A29D"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2131.99</w:t>
            </w:r>
          </w:p>
        </w:tc>
        <w:tc>
          <w:tcPr>
            <w:tcW w:w="872" w:type="dxa"/>
            <w:shd w:val="clear" w:color="auto" w:fill="auto"/>
            <w:noWrap/>
            <w:vAlign w:val="bottom"/>
            <w:hideMark/>
          </w:tcPr>
          <w:p w14:paraId="1A1B2D51"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13726.82</w:t>
            </w:r>
          </w:p>
        </w:tc>
        <w:tc>
          <w:tcPr>
            <w:tcW w:w="969" w:type="dxa"/>
            <w:shd w:val="clear" w:color="auto" w:fill="auto"/>
            <w:noWrap/>
            <w:vAlign w:val="bottom"/>
            <w:hideMark/>
          </w:tcPr>
          <w:p w14:paraId="1FA62C75"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42984220.11</w:t>
            </w:r>
          </w:p>
        </w:tc>
      </w:tr>
      <w:tr w:rsidR="00C1571C" w:rsidRPr="00C1571C" w14:paraId="2EF22661" w14:textId="77777777" w:rsidTr="00C1571C">
        <w:trPr>
          <w:trHeight w:val="300"/>
        </w:trPr>
        <w:tc>
          <w:tcPr>
            <w:tcW w:w="509" w:type="dxa"/>
            <w:tcBorders>
              <w:bottom w:val="single" w:sz="4" w:space="0" w:color="auto"/>
              <w:right w:val="single" w:sz="4" w:space="0" w:color="auto"/>
            </w:tcBorders>
            <w:shd w:val="clear" w:color="auto" w:fill="auto"/>
            <w:noWrap/>
            <w:vAlign w:val="bottom"/>
            <w:hideMark/>
          </w:tcPr>
          <w:p w14:paraId="505FAD46" w14:textId="77777777" w:rsidR="00C1571C" w:rsidRPr="00C1571C" w:rsidRDefault="00C1571C" w:rsidP="00C1571C">
            <w:pPr>
              <w:suppressAutoHyphens w:val="0"/>
              <w:spacing w:after="0" w:line="240" w:lineRule="auto"/>
              <w:jc w:val="right"/>
              <w:rPr>
                <w:rFonts w:ascii="Calibri" w:eastAsia="Times New Roman" w:hAnsi="Calibri" w:cs="Calibri"/>
                <w:b/>
                <w:bCs/>
                <w:color w:val="000000"/>
                <w:sz w:val="18"/>
                <w:szCs w:val="18"/>
              </w:rPr>
            </w:pPr>
            <w:r w:rsidRPr="00C1571C">
              <w:rPr>
                <w:rFonts w:ascii="Calibri" w:eastAsia="Times New Roman" w:hAnsi="Calibri" w:cs="Calibri"/>
                <w:b/>
                <w:bCs/>
                <w:color w:val="000000"/>
                <w:sz w:val="18"/>
                <w:szCs w:val="18"/>
              </w:rPr>
              <w:t>2019</w:t>
            </w:r>
          </w:p>
        </w:tc>
        <w:tc>
          <w:tcPr>
            <w:tcW w:w="1014" w:type="dxa"/>
            <w:tcBorders>
              <w:left w:val="single" w:sz="4" w:space="0" w:color="auto"/>
            </w:tcBorders>
            <w:shd w:val="clear" w:color="auto" w:fill="auto"/>
            <w:noWrap/>
            <w:vAlign w:val="bottom"/>
            <w:hideMark/>
          </w:tcPr>
          <w:p w14:paraId="018739C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1285.87</w:t>
            </w:r>
          </w:p>
        </w:tc>
        <w:tc>
          <w:tcPr>
            <w:tcW w:w="1081" w:type="dxa"/>
            <w:shd w:val="clear" w:color="auto" w:fill="auto"/>
            <w:noWrap/>
            <w:vAlign w:val="bottom"/>
            <w:hideMark/>
          </w:tcPr>
          <w:p w14:paraId="3BC0A85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32440.66</w:t>
            </w:r>
          </w:p>
        </w:tc>
        <w:tc>
          <w:tcPr>
            <w:tcW w:w="1081" w:type="dxa"/>
            <w:shd w:val="clear" w:color="auto" w:fill="auto"/>
            <w:noWrap/>
            <w:vAlign w:val="bottom"/>
            <w:hideMark/>
          </w:tcPr>
          <w:p w14:paraId="6905EC2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189503.10</w:t>
            </w:r>
          </w:p>
        </w:tc>
        <w:tc>
          <w:tcPr>
            <w:tcW w:w="956" w:type="dxa"/>
            <w:shd w:val="clear" w:color="auto" w:fill="auto"/>
            <w:noWrap/>
            <w:vAlign w:val="bottom"/>
            <w:hideMark/>
          </w:tcPr>
          <w:p w14:paraId="2341EA2A"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813766.13</w:t>
            </w:r>
          </w:p>
        </w:tc>
        <w:tc>
          <w:tcPr>
            <w:tcW w:w="987" w:type="dxa"/>
            <w:shd w:val="clear" w:color="auto" w:fill="auto"/>
            <w:noWrap/>
            <w:vAlign w:val="bottom"/>
            <w:hideMark/>
          </w:tcPr>
          <w:p w14:paraId="32C11E1B"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2406.40</w:t>
            </w:r>
          </w:p>
        </w:tc>
        <w:tc>
          <w:tcPr>
            <w:tcW w:w="999" w:type="dxa"/>
            <w:shd w:val="clear" w:color="auto" w:fill="auto"/>
            <w:noWrap/>
            <w:vAlign w:val="bottom"/>
            <w:hideMark/>
          </w:tcPr>
          <w:p w14:paraId="35ACCB46"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2610.14</w:t>
            </w:r>
          </w:p>
        </w:tc>
        <w:tc>
          <w:tcPr>
            <w:tcW w:w="999" w:type="dxa"/>
            <w:shd w:val="clear" w:color="auto" w:fill="auto"/>
            <w:noWrap/>
            <w:vAlign w:val="bottom"/>
            <w:hideMark/>
          </w:tcPr>
          <w:p w14:paraId="40FF11A0"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10811.73</w:t>
            </w:r>
          </w:p>
        </w:tc>
        <w:tc>
          <w:tcPr>
            <w:tcW w:w="872" w:type="dxa"/>
            <w:shd w:val="clear" w:color="auto" w:fill="auto"/>
            <w:noWrap/>
            <w:vAlign w:val="bottom"/>
            <w:hideMark/>
          </w:tcPr>
          <w:p w14:paraId="1453EEC2"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11341.24</w:t>
            </w:r>
          </w:p>
        </w:tc>
        <w:tc>
          <w:tcPr>
            <w:tcW w:w="969" w:type="dxa"/>
            <w:shd w:val="clear" w:color="auto" w:fill="auto"/>
            <w:noWrap/>
            <w:vAlign w:val="bottom"/>
            <w:hideMark/>
          </w:tcPr>
          <w:p w14:paraId="72FB54D3" w14:textId="77777777" w:rsidR="00C1571C" w:rsidRPr="00C1571C" w:rsidRDefault="00C1571C" w:rsidP="00C1571C">
            <w:pPr>
              <w:suppressAutoHyphens w:val="0"/>
              <w:spacing w:after="0" w:line="240" w:lineRule="auto"/>
              <w:jc w:val="right"/>
              <w:rPr>
                <w:rFonts w:ascii="Calibri" w:eastAsia="Times New Roman" w:hAnsi="Calibri" w:cs="Calibri"/>
                <w:color w:val="000000"/>
                <w:sz w:val="18"/>
                <w:szCs w:val="18"/>
              </w:rPr>
            </w:pPr>
            <w:r w:rsidRPr="00C1571C">
              <w:rPr>
                <w:rFonts w:ascii="Calibri" w:eastAsia="Times New Roman" w:hAnsi="Calibri" w:cs="Calibri"/>
                <w:color w:val="000000"/>
                <w:sz w:val="18"/>
                <w:szCs w:val="18"/>
              </w:rPr>
              <w:t>42816996.12</w:t>
            </w:r>
          </w:p>
        </w:tc>
      </w:tr>
    </w:tbl>
    <w:p w14:paraId="6576B1D8" w14:textId="641F4AEE" w:rsidR="00795587" w:rsidRDefault="00795587">
      <w:pPr>
        <w:pStyle w:val="Level1Text"/>
        <w:rPr>
          <w:sz w:val="22"/>
          <w:szCs w:val="22"/>
        </w:rPr>
      </w:pPr>
    </w:p>
    <w:p w14:paraId="1F8A7F7A" w14:textId="6AE5F873" w:rsidR="00795587" w:rsidRDefault="00795587">
      <w:pPr>
        <w:pStyle w:val="Level1Text"/>
        <w:rPr>
          <w:sz w:val="22"/>
          <w:szCs w:val="22"/>
        </w:rPr>
      </w:pPr>
    </w:p>
    <w:p w14:paraId="13794CF0" w14:textId="58CF593F" w:rsidR="00600B2A" w:rsidRDefault="00600B2A">
      <w:pPr>
        <w:pStyle w:val="Level1Text"/>
        <w:rPr>
          <w:sz w:val="22"/>
          <w:szCs w:val="22"/>
        </w:rPr>
      </w:pPr>
    </w:p>
    <w:p w14:paraId="5B1EFFB3" w14:textId="1092315E" w:rsidR="00600B2A" w:rsidRDefault="00600B2A" w:rsidP="00600B2A">
      <w:pPr>
        <w:pStyle w:val="Level1Text"/>
        <w:rPr>
          <w:sz w:val="22"/>
          <w:szCs w:val="22"/>
        </w:rPr>
      </w:pPr>
      <w:r>
        <w:rPr>
          <w:b/>
          <w:bCs/>
          <w:sz w:val="22"/>
          <w:szCs w:val="22"/>
        </w:rPr>
        <w:t>Table S3</w:t>
      </w:r>
      <w:r>
        <w:rPr>
          <w:sz w:val="22"/>
          <w:szCs w:val="22"/>
        </w:rPr>
        <w:t>. Mapped area</w:t>
      </w:r>
      <w:r w:rsidR="00693213">
        <w:rPr>
          <w:sz w:val="22"/>
          <w:szCs w:val="22"/>
        </w:rPr>
        <w:t xml:space="preserve"> (ha)</w:t>
      </w:r>
      <w:r>
        <w:rPr>
          <w:sz w:val="22"/>
          <w:szCs w:val="22"/>
        </w:rPr>
        <w:t xml:space="preserve"> for all transitions forest-coca-cattle inside of agricultural frontier.</w:t>
      </w:r>
    </w:p>
    <w:tbl>
      <w:tblPr>
        <w:tblW w:w="947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
        <w:gridCol w:w="1017"/>
        <w:gridCol w:w="1085"/>
        <w:gridCol w:w="1085"/>
        <w:gridCol w:w="1083"/>
        <w:gridCol w:w="990"/>
        <w:gridCol w:w="1003"/>
        <w:gridCol w:w="1003"/>
        <w:gridCol w:w="901"/>
        <w:gridCol w:w="1083"/>
      </w:tblGrid>
      <w:tr w:rsidR="00DE5BED" w:rsidRPr="00DE5BED" w14:paraId="1476AA5C" w14:textId="77777777" w:rsidTr="00DE5BED">
        <w:trPr>
          <w:trHeight w:val="300"/>
        </w:trPr>
        <w:tc>
          <w:tcPr>
            <w:tcW w:w="510" w:type="dxa"/>
            <w:tcBorders>
              <w:top w:val="single" w:sz="4" w:space="0" w:color="auto"/>
              <w:bottom w:val="single" w:sz="4" w:space="0" w:color="auto"/>
              <w:right w:val="single" w:sz="4" w:space="0" w:color="auto"/>
            </w:tcBorders>
            <w:shd w:val="clear" w:color="auto" w:fill="auto"/>
            <w:noWrap/>
            <w:vAlign w:val="bottom"/>
            <w:hideMark/>
          </w:tcPr>
          <w:p w14:paraId="097346E8"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year</w:t>
            </w:r>
          </w:p>
        </w:tc>
        <w:tc>
          <w:tcPr>
            <w:tcW w:w="1017" w:type="dxa"/>
            <w:tcBorders>
              <w:top w:val="single" w:sz="4" w:space="0" w:color="auto"/>
              <w:left w:val="single" w:sz="4" w:space="0" w:color="auto"/>
              <w:bottom w:val="single" w:sz="4" w:space="0" w:color="auto"/>
            </w:tcBorders>
            <w:shd w:val="clear" w:color="auto" w:fill="auto"/>
            <w:noWrap/>
            <w:vAlign w:val="bottom"/>
            <w:hideMark/>
          </w:tcPr>
          <w:p w14:paraId="2673E0AA"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 xml:space="preserve"> cattle to coca</w:t>
            </w:r>
          </w:p>
        </w:tc>
        <w:tc>
          <w:tcPr>
            <w:tcW w:w="1085" w:type="dxa"/>
            <w:tcBorders>
              <w:top w:val="single" w:sz="4" w:space="0" w:color="auto"/>
              <w:bottom w:val="single" w:sz="4" w:space="0" w:color="auto"/>
            </w:tcBorders>
            <w:shd w:val="clear" w:color="auto" w:fill="auto"/>
            <w:noWrap/>
            <w:vAlign w:val="bottom"/>
            <w:hideMark/>
          </w:tcPr>
          <w:p w14:paraId="467E9DF1"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 xml:space="preserve"> cattle to forest</w:t>
            </w:r>
          </w:p>
        </w:tc>
        <w:tc>
          <w:tcPr>
            <w:tcW w:w="1085" w:type="dxa"/>
            <w:tcBorders>
              <w:top w:val="single" w:sz="4" w:space="0" w:color="auto"/>
              <w:bottom w:val="single" w:sz="4" w:space="0" w:color="auto"/>
            </w:tcBorders>
            <w:shd w:val="clear" w:color="auto" w:fill="auto"/>
            <w:noWrap/>
            <w:vAlign w:val="bottom"/>
            <w:hideMark/>
          </w:tcPr>
          <w:p w14:paraId="027E0BA2"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 xml:space="preserve"> forest to cattle</w:t>
            </w:r>
          </w:p>
        </w:tc>
        <w:tc>
          <w:tcPr>
            <w:tcW w:w="959" w:type="dxa"/>
            <w:tcBorders>
              <w:top w:val="single" w:sz="4" w:space="0" w:color="auto"/>
              <w:bottom w:val="single" w:sz="4" w:space="0" w:color="auto"/>
            </w:tcBorders>
            <w:shd w:val="clear" w:color="auto" w:fill="auto"/>
            <w:noWrap/>
            <w:vAlign w:val="bottom"/>
            <w:hideMark/>
          </w:tcPr>
          <w:p w14:paraId="3890FA9A"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 xml:space="preserve"> stable cattle</w:t>
            </w:r>
          </w:p>
        </w:tc>
        <w:tc>
          <w:tcPr>
            <w:tcW w:w="990" w:type="dxa"/>
            <w:tcBorders>
              <w:top w:val="single" w:sz="4" w:space="0" w:color="auto"/>
              <w:bottom w:val="single" w:sz="4" w:space="0" w:color="auto"/>
            </w:tcBorders>
            <w:shd w:val="clear" w:color="auto" w:fill="auto"/>
            <w:noWrap/>
            <w:vAlign w:val="bottom"/>
            <w:hideMark/>
          </w:tcPr>
          <w:p w14:paraId="2CEABAFE"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coca to cattle</w:t>
            </w:r>
          </w:p>
        </w:tc>
        <w:tc>
          <w:tcPr>
            <w:tcW w:w="1003" w:type="dxa"/>
            <w:tcBorders>
              <w:top w:val="single" w:sz="4" w:space="0" w:color="auto"/>
              <w:bottom w:val="single" w:sz="4" w:space="0" w:color="auto"/>
            </w:tcBorders>
            <w:shd w:val="clear" w:color="auto" w:fill="auto"/>
            <w:noWrap/>
            <w:vAlign w:val="bottom"/>
            <w:hideMark/>
          </w:tcPr>
          <w:p w14:paraId="441472F9"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coca to forest</w:t>
            </w:r>
          </w:p>
        </w:tc>
        <w:tc>
          <w:tcPr>
            <w:tcW w:w="1003" w:type="dxa"/>
            <w:tcBorders>
              <w:top w:val="single" w:sz="4" w:space="0" w:color="auto"/>
              <w:bottom w:val="single" w:sz="4" w:space="0" w:color="auto"/>
            </w:tcBorders>
            <w:shd w:val="clear" w:color="auto" w:fill="auto"/>
            <w:noWrap/>
            <w:vAlign w:val="bottom"/>
            <w:hideMark/>
          </w:tcPr>
          <w:p w14:paraId="5F8B85FC"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forest to coca</w:t>
            </w:r>
          </w:p>
        </w:tc>
        <w:tc>
          <w:tcPr>
            <w:tcW w:w="875" w:type="dxa"/>
            <w:tcBorders>
              <w:top w:val="single" w:sz="4" w:space="0" w:color="auto"/>
              <w:bottom w:val="single" w:sz="4" w:space="0" w:color="auto"/>
            </w:tcBorders>
            <w:shd w:val="clear" w:color="auto" w:fill="auto"/>
            <w:noWrap/>
            <w:vAlign w:val="bottom"/>
            <w:hideMark/>
          </w:tcPr>
          <w:p w14:paraId="069FF1FC"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stable coca</w:t>
            </w:r>
          </w:p>
        </w:tc>
        <w:tc>
          <w:tcPr>
            <w:tcW w:w="944" w:type="dxa"/>
            <w:tcBorders>
              <w:top w:val="single" w:sz="4" w:space="0" w:color="auto"/>
              <w:bottom w:val="single" w:sz="4" w:space="0" w:color="auto"/>
            </w:tcBorders>
            <w:shd w:val="clear" w:color="auto" w:fill="auto"/>
            <w:noWrap/>
            <w:vAlign w:val="bottom"/>
            <w:hideMark/>
          </w:tcPr>
          <w:p w14:paraId="4113176E" w14:textId="77777777" w:rsidR="00DE5BED" w:rsidRPr="00DE5BED" w:rsidRDefault="00DE5BED" w:rsidP="00DE5BED">
            <w:pPr>
              <w:suppressAutoHyphens w:val="0"/>
              <w:spacing w:after="0" w:line="240" w:lineRule="auto"/>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stable forest</w:t>
            </w:r>
          </w:p>
        </w:tc>
      </w:tr>
      <w:tr w:rsidR="00DE5BED" w:rsidRPr="00DE5BED" w14:paraId="4968972D" w14:textId="77777777" w:rsidTr="00DE5BED">
        <w:trPr>
          <w:trHeight w:val="300"/>
        </w:trPr>
        <w:tc>
          <w:tcPr>
            <w:tcW w:w="510" w:type="dxa"/>
            <w:tcBorders>
              <w:top w:val="single" w:sz="4" w:space="0" w:color="auto"/>
              <w:right w:val="single" w:sz="4" w:space="0" w:color="auto"/>
            </w:tcBorders>
            <w:shd w:val="clear" w:color="auto" w:fill="auto"/>
            <w:noWrap/>
            <w:vAlign w:val="bottom"/>
            <w:hideMark/>
          </w:tcPr>
          <w:p w14:paraId="27724545"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1985</w:t>
            </w:r>
          </w:p>
        </w:tc>
        <w:tc>
          <w:tcPr>
            <w:tcW w:w="1017" w:type="dxa"/>
            <w:tcBorders>
              <w:top w:val="single" w:sz="4" w:space="0" w:color="auto"/>
              <w:left w:val="single" w:sz="4" w:space="0" w:color="auto"/>
            </w:tcBorders>
            <w:shd w:val="clear" w:color="auto" w:fill="auto"/>
            <w:noWrap/>
            <w:vAlign w:val="bottom"/>
            <w:hideMark/>
          </w:tcPr>
          <w:p w14:paraId="65D8243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8.04</w:t>
            </w:r>
          </w:p>
        </w:tc>
        <w:tc>
          <w:tcPr>
            <w:tcW w:w="1085" w:type="dxa"/>
            <w:tcBorders>
              <w:top w:val="single" w:sz="4" w:space="0" w:color="auto"/>
            </w:tcBorders>
            <w:shd w:val="clear" w:color="auto" w:fill="auto"/>
            <w:noWrap/>
            <w:vAlign w:val="bottom"/>
            <w:hideMark/>
          </w:tcPr>
          <w:p w14:paraId="2FF2E62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12354.06</w:t>
            </w:r>
          </w:p>
        </w:tc>
        <w:tc>
          <w:tcPr>
            <w:tcW w:w="1085" w:type="dxa"/>
            <w:tcBorders>
              <w:top w:val="single" w:sz="4" w:space="0" w:color="auto"/>
            </w:tcBorders>
            <w:shd w:val="clear" w:color="auto" w:fill="auto"/>
            <w:noWrap/>
            <w:vAlign w:val="bottom"/>
            <w:hideMark/>
          </w:tcPr>
          <w:p w14:paraId="1474C75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48082.09</w:t>
            </w:r>
          </w:p>
        </w:tc>
        <w:tc>
          <w:tcPr>
            <w:tcW w:w="959" w:type="dxa"/>
            <w:tcBorders>
              <w:top w:val="single" w:sz="4" w:space="0" w:color="auto"/>
            </w:tcBorders>
            <w:shd w:val="clear" w:color="auto" w:fill="auto"/>
            <w:noWrap/>
            <w:vAlign w:val="bottom"/>
            <w:hideMark/>
          </w:tcPr>
          <w:p w14:paraId="5F0FB4D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905358.35</w:t>
            </w:r>
          </w:p>
        </w:tc>
        <w:tc>
          <w:tcPr>
            <w:tcW w:w="990" w:type="dxa"/>
            <w:tcBorders>
              <w:top w:val="single" w:sz="4" w:space="0" w:color="auto"/>
            </w:tcBorders>
            <w:shd w:val="clear" w:color="auto" w:fill="auto"/>
            <w:noWrap/>
            <w:vAlign w:val="bottom"/>
            <w:hideMark/>
          </w:tcPr>
          <w:p w14:paraId="78994EF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8.49</w:t>
            </w:r>
          </w:p>
        </w:tc>
        <w:tc>
          <w:tcPr>
            <w:tcW w:w="1003" w:type="dxa"/>
            <w:tcBorders>
              <w:top w:val="single" w:sz="4" w:space="0" w:color="auto"/>
            </w:tcBorders>
            <w:shd w:val="clear" w:color="auto" w:fill="auto"/>
            <w:noWrap/>
            <w:vAlign w:val="bottom"/>
            <w:hideMark/>
          </w:tcPr>
          <w:p w14:paraId="2C77D9D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45.84</w:t>
            </w:r>
          </w:p>
        </w:tc>
        <w:tc>
          <w:tcPr>
            <w:tcW w:w="1003" w:type="dxa"/>
            <w:tcBorders>
              <w:top w:val="single" w:sz="4" w:space="0" w:color="auto"/>
            </w:tcBorders>
            <w:shd w:val="clear" w:color="auto" w:fill="auto"/>
            <w:noWrap/>
            <w:vAlign w:val="bottom"/>
            <w:hideMark/>
          </w:tcPr>
          <w:p w14:paraId="0CECBAE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66.85</w:t>
            </w:r>
          </w:p>
        </w:tc>
        <w:tc>
          <w:tcPr>
            <w:tcW w:w="875" w:type="dxa"/>
            <w:tcBorders>
              <w:top w:val="single" w:sz="4" w:space="0" w:color="auto"/>
            </w:tcBorders>
            <w:shd w:val="clear" w:color="auto" w:fill="auto"/>
            <w:noWrap/>
            <w:vAlign w:val="bottom"/>
            <w:hideMark/>
          </w:tcPr>
          <w:p w14:paraId="70CA6FA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5442.23</w:t>
            </w:r>
          </w:p>
        </w:tc>
        <w:tc>
          <w:tcPr>
            <w:tcW w:w="944" w:type="dxa"/>
            <w:tcBorders>
              <w:top w:val="single" w:sz="4" w:space="0" w:color="auto"/>
            </w:tcBorders>
            <w:shd w:val="clear" w:color="auto" w:fill="auto"/>
            <w:noWrap/>
            <w:vAlign w:val="bottom"/>
            <w:hideMark/>
          </w:tcPr>
          <w:p w14:paraId="2129532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2942285.09</w:t>
            </w:r>
          </w:p>
        </w:tc>
      </w:tr>
      <w:tr w:rsidR="00DE5BED" w:rsidRPr="00DE5BED" w14:paraId="2F0EE5DE" w14:textId="77777777" w:rsidTr="00DE5BED">
        <w:trPr>
          <w:trHeight w:val="300"/>
        </w:trPr>
        <w:tc>
          <w:tcPr>
            <w:tcW w:w="510" w:type="dxa"/>
            <w:tcBorders>
              <w:right w:val="single" w:sz="4" w:space="0" w:color="auto"/>
            </w:tcBorders>
            <w:shd w:val="clear" w:color="auto" w:fill="auto"/>
            <w:noWrap/>
            <w:vAlign w:val="bottom"/>
            <w:hideMark/>
          </w:tcPr>
          <w:p w14:paraId="4C7C6B2B"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1986</w:t>
            </w:r>
          </w:p>
        </w:tc>
        <w:tc>
          <w:tcPr>
            <w:tcW w:w="1017" w:type="dxa"/>
            <w:tcBorders>
              <w:left w:val="single" w:sz="4" w:space="0" w:color="auto"/>
            </w:tcBorders>
            <w:shd w:val="clear" w:color="auto" w:fill="auto"/>
            <w:noWrap/>
            <w:vAlign w:val="bottom"/>
            <w:hideMark/>
          </w:tcPr>
          <w:p w14:paraId="5C2837F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200.34</w:t>
            </w:r>
          </w:p>
        </w:tc>
        <w:tc>
          <w:tcPr>
            <w:tcW w:w="1085" w:type="dxa"/>
            <w:shd w:val="clear" w:color="auto" w:fill="auto"/>
            <w:noWrap/>
            <w:vAlign w:val="bottom"/>
            <w:hideMark/>
          </w:tcPr>
          <w:p w14:paraId="0DF72B4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27939.94</w:t>
            </w:r>
          </w:p>
        </w:tc>
        <w:tc>
          <w:tcPr>
            <w:tcW w:w="1085" w:type="dxa"/>
            <w:shd w:val="clear" w:color="auto" w:fill="auto"/>
            <w:noWrap/>
            <w:vAlign w:val="bottom"/>
            <w:hideMark/>
          </w:tcPr>
          <w:p w14:paraId="5E4375D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95319.72</w:t>
            </w:r>
          </w:p>
        </w:tc>
        <w:tc>
          <w:tcPr>
            <w:tcW w:w="959" w:type="dxa"/>
            <w:shd w:val="clear" w:color="auto" w:fill="auto"/>
            <w:noWrap/>
            <w:vAlign w:val="bottom"/>
            <w:hideMark/>
          </w:tcPr>
          <w:p w14:paraId="5D0CA46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925308.65</w:t>
            </w:r>
          </w:p>
        </w:tc>
        <w:tc>
          <w:tcPr>
            <w:tcW w:w="990" w:type="dxa"/>
            <w:shd w:val="clear" w:color="auto" w:fill="auto"/>
            <w:noWrap/>
            <w:vAlign w:val="bottom"/>
            <w:hideMark/>
          </w:tcPr>
          <w:p w14:paraId="490BE17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255.85</w:t>
            </w:r>
          </w:p>
        </w:tc>
        <w:tc>
          <w:tcPr>
            <w:tcW w:w="1003" w:type="dxa"/>
            <w:shd w:val="clear" w:color="auto" w:fill="auto"/>
            <w:noWrap/>
            <w:vAlign w:val="bottom"/>
            <w:hideMark/>
          </w:tcPr>
          <w:p w14:paraId="67D4F76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814.42</w:t>
            </w:r>
          </w:p>
        </w:tc>
        <w:tc>
          <w:tcPr>
            <w:tcW w:w="1003" w:type="dxa"/>
            <w:shd w:val="clear" w:color="auto" w:fill="auto"/>
            <w:noWrap/>
            <w:vAlign w:val="bottom"/>
            <w:hideMark/>
          </w:tcPr>
          <w:p w14:paraId="7024299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1966.95</w:t>
            </w:r>
          </w:p>
        </w:tc>
        <w:tc>
          <w:tcPr>
            <w:tcW w:w="875" w:type="dxa"/>
            <w:shd w:val="clear" w:color="auto" w:fill="auto"/>
            <w:noWrap/>
            <w:vAlign w:val="bottom"/>
            <w:hideMark/>
          </w:tcPr>
          <w:p w14:paraId="365BA93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4446.85</w:t>
            </w:r>
          </w:p>
        </w:tc>
        <w:tc>
          <w:tcPr>
            <w:tcW w:w="944" w:type="dxa"/>
            <w:shd w:val="clear" w:color="auto" w:fill="auto"/>
            <w:noWrap/>
            <w:vAlign w:val="bottom"/>
            <w:hideMark/>
          </w:tcPr>
          <w:p w14:paraId="75789C3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2857398.31</w:t>
            </w:r>
          </w:p>
        </w:tc>
      </w:tr>
      <w:tr w:rsidR="00DE5BED" w:rsidRPr="00DE5BED" w14:paraId="5286A3DC" w14:textId="77777777" w:rsidTr="00DE5BED">
        <w:trPr>
          <w:trHeight w:val="300"/>
        </w:trPr>
        <w:tc>
          <w:tcPr>
            <w:tcW w:w="510" w:type="dxa"/>
            <w:tcBorders>
              <w:right w:val="single" w:sz="4" w:space="0" w:color="auto"/>
            </w:tcBorders>
            <w:shd w:val="clear" w:color="auto" w:fill="auto"/>
            <w:noWrap/>
            <w:vAlign w:val="bottom"/>
            <w:hideMark/>
          </w:tcPr>
          <w:p w14:paraId="69954C7D"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1987</w:t>
            </w:r>
          </w:p>
        </w:tc>
        <w:tc>
          <w:tcPr>
            <w:tcW w:w="1017" w:type="dxa"/>
            <w:tcBorders>
              <w:left w:val="single" w:sz="4" w:space="0" w:color="auto"/>
            </w:tcBorders>
            <w:shd w:val="clear" w:color="auto" w:fill="auto"/>
            <w:noWrap/>
            <w:vAlign w:val="bottom"/>
            <w:hideMark/>
          </w:tcPr>
          <w:p w14:paraId="1FA4454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986.24</w:t>
            </w:r>
          </w:p>
        </w:tc>
        <w:tc>
          <w:tcPr>
            <w:tcW w:w="1085" w:type="dxa"/>
            <w:shd w:val="clear" w:color="auto" w:fill="auto"/>
            <w:noWrap/>
            <w:vAlign w:val="bottom"/>
            <w:hideMark/>
          </w:tcPr>
          <w:p w14:paraId="7C01B36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49300.93</w:t>
            </w:r>
          </w:p>
        </w:tc>
        <w:tc>
          <w:tcPr>
            <w:tcW w:w="1085" w:type="dxa"/>
            <w:shd w:val="clear" w:color="auto" w:fill="auto"/>
            <w:noWrap/>
            <w:vAlign w:val="bottom"/>
            <w:hideMark/>
          </w:tcPr>
          <w:p w14:paraId="684BE8E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92026.57</w:t>
            </w:r>
          </w:p>
        </w:tc>
        <w:tc>
          <w:tcPr>
            <w:tcW w:w="959" w:type="dxa"/>
            <w:shd w:val="clear" w:color="auto" w:fill="auto"/>
            <w:noWrap/>
            <w:vAlign w:val="bottom"/>
            <w:hideMark/>
          </w:tcPr>
          <w:p w14:paraId="4333D7F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970597.06</w:t>
            </w:r>
          </w:p>
        </w:tc>
        <w:tc>
          <w:tcPr>
            <w:tcW w:w="990" w:type="dxa"/>
            <w:shd w:val="clear" w:color="auto" w:fill="auto"/>
            <w:noWrap/>
            <w:vAlign w:val="bottom"/>
            <w:hideMark/>
          </w:tcPr>
          <w:p w14:paraId="36F1E37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289.79</w:t>
            </w:r>
          </w:p>
        </w:tc>
        <w:tc>
          <w:tcPr>
            <w:tcW w:w="1003" w:type="dxa"/>
            <w:shd w:val="clear" w:color="auto" w:fill="auto"/>
            <w:noWrap/>
            <w:vAlign w:val="bottom"/>
            <w:hideMark/>
          </w:tcPr>
          <w:p w14:paraId="78B0554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1320.21</w:t>
            </w:r>
          </w:p>
        </w:tc>
        <w:tc>
          <w:tcPr>
            <w:tcW w:w="1003" w:type="dxa"/>
            <w:shd w:val="clear" w:color="auto" w:fill="auto"/>
            <w:noWrap/>
            <w:vAlign w:val="bottom"/>
            <w:hideMark/>
          </w:tcPr>
          <w:p w14:paraId="1FC440B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1981.97</w:t>
            </w:r>
          </w:p>
        </w:tc>
        <w:tc>
          <w:tcPr>
            <w:tcW w:w="875" w:type="dxa"/>
            <w:shd w:val="clear" w:color="auto" w:fill="auto"/>
            <w:noWrap/>
            <w:vAlign w:val="bottom"/>
            <w:hideMark/>
          </w:tcPr>
          <w:p w14:paraId="46F4522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5004.14</w:t>
            </w:r>
          </w:p>
        </w:tc>
        <w:tc>
          <w:tcPr>
            <w:tcW w:w="944" w:type="dxa"/>
            <w:shd w:val="clear" w:color="auto" w:fill="auto"/>
            <w:noWrap/>
            <w:vAlign w:val="bottom"/>
            <w:hideMark/>
          </w:tcPr>
          <w:p w14:paraId="25FF69B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2792144.14</w:t>
            </w:r>
          </w:p>
        </w:tc>
      </w:tr>
      <w:tr w:rsidR="00DE5BED" w:rsidRPr="00DE5BED" w14:paraId="64D215F0" w14:textId="77777777" w:rsidTr="00DE5BED">
        <w:trPr>
          <w:trHeight w:val="300"/>
        </w:trPr>
        <w:tc>
          <w:tcPr>
            <w:tcW w:w="510" w:type="dxa"/>
            <w:tcBorders>
              <w:right w:val="single" w:sz="4" w:space="0" w:color="auto"/>
            </w:tcBorders>
            <w:shd w:val="clear" w:color="auto" w:fill="auto"/>
            <w:noWrap/>
            <w:vAlign w:val="bottom"/>
            <w:hideMark/>
          </w:tcPr>
          <w:p w14:paraId="124912BB"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1988</w:t>
            </w:r>
          </w:p>
        </w:tc>
        <w:tc>
          <w:tcPr>
            <w:tcW w:w="1017" w:type="dxa"/>
            <w:tcBorders>
              <w:left w:val="single" w:sz="4" w:space="0" w:color="auto"/>
            </w:tcBorders>
            <w:shd w:val="clear" w:color="auto" w:fill="auto"/>
            <w:noWrap/>
            <w:vAlign w:val="bottom"/>
            <w:hideMark/>
          </w:tcPr>
          <w:p w14:paraId="1860415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517.54</w:t>
            </w:r>
          </w:p>
        </w:tc>
        <w:tc>
          <w:tcPr>
            <w:tcW w:w="1085" w:type="dxa"/>
            <w:shd w:val="clear" w:color="auto" w:fill="auto"/>
            <w:noWrap/>
            <w:vAlign w:val="bottom"/>
            <w:hideMark/>
          </w:tcPr>
          <w:p w14:paraId="3FB6687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45803.20</w:t>
            </w:r>
          </w:p>
        </w:tc>
        <w:tc>
          <w:tcPr>
            <w:tcW w:w="1085" w:type="dxa"/>
            <w:shd w:val="clear" w:color="auto" w:fill="auto"/>
            <w:noWrap/>
            <w:vAlign w:val="bottom"/>
            <w:hideMark/>
          </w:tcPr>
          <w:p w14:paraId="53D16A6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73150.10</w:t>
            </w:r>
          </w:p>
        </w:tc>
        <w:tc>
          <w:tcPr>
            <w:tcW w:w="959" w:type="dxa"/>
            <w:shd w:val="clear" w:color="auto" w:fill="auto"/>
            <w:noWrap/>
            <w:vAlign w:val="bottom"/>
            <w:hideMark/>
          </w:tcPr>
          <w:p w14:paraId="23EACEF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1016592.68</w:t>
            </w:r>
          </w:p>
        </w:tc>
        <w:tc>
          <w:tcPr>
            <w:tcW w:w="990" w:type="dxa"/>
            <w:shd w:val="clear" w:color="auto" w:fill="auto"/>
            <w:noWrap/>
            <w:vAlign w:val="bottom"/>
            <w:hideMark/>
          </w:tcPr>
          <w:p w14:paraId="0213081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427.09</w:t>
            </w:r>
          </w:p>
        </w:tc>
        <w:tc>
          <w:tcPr>
            <w:tcW w:w="1003" w:type="dxa"/>
            <w:shd w:val="clear" w:color="auto" w:fill="auto"/>
            <w:noWrap/>
            <w:vAlign w:val="bottom"/>
            <w:hideMark/>
          </w:tcPr>
          <w:p w14:paraId="2F2A27D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1174.42</w:t>
            </w:r>
          </w:p>
        </w:tc>
        <w:tc>
          <w:tcPr>
            <w:tcW w:w="1003" w:type="dxa"/>
            <w:shd w:val="clear" w:color="auto" w:fill="auto"/>
            <w:noWrap/>
            <w:vAlign w:val="bottom"/>
            <w:hideMark/>
          </w:tcPr>
          <w:p w14:paraId="7F46E92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1510.98</w:t>
            </w:r>
          </w:p>
        </w:tc>
        <w:tc>
          <w:tcPr>
            <w:tcW w:w="875" w:type="dxa"/>
            <w:shd w:val="clear" w:color="auto" w:fill="auto"/>
            <w:noWrap/>
            <w:vAlign w:val="bottom"/>
            <w:hideMark/>
          </w:tcPr>
          <w:p w14:paraId="5E6C492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6370.84</w:t>
            </w:r>
          </w:p>
        </w:tc>
        <w:tc>
          <w:tcPr>
            <w:tcW w:w="944" w:type="dxa"/>
            <w:shd w:val="clear" w:color="auto" w:fill="auto"/>
            <w:noWrap/>
            <w:vAlign w:val="bottom"/>
            <w:hideMark/>
          </w:tcPr>
          <w:p w14:paraId="7B40177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2768104.19</w:t>
            </w:r>
          </w:p>
        </w:tc>
      </w:tr>
      <w:tr w:rsidR="00DE5BED" w:rsidRPr="00DE5BED" w14:paraId="59E28559" w14:textId="77777777" w:rsidTr="00DE5BED">
        <w:trPr>
          <w:trHeight w:val="300"/>
        </w:trPr>
        <w:tc>
          <w:tcPr>
            <w:tcW w:w="510" w:type="dxa"/>
            <w:tcBorders>
              <w:right w:val="single" w:sz="4" w:space="0" w:color="auto"/>
            </w:tcBorders>
            <w:shd w:val="clear" w:color="auto" w:fill="auto"/>
            <w:noWrap/>
            <w:vAlign w:val="bottom"/>
            <w:hideMark/>
          </w:tcPr>
          <w:p w14:paraId="6AA07805"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1989</w:t>
            </w:r>
          </w:p>
        </w:tc>
        <w:tc>
          <w:tcPr>
            <w:tcW w:w="1017" w:type="dxa"/>
            <w:tcBorders>
              <w:left w:val="single" w:sz="4" w:space="0" w:color="auto"/>
            </w:tcBorders>
            <w:shd w:val="clear" w:color="auto" w:fill="auto"/>
            <w:noWrap/>
            <w:vAlign w:val="bottom"/>
            <w:hideMark/>
          </w:tcPr>
          <w:p w14:paraId="29293DD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315.32</w:t>
            </w:r>
          </w:p>
        </w:tc>
        <w:tc>
          <w:tcPr>
            <w:tcW w:w="1085" w:type="dxa"/>
            <w:shd w:val="clear" w:color="auto" w:fill="auto"/>
            <w:noWrap/>
            <w:vAlign w:val="bottom"/>
            <w:hideMark/>
          </w:tcPr>
          <w:p w14:paraId="2E3756A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26656.59</w:t>
            </w:r>
          </w:p>
        </w:tc>
        <w:tc>
          <w:tcPr>
            <w:tcW w:w="1085" w:type="dxa"/>
            <w:shd w:val="clear" w:color="auto" w:fill="auto"/>
            <w:noWrap/>
            <w:vAlign w:val="bottom"/>
            <w:hideMark/>
          </w:tcPr>
          <w:p w14:paraId="1C02FDF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119209.78</w:t>
            </w:r>
          </w:p>
        </w:tc>
        <w:tc>
          <w:tcPr>
            <w:tcW w:w="959" w:type="dxa"/>
            <w:shd w:val="clear" w:color="auto" w:fill="auto"/>
            <w:noWrap/>
            <w:vAlign w:val="bottom"/>
            <w:hideMark/>
          </w:tcPr>
          <w:p w14:paraId="39D584E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1063197.96</w:t>
            </w:r>
          </w:p>
        </w:tc>
        <w:tc>
          <w:tcPr>
            <w:tcW w:w="990" w:type="dxa"/>
            <w:shd w:val="clear" w:color="auto" w:fill="auto"/>
            <w:noWrap/>
            <w:vAlign w:val="bottom"/>
            <w:hideMark/>
          </w:tcPr>
          <w:p w14:paraId="4F59920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627.45</w:t>
            </w:r>
          </w:p>
        </w:tc>
        <w:tc>
          <w:tcPr>
            <w:tcW w:w="1003" w:type="dxa"/>
            <w:shd w:val="clear" w:color="auto" w:fill="auto"/>
            <w:noWrap/>
            <w:vAlign w:val="bottom"/>
            <w:hideMark/>
          </w:tcPr>
          <w:p w14:paraId="3A42E74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1935.30</w:t>
            </w:r>
          </w:p>
        </w:tc>
        <w:tc>
          <w:tcPr>
            <w:tcW w:w="1003" w:type="dxa"/>
            <w:shd w:val="clear" w:color="auto" w:fill="auto"/>
            <w:noWrap/>
            <w:vAlign w:val="bottom"/>
            <w:hideMark/>
          </w:tcPr>
          <w:p w14:paraId="33AFBAD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1985.91</w:t>
            </w:r>
          </w:p>
        </w:tc>
        <w:tc>
          <w:tcPr>
            <w:tcW w:w="875" w:type="dxa"/>
            <w:shd w:val="clear" w:color="auto" w:fill="auto"/>
            <w:noWrap/>
            <w:vAlign w:val="bottom"/>
            <w:hideMark/>
          </w:tcPr>
          <w:p w14:paraId="779F32A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5836.60</w:t>
            </w:r>
          </w:p>
        </w:tc>
        <w:tc>
          <w:tcPr>
            <w:tcW w:w="944" w:type="dxa"/>
            <w:shd w:val="clear" w:color="auto" w:fill="auto"/>
            <w:noWrap/>
            <w:vAlign w:val="bottom"/>
            <w:hideMark/>
          </w:tcPr>
          <w:p w14:paraId="3167102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2693886.12</w:t>
            </w:r>
          </w:p>
        </w:tc>
      </w:tr>
      <w:tr w:rsidR="00DE5BED" w:rsidRPr="00DE5BED" w14:paraId="22D6498E" w14:textId="77777777" w:rsidTr="00DE5BED">
        <w:trPr>
          <w:trHeight w:val="300"/>
        </w:trPr>
        <w:tc>
          <w:tcPr>
            <w:tcW w:w="510" w:type="dxa"/>
            <w:tcBorders>
              <w:right w:val="single" w:sz="4" w:space="0" w:color="auto"/>
            </w:tcBorders>
            <w:shd w:val="clear" w:color="auto" w:fill="auto"/>
            <w:noWrap/>
            <w:vAlign w:val="bottom"/>
            <w:hideMark/>
          </w:tcPr>
          <w:p w14:paraId="62228C7C"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1990</w:t>
            </w:r>
          </w:p>
        </w:tc>
        <w:tc>
          <w:tcPr>
            <w:tcW w:w="1017" w:type="dxa"/>
            <w:tcBorders>
              <w:left w:val="single" w:sz="4" w:space="0" w:color="auto"/>
            </w:tcBorders>
            <w:shd w:val="clear" w:color="auto" w:fill="auto"/>
            <w:noWrap/>
            <w:vAlign w:val="bottom"/>
            <w:hideMark/>
          </w:tcPr>
          <w:p w14:paraId="6274532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262.37</w:t>
            </w:r>
          </w:p>
        </w:tc>
        <w:tc>
          <w:tcPr>
            <w:tcW w:w="1085" w:type="dxa"/>
            <w:shd w:val="clear" w:color="auto" w:fill="auto"/>
            <w:noWrap/>
            <w:vAlign w:val="bottom"/>
            <w:hideMark/>
          </w:tcPr>
          <w:p w14:paraId="23A5E9E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32542.37</w:t>
            </w:r>
          </w:p>
        </w:tc>
        <w:tc>
          <w:tcPr>
            <w:tcW w:w="1085" w:type="dxa"/>
            <w:shd w:val="clear" w:color="auto" w:fill="auto"/>
            <w:noWrap/>
            <w:vAlign w:val="bottom"/>
            <w:hideMark/>
          </w:tcPr>
          <w:p w14:paraId="2F0B701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102105.26</w:t>
            </w:r>
          </w:p>
        </w:tc>
        <w:tc>
          <w:tcPr>
            <w:tcW w:w="959" w:type="dxa"/>
            <w:shd w:val="clear" w:color="auto" w:fill="auto"/>
            <w:noWrap/>
            <w:vAlign w:val="bottom"/>
            <w:hideMark/>
          </w:tcPr>
          <w:p w14:paraId="64D7805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1150230.45</w:t>
            </w:r>
          </w:p>
        </w:tc>
        <w:tc>
          <w:tcPr>
            <w:tcW w:w="990" w:type="dxa"/>
            <w:shd w:val="clear" w:color="auto" w:fill="auto"/>
            <w:noWrap/>
            <w:vAlign w:val="bottom"/>
            <w:hideMark/>
          </w:tcPr>
          <w:p w14:paraId="3A63519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510.01</w:t>
            </w:r>
          </w:p>
        </w:tc>
        <w:tc>
          <w:tcPr>
            <w:tcW w:w="1003" w:type="dxa"/>
            <w:shd w:val="clear" w:color="auto" w:fill="auto"/>
            <w:noWrap/>
            <w:vAlign w:val="bottom"/>
            <w:hideMark/>
          </w:tcPr>
          <w:p w14:paraId="0F3EBCD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1624.25</w:t>
            </w:r>
          </w:p>
        </w:tc>
        <w:tc>
          <w:tcPr>
            <w:tcW w:w="1003" w:type="dxa"/>
            <w:shd w:val="clear" w:color="auto" w:fill="auto"/>
            <w:noWrap/>
            <w:vAlign w:val="bottom"/>
            <w:hideMark/>
          </w:tcPr>
          <w:p w14:paraId="74E0596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1167.70</w:t>
            </w:r>
          </w:p>
        </w:tc>
        <w:tc>
          <w:tcPr>
            <w:tcW w:w="875" w:type="dxa"/>
            <w:shd w:val="clear" w:color="auto" w:fill="auto"/>
            <w:noWrap/>
            <w:vAlign w:val="bottom"/>
            <w:hideMark/>
          </w:tcPr>
          <w:p w14:paraId="5DD2AC9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6003.57</w:t>
            </w:r>
          </w:p>
        </w:tc>
        <w:tc>
          <w:tcPr>
            <w:tcW w:w="944" w:type="dxa"/>
            <w:shd w:val="clear" w:color="auto" w:fill="auto"/>
            <w:noWrap/>
            <w:vAlign w:val="bottom"/>
            <w:hideMark/>
          </w:tcPr>
          <w:p w14:paraId="7633231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2619205.06</w:t>
            </w:r>
          </w:p>
        </w:tc>
      </w:tr>
      <w:tr w:rsidR="00DE5BED" w:rsidRPr="00DE5BED" w14:paraId="219DE6B6" w14:textId="77777777" w:rsidTr="00DE5BED">
        <w:trPr>
          <w:trHeight w:val="300"/>
        </w:trPr>
        <w:tc>
          <w:tcPr>
            <w:tcW w:w="510" w:type="dxa"/>
            <w:tcBorders>
              <w:right w:val="single" w:sz="4" w:space="0" w:color="auto"/>
            </w:tcBorders>
            <w:shd w:val="clear" w:color="auto" w:fill="auto"/>
            <w:noWrap/>
            <w:vAlign w:val="bottom"/>
            <w:hideMark/>
          </w:tcPr>
          <w:p w14:paraId="11D08D8D"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1991</w:t>
            </w:r>
          </w:p>
        </w:tc>
        <w:tc>
          <w:tcPr>
            <w:tcW w:w="1017" w:type="dxa"/>
            <w:tcBorders>
              <w:left w:val="single" w:sz="4" w:space="0" w:color="auto"/>
            </w:tcBorders>
            <w:shd w:val="clear" w:color="auto" w:fill="auto"/>
            <w:noWrap/>
            <w:vAlign w:val="bottom"/>
            <w:hideMark/>
          </w:tcPr>
          <w:p w14:paraId="08D3203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176.62</w:t>
            </w:r>
          </w:p>
        </w:tc>
        <w:tc>
          <w:tcPr>
            <w:tcW w:w="1085" w:type="dxa"/>
            <w:shd w:val="clear" w:color="auto" w:fill="auto"/>
            <w:noWrap/>
            <w:vAlign w:val="bottom"/>
            <w:hideMark/>
          </w:tcPr>
          <w:p w14:paraId="26875DC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35474.19</w:t>
            </w:r>
          </w:p>
        </w:tc>
        <w:tc>
          <w:tcPr>
            <w:tcW w:w="1085" w:type="dxa"/>
            <w:shd w:val="clear" w:color="auto" w:fill="auto"/>
            <w:noWrap/>
            <w:vAlign w:val="bottom"/>
            <w:hideMark/>
          </w:tcPr>
          <w:p w14:paraId="3224A06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102096.33</w:t>
            </w:r>
          </w:p>
        </w:tc>
        <w:tc>
          <w:tcPr>
            <w:tcW w:w="959" w:type="dxa"/>
            <w:shd w:val="clear" w:color="auto" w:fill="auto"/>
            <w:noWrap/>
            <w:vAlign w:val="bottom"/>
            <w:hideMark/>
          </w:tcPr>
          <w:p w14:paraId="422ABA2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1217194.91</w:t>
            </w:r>
          </w:p>
        </w:tc>
        <w:tc>
          <w:tcPr>
            <w:tcW w:w="990" w:type="dxa"/>
            <w:shd w:val="clear" w:color="auto" w:fill="auto"/>
            <w:noWrap/>
            <w:vAlign w:val="bottom"/>
            <w:hideMark/>
          </w:tcPr>
          <w:p w14:paraId="7C354EF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576.87</w:t>
            </w:r>
          </w:p>
        </w:tc>
        <w:tc>
          <w:tcPr>
            <w:tcW w:w="1003" w:type="dxa"/>
            <w:shd w:val="clear" w:color="auto" w:fill="auto"/>
            <w:noWrap/>
            <w:vAlign w:val="bottom"/>
            <w:hideMark/>
          </w:tcPr>
          <w:p w14:paraId="2423A59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1799.76</w:t>
            </w:r>
          </w:p>
        </w:tc>
        <w:tc>
          <w:tcPr>
            <w:tcW w:w="1003" w:type="dxa"/>
            <w:shd w:val="clear" w:color="auto" w:fill="auto"/>
            <w:noWrap/>
            <w:vAlign w:val="bottom"/>
            <w:hideMark/>
          </w:tcPr>
          <w:p w14:paraId="069534F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1173.87</w:t>
            </w:r>
          </w:p>
        </w:tc>
        <w:tc>
          <w:tcPr>
            <w:tcW w:w="875" w:type="dxa"/>
            <w:shd w:val="clear" w:color="auto" w:fill="auto"/>
            <w:noWrap/>
            <w:vAlign w:val="bottom"/>
            <w:hideMark/>
          </w:tcPr>
          <w:p w14:paraId="251D41F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5057.00</w:t>
            </w:r>
          </w:p>
        </w:tc>
        <w:tc>
          <w:tcPr>
            <w:tcW w:w="944" w:type="dxa"/>
            <w:shd w:val="clear" w:color="auto" w:fill="auto"/>
            <w:noWrap/>
            <w:vAlign w:val="bottom"/>
            <w:hideMark/>
          </w:tcPr>
          <w:p w14:paraId="6E788BF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2550101.48</w:t>
            </w:r>
          </w:p>
        </w:tc>
      </w:tr>
      <w:tr w:rsidR="00DE5BED" w:rsidRPr="00DE5BED" w14:paraId="3718015A" w14:textId="77777777" w:rsidTr="00DE5BED">
        <w:trPr>
          <w:trHeight w:val="300"/>
        </w:trPr>
        <w:tc>
          <w:tcPr>
            <w:tcW w:w="510" w:type="dxa"/>
            <w:tcBorders>
              <w:right w:val="single" w:sz="4" w:space="0" w:color="auto"/>
            </w:tcBorders>
            <w:shd w:val="clear" w:color="auto" w:fill="auto"/>
            <w:noWrap/>
            <w:vAlign w:val="bottom"/>
            <w:hideMark/>
          </w:tcPr>
          <w:p w14:paraId="41A88A4A"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1992</w:t>
            </w:r>
          </w:p>
        </w:tc>
        <w:tc>
          <w:tcPr>
            <w:tcW w:w="1017" w:type="dxa"/>
            <w:tcBorders>
              <w:left w:val="single" w:sz="4" w:space="0" w:color="auto"/>
            </w:tcBorders>
            <w:shd w:val="clear" w:color="auto" w:fill="auto"/>
            <w:noWrap/>
            <w:vAlign w:val="bottom"/>
            <w:hideMark/>
          </w:tcPr>
          <w:p w14:paraId="79CE1F3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123.39</w:t>
            </w:r>
          </w:p>
        </w:tc>
        <w:tc>
          <w:tcPr>
            <w:tcW w:w="1085" w:type="dxa"/>
            <w:shd w:val="clear" w:color="auto" w:fill="auto"/>
            <w:noWrap/>
            <w:vAlign w:val="bottom"/>
            <w:hideMark/>
          </w:tcPr>
          <w:p w14:paraId="73911F4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17147.56</w:t>
            </w:r>
          </w:p>
        </w:tc>
        <w:tc>
          <w:tcPr>
            <w:tcW w:w="1085" w:type="dxa"/>
            <w:shd w:val="clear" w:color="auto" w:fill="auto"/>
            <w:noWrap/>
            <w:vAlign w:val="bottom"/>
            <w:hideMark/>
          </w:tcPr>
          <w:p w14:paraId="2169E8F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87149.97</w:t>
            </w:r>
          </w:p>
        </w:tc>
        <w:tc>
          <w:tcPr>
            <w:tcW w:w="959" w:type="dxa"/>
            <w:shd w:val="clear" w:color="auto" w:fill="auto"/>
            <w:noWrap/>
            <w:vAlign w:val="bottom"/>
            <w:hideMark/>
          </w:tcPr>
          <w:p w14:paraId="771A530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1302597.16</w:t>
            </w:r>
          </w:p>
        </w:tc>
        <w:tc>
          <w:tcPr>
            <w:tcW w:w="990" w:type="dxa"/>
            <w:shd w:val="clear" w:color="auto" w:fill="auto"/>
            <w:noWrap/>
            <w:vAlign w:val="bottom"/>
            <w:hideMark/>
          </w:tcPr>
          <w:p w14:paraId="47EFCF1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418.04</w:t>
            </w:r>
          </w:p>
        </w:tc>
        <w:tc>
          <w:tcPr>
            <w:tcW w:w="1003" w:type="dxa"/>
            <w:shd w:val="clear" w:color="auto" w:fill="auto"/>
            <w:noWrap/>
            <w:vAlign w:val="bottom"/>
            <w:hideMark/>
          </w:tcPr>
          <w:p w14:paraId="55E985B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1321.09</w:t>
            </w:r>
          </w:p>
        </w:tc>
        <w:tc>
          <w:tcPr>
            <w:tcW w:w="1003" w:type="dxa"/>
            <w:shd w:val="clear" w:color="auto" w:fill="auto"/>
            <w:noWrap/>
            <w:vAlign w:val="bottom"/>
            <w:hideMark/>
          </w:tcPr>
          <w:p w14:paraId="7ABCADA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1562.94</w:t>
            </w:r>
          </w:p>
        </w:tc>
        <w:tc>
          <w:tcPr>
            <w:tcW w:w="875" w:type="dxa"/>
            <w:shd w:val="clear" w:color="auto" w:fill="auto"/>
            <w:noWrap/>
            <w:vAlign w:val="bottom"/>
            <w:hideMark/>
          </w:tcPr>
          <w:p w14:paraId="335FB60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4668.37</w:t>
            </w:r>
          </w:p>
        </w:tc>
        <w:tc>
          <w:tcPr>
            <w:tcW w:w="944" w:type="dxa"/>
            <w:shd w:val="clear" w:color="auto" w:fill="auto"/>
            <w:noWrap/>
            <w:vAlign w:val="bottom"/>
            <w:hideMark/>
          </w:tcPr>
          <w:p w14:paraId="79D68E2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2498662.52</w:t>
            </w:r>
          </w:p>
        </w:tc>
      </w:tr>
      <w:tr w:rsidR="00DE5BED" w:rsidRPr="00DE5BED" w14:paraId="1550A632" w14:textId="77777777" w:rsidTr="00DE5BED">
        <w:trPr>
          <w:trHeight w:val="300"/>
        </w:trPr>
        <w:tc>
          <w:tcPr>
            <w:tcW w:w="510" w:type="dxa"/>
            <w:tcBorders>
              <w:right w:val="single" w:sz="4" w:space="0" w:color="auto"/>
            </w:tcBorders>
            <w:shd w:val="clear" w:color="auto" w:fill="auto"/>
            <w:noWrap/>
            <w:vAlign w:val="bottom"/>
            <w:hideMark/>
          </w:tcPr>
          <w:p w14:paraId="2EF8A05B"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1993</w:t>
            </w:r>
          </w:p>
        </w:tc>
        <w:tc>
          <w:tcPr>
            <w:tcW w:w="1017" w:type="dxa"/>
            <w:tcBorders>
              <w:left w:val="single" w:sz="4" w:space="0" w:color="auto"/>
            </w:tcBorders>
            <w:shd w:val="clear" w:color="auto" w:fill="auto"/>
            <w:noWrap/>
            <w:vAlign w:val="bottom"/>
            <w:hideMark/>
          </w:tcPr>
          <w:p w14:paraId="132C818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262.26</w:t>
            </w:r>
          </w:p>
        </w:tc>
        <w:tc>
          <w:tcPr>
            <w:tcW w:w="1085" w:type="dxa"/>
            <w:shd w:val="clear" w:color="auto" w:fill="auto"/>
            <w:noWrap/>
            <w:vAlign w:val="bottom"/>
            <w:hideMark/>
          </w:tcPr>
          <w:p w14:paraId="2D72C46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13109.34</w:t>
            </w:r>
          </w:p>
        </w:tc>
        <w:tc>
          <w:tcPr>
            <w:tcW w:w="1085" w:type="dxa"/>
            <w:shd w:val="clear" w:color="auto" w:fill="auto"/>
            <w:noWrap/>
            <w:vAlign w:val="bottom"/>
            <w:hideMark/>
          </w:tcPr>
          <w:p w14:paraId="26E6915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78408.54</w:t>
            </w:r>
          </w:p>
        </w:tc>
        <w:tc>
          <w:tcPr>
            <w:tcW w:w="959" w:type="dxa"/>
            <w:shd w:val="clear" w:color="auto" w:fill="auto"/>
            <w:noWrap/>
            <w:vAlign w:val="bottom"/>
            <w:hideMark/>
          </w:tcPr>
          <w:p w14:paraId="7663A21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1376793.57</w:t>
            </w:r>
          </w:p>
        </w:tc>
        <w:tc>
          <w:tcPr>
            <w:tcW w:w="990" w:type="dxa"/>
            <w:shd w:val="clear" w:color="auto" w:fill="auto"/>
            <w:noWrap/>
            <w:vAlign w:val="bottom"/>
            <w:hideMark/>
          </w:tcPr>
          <w:p w14:paraId="674DDEC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301.94</w:t>
            </w:r>
          </w:p>
        </w:tc>
        <w:tc>
          <w:tcPr>
            <w:tcW w:w="1003" w:type="dxa"/>
            <w:shd w:val="clear" w:color="auto" w:fill="auto"/>
            <w:noWrap/>
            <w:vAlign w:val="bottom"/>
            <w:hideMark/>
          </w:tcPr>
          <w:p w14:paraId="3168B93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1074.98</w:t>
            </w:r>
          </w:p>
        </w:tc>
        <w:tc>
          <w:tcPr>
            <w:tcW w:w="1003" w:type="dxa"/>
            <w:shd w:val="clear" w:color="auto" w:fill="auto"/>
            <w:noWrap/>
            <w:vAlign w:val="bottom"/>
            <w:hideMark/>
          </w:tcPr>
          <w:p w14:paraId="1997021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1703.85</w:t>
            </w:r>
          </w:p>
        </w:tc>
        <w:tc>
          <w:tcPr>
            <w:tcW w:w="875" w:type="dxa"/>
            <w:shd w:val="clear" w:color="auto" w:fill="auto"/>
            <w:noWrap/>
            <w:vAlign w:val="bottom"/>
            <w:hideMark/>
          </w:tcPr>
          <w:p w14:paraId="51374D1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4977.78</w:t>
            </w:r>
          </w:p>
        </w:tc>
        <w:tc>
          <w:tcPr>
            <w:tcW w:w="944" w:type="dxa"/>
            <w:shd w:val="clear" w:color="auto" w:fill="auto"/>
            <w:noWrap/>
            <w:vAlign w:val="bottom"/>
            <w:hideMark/>
          </w:tcPr>
          <w:p w14:paraId="51967D4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2437018.78</w:t>
            </w:r>
          </w:p>
        </w:tc>
      </w:tr>
      <w:tr w:rsidR="00DE5BED" w:rsidRPr="00DE5BED" w14:paraId="772FE1E9" w14:textId="77777777" w:rsidTr="00DE5BED">
        <w:trPr>
          <w:trHeight w:val="300"/>
        </w:trPr>
        <w:tc>
          <w:tcPr>
            <w:tcW w:w="510" w:type="dxa"/>
            <w:tcBorders>
              <w:right w:val="single" w:sz="4" w:space="0" w:color="auto"/>
            </w:tcBorders>
            <w:shd w:val="clear" w:color="auto" w:fill="auto"/>
            <w:noWrap/>
            <w:vAlign w:val="bottom"/>
            <w:hideMark/>
          </w:tcPr>
          <w:p w14:paraId="520495BE"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1994</w:t>
            </w:r>
          </w:p>
        </w:tc>
        <w:tc>
          <w:tcPr>
            <w:tcW w:w="1017" w:type="dxa"/>
            <w:tcBorders>
              <w:left w:val="single" w:sz="4" w:space="0" w:color="auto"/>
            </w:tcBorders>
            <w:shd w:val="clear" w:color="auto" w:fill="auto"/>
            <w:noWrap/>
            <w:vAlign w:val="bottom"/>
            <w:hideMark/>
          </w:tcPr>
          <w:p w14:paraId="14F1821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360.05</w:t>
            </w:r>
          </w:p>
        </w:tc>
        <w:tc>
          <w:tcPr>
            <w:tcW w:w="1085" w:type="dxa"/>
            <w:shd w:val="clear" w:color="auto" w:fill="auto"/>
            <w:noWrap/>
            <w:vAlign w:val="bottom"/>
            <w:hideMark/>
          </w:tcPr>
          <w:p w14:paraId="1018DE6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17473.24</w:t>
            </w:r>
          </w:p>
        </w:tc>
        <w:tc>
          <w:tcPr>
            <w:tcW w:w="1085" w:type="dxa"/>
            <w:shd w:val="clear" w:color="auto" w:fill="auto"/>
            <w:noWrap/>
            <w:vAlign w:val="bottom"/>
            <w:hideMark/>
          </w:tcPr>
          <w:p w14:paraId="2518459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74373.19</w:t>
            </w:r>
          </w:p>
        </w:tc>
        <w:tc>
          <w:tcPr>
            <w:tcW w:w="959" w:type="dxa"/>
            <w:shd w:val="clear" w:color="auto" w:fill="auto"/>
            <w:noWrap/>
            <w:vAlign w:val="bottom"/>
            <w:hideMark/>
          </w:tcPr>
          <w:p w14:paraId="2F33AD7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1437670.77</w:t>
            </w:r>
          </w:p>
        </w:tc>
        <w:tc>
          <w:tcPr>
            <w:tcW w:w="990" w:type="dxa"/>
            <w:shd w:val="clear" w:color="auto" w:fill="auto"/>
            <w:noWrap/>
            <w:vAlign w:val="bottom"/>
            <w:hideMark/>
          </w:tcPr>
          <w:p w14:paraId="6C91A93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325.38</w:t>
            </w:r>
          </w:p>
        </w:tc>
        <w:tc>
          <w:tcPr>
            <w:tcW w:w="1003" w:type="dxa"/>
            <w:shd w:val="clear" w:color="auto" w:fill="auto"/>
            <w:noWrap/>
            <w:vAlign w:val="bottom"/>
            <w:hideMark/>
          </w:tcPr>
          <w:p w14:paraId="2B162CD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1226.99</w:t>
            </w:r>
          </w:p>
        </w:tc>
        <w:tc>
          <w:tcPr>
            <w:tcW w:w="1003" w:type="dxa"/>
            <w:shd w:val="clear" w:color="auto" w:fill="auto"/>
            <w:noWrap/>
            <w:vAlign w:val="bottom"/>
            <w:hideMark/>
          </w:tcPr>
          <w:p w14:paraId="0CC2862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2788.86</w:t>
            </w:r>
          </w:p>
        </w:tc>
        <w:tc>
          <w:tcPr>
            <w:tcW w:w="875" w:type="dxa"/>
            <w:shd w:val="clear" w:color="auto" w:fill="auto"/>
            <w:noWrap/>
            <w:vAlign w:val="bottom"/>
            <w:hideMark/>
          </w:tcPr>
          <w:p w14:paraId="1DA238E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5391.52</w:t>
            </w:r>
          </w:p>
        </w:tc>
        <w:tc>
          <w:tcPr>
            <w:tcW w:w="944" w:type="dxa"/>
            <w:shd w:val="clear" w:color="auto" w:fill="auto"/>
            <w:noWrap/>
            <w:vAlign w:val="bottom"/>
            <w:hideMark/>
          </w:tcPr>
          <w:p w14:paraId="736EA7F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2374041.05</w:t>
            </w:r>
          </w:p>
        </w:tc>
      </w:tr>
      <w:tr w:rsidR="00DE5BED" w:rsidRPr="00DE5BED" w14:paraId="4775FC84" w14:textId="77777777" w:rsidTr="00DE5BED">
        <w:trPr>
          <w:trHeight w:val="300"/>
        </w:trPr>
        <w:tc>
          <w:tcPr>
            <w:tcW w:w="510" w:type="dxa"/>
            <w:tcBorders>
              <w:right w:val="single" w:sz="4" w:space="0" w:color="auto"/>
            </w:tcBorders>
            <w:shd w:val="clear" w:color="auto" w:fill="auto"/>
            <w:noWrap/>
            <w:vAlign w:val="bottom"/>
            <w:hideMark/>
          </w:tcPr>
          <w:p w14:paraId="02FAA6A7"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1995</w:t>
            </w:r>
          </w:p>
        </w:tc>
        <w:tc>
          <w:tcPr>
            <w:tcW w:w="1017" w:type="dxa"/>
            <w:tcBorders>
              <w:left w:val="single" w:sz="4" w:space="0" w:color="auto"/>
            </w:tcBorders>
            <w:shd w:val="clear" w:color="auto" w:fill="auto"/>
            <w:noWrap/>
            <w:vAlign w:val="bottom"/>
            <w:hideMark/>
          </w:tcPr>
          <w:p w14:paraId="64D803A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239.36</w:t>
            </w:r>
          </w:p>
        </w:tc>
        <w:tc>
          <w:tcPr>
            <w:tcW w:w="1085" w:type="dxa"/>
            <w:shd w:val="clear" w:color="auto" w:fill="auto"/>
            <w:noWrap/>
            <w:vAlign w:val="bottom"/>
            <w:hideMark/>
          </w:tcPr>
          <w:p w14:paraId="4E10CCE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15002.31</w:t>
            </w:r>
          </w:p>
        </w:tc>
        <w:tc>
          <w:tcPr>
            <w:tcW w:w="1085" w:type="dxa"/>
            <w:shd w:val="clear" w:color="auto" w:fill="auto"/>
            <w:noWrap/>
            <w:vAlign w:val="bottom"/>
            <w:hideMark/>
          </w:tcPr>
          <w:p w14:paraId="7590887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66304.20</w:t>
            </w:r>
          </w:p>
        </w:tc>
        <w:tc>
          <w:tcPr>
            <w:tcW w:w="959" w:type="dxa"/>
            <w:shd w:val="clear" w:color="auto" w:fill="auto"/>
            <w:noWrap/>
            <w:vAlign w:val="bottom"/>
            <w:hideMark/>
          </w:tcPr>
          <w:p w14:paraId="44D0F87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1497127.66</w:t>
            </w:r>
          </w:p>
        </w:tc>
        <w:tc>
          <w:tcPr>
            <w:tcW w:w="990" w:type="dxa"/>
            <w:shd w:val="clear" w:color="auto" w:fill="auto"/>
            <w:noWrap/>
            <w:vAlign w:val="bottom"/>
            <w:hideMark/>
          </w:tcPr>
          <w:p w14:paraId="1FD85A4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478.99</w:t>
            </w:r>
          </w:p>
        </w:tc>
        <w:tc>
          <w:tcPr>
            <w:tcW w:w="1003" w:type="dxa"/>
            <w:shd w:val="clear" w:color="auto" w:fill="auto"/>
            <w:noWrap/>
            <w:vAlign w:val="bottom"/>
            <w:hideMark/>
          </w:tcPr>
          <w:p w14:paraId="4A0C0AF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1465.47</w:t>
            </w:r>
          </w:p>
        </w:tc>
        <w:tc>
          <w:tcPr>
            <w:tcW w:w="1003" w:type="dxa"/>
            <w:shd w:val="clear" w:color="auto" w:fill="auto"/>
            <w:noWrap/>
            <w:vAlign w:val="bottom"/>
            <w:hideMark/>
          </w:tcPr>
          <w:p w14:paraId="4B0E8AC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2359.66</w:t>
            </w:r>
          </w:p>
        </w:tc>
        <w:tc>
          <w:tcPr>
            <w:tcW w:w="875" w:type="dxa"/>
            <w:shd w:val="clear" w:color="auto" w:fill="auto"/>
            <w:noWrap/>
            <w:vAlign w:val="bottom"/>
            <w:hideMark/>
          </w:tcPr>
          <w:p w14:paraId="07EE488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6595.97</w:t>
            </w:r>
          </w:p>
        </w:tc>
        <w:tc>
          <w:tcPr>
            <w:tcW w:w="944" w:type="dxa"/>
            <w:shd w:val="clear" w:color="auto" w:fill="auto"/>
            <w:noWrap/>
            <w:vAlign w:val="bottom"/>
            <w:hideMark/>
          </w:tcPr>
          <w:p w14:paraId="5B61869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2324077.42</w:t>
            </w:r>
          </w:p>
        </w:tc>
      </w:tr>
      <w:tr w:rsidR="00DE5BED" w:rsidRPr="00DE5BED" w14:paraId="7AE39DC7" w14:textId="77777777" w:rsidTr="00DE5BED">
        <w:trPr>
          <w:trHeight w:val="300"/>
        </w:trPr>
        <w:tc>
          <w:tcPr>
            <w:tcW w:w="510" w:type="dxa"/>
            <w:tcBorders>
              <w:right w:val="single" w:sz="4" w:space="0" w:color="auto"/>
            </w:tcBorders>
            <w:shd w:val="clear" w:color="auto" w:fill="auto"/>
            <w:noWrap/>
            <w:vAlign w:val="bottom"/>
            <w:hideMark/>
          </w:tcPr>
          <w:p w14:paraId="146538BC"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1996</w:t>
            </w:r>
          </w:p>
        </w:tc>
        <w:tc>
          <w:tcPr>
            <w:tcW w:w="1017" w:type="dxa"/>
            <w:tcBorders>
              <w:left w:val="single" w:sz="4" w:space="0" w:color="auto"/>
            </w:tcBorders>
            <w:shd w:val="clear" w:color="auto" w:fill="auto"/>
            <w:noWrap/>
            <w:vAlign w:val="bottom"/>
            <w:hideMark/>
          </w:tcPr>
          <w:p w14:paraId="0A3E438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305.79</w:t>
            </w:r>
          </w:p>
        </w:tc>
        <w:tc>
          <w:tcPr>
            <w:tcW w:w="1085" w:type="dxa"/>
            <w:shd w:val="clear" w:color="auto" w:fill="auto"/>
            <w:noWrap/>
            <w:vAlign w:val="bottom"/>
            <w:hideMark/>
          </w:tcPr>
          <w:p w14:paraId="11B1C44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14154.52</w:t>
            </w:r>
          </w:p>
        </w:tc>
        <w:tc>
          <w:tcPr>
            <w:tcW w:w="1085" w:type="dxa"/>
            <w:shd w:val="clear" w:color="auto" w:fill="auto"/>
            <w:noWrap/>
            <w:vAlign w:val="bottom"/>
            <w:hideMark/>
          </w:tcPr>
          <w:p w14:paraId="6BC4762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61885.67</w:t>
            </w:r>
          </w:p>
        </w:tc>
        <w:tc>
          <w:tcPr>
            <w:tcW w:w="959" w:type="dxa"/>
            <w:shd w:val="clear" w:color="auto" w:fill="auto"/>
            <w:noWrap/>
            <w:vAlign w:val="bottom"/>
            <w:hideMark/>
          </w:tcPr>
          <w:p w14:paraId="6AF6324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1549450.53</w:t>
            </w:r>
          </w:p>
        </w:tc>
        <w:tc>
          <w:tcPr>
            <w:tcW w:w="990" w:type="dxa"/>
            <w:shd w:val="clear" w:color="auto" w:fill="auto"/>
            <w:noWrap/>
            <w:vAlign w:val="bottom"/>
            <w:hideMark/>
          </w:tcPr>
          <w:p w14:paraId="01F4965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679.54</w:t>
            </w:r>
          </w:p>
        </w:tc>
        <w:tc>
          <w:tcPr>
            <w:tcW w:w="1003" w:type="dxa"/>
            <w:shd w:val="clear" w:color="auto" w:fill="auto"/>
            <w:noWrap/>
            <w:vAlign w:val="bottom"/>
            <w:hideMark/>
          </w:tcPr>
          <w:p w14:paraId="1F38E79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1602.83</w:t>
            </w:r>
          </w:p>
        </w:tc>
        <w:tc>
          <w:tcPr>
            <w:tcW w:w="1003" w:type="dxa"/>
            <w:shd w:val="clear" w:color="auto" w:fill="auto"/>
            <w:noWrap/>
            <w:vAlign w:val="bottom"/>
            <w:hideMark/>
          </w:tcPr>
          <w:p w14:paraId="65187C9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1943.58</w:t>
            </w:r>
          </w:p>
        </w:tc>
        <w:tc>
          <w:tcPr>
            <w:tcW w:w="875" w:type="dxa"/>
            <w:shd w:val="clear" w:color="auto" w:fill="auto"/>
            <w:noWrap/>
            <w:vAlign w:val="bottom"/>
            <w:hideMark/>
          </w:tcPr>
          <w:p w14:paraId="7770B8A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6912.62</w:t>
            </w:r>
          </w:p>
        </w:tc>
        <w:tc>
          <w:tcPr>
            <w:tcW w:w="944" w:type="dxa"/>
            <w:shd w:val="clear" w:color="auto" w:fill="auto"/>
            <w:noWrap/>
            <w:vAlign w:val="bottom"/>
            <w:hideMark/>
          </w:tcPr>
          <w:p w14:paraId="3A69761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2276715.95</w:t>
            </w:r>
          </w:p>
        </w:tc>
      </w:tr>
      <w:tr w:rsidR="00DE5BED" w:rsidRPr="00DE5BED" w14:paraId="74F9D804" w14:textId="77777777" w:rsidTr="00DE5BED">
        <w:trPr>
          <w:trHeight w:val="300"/>
        </w:trPr>
        <w:tc>
          <w:tcPr>
            <w:tcW w:w="510" w:type="dxa"/>
            <w:tcBorders>
              <w:right w:val="single" w:sz="4" w:space="0" w:color="auto"/>
            </w:tcBorders>
            <w:shd w:val="clear" w:color="auto" w:fill="auto"/>
            <w:noWrap/>
            <w:vAlign w:val="bottom"/>
            <w:hideMark/>
          </w:tcPr>
          <w:p w14:paraId="0928C432"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1997</w:t>
            </w:r>
          </w:p>
        </w:tc>
        <w:tc>
          <w:tcPr>
            <w:tcW w:w="1017" w:type="dxa"/>
            <w:tcBorders>
              <w:left w:val="single" w:sz="4" w:space="0" w:color="auto"/>
            </w:tcBorders>
            <w:shd w:val="clear" w:color="auto" w:fill="auto"/>
            <w:noWrap/>
            <w:vAlign w:val="bottom"/>
            <w:hideMark/>
          </w:tcPr>
          <w:p w14:paraId="7BFB710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626.05</w:t>
            </w:r>
          </w:p>
        </w:tc>
        <w:tc>
          <w:tcPr>
            <w:tcW w:w="1085" w:type="dxa"/>
            <w:shd w:val="clear" w:color="auto" w:fill="auto"/>
            <w:noWrap/>
            <w:vAlign w:val="bottom"/>
            <w:hideMark/>
          </w:tcPr>
          <w:p w14:paraId="782C029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19280.82</w:t>
            </w:r>
          </w:p>
        </w:tc>
        <w:tc>
          <w:tcPr>
            <w:tcW w:w="1085" w:type="dxa"/>
            <w:shd w:val="clear" w:color="auto" w:fill="auto"/>
            <w:noWrap/>
            <w:vAlign w:val="bottom"/>
            <w:hideMark/>
          </w:tcPr>
          <w:p w14:paraId="4B6C4E2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96646.59</w:t>
            </w:r>
          </w:p>
        </w:tc>
        <w:tc>
          <w:tcPr>
            <w:tcW w:w="959" w:type="dxa"/>
            <w:shd w:val="clear" w:color="auto" w:fill="auto"/>
            <w:noWrap/>
            <w:vAlign w:val="bottom"/>
            <w:hideMark/>
          </w:tcPr>
          <w:p w14:paraId="14FFB67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1592108.87</w:t>
            </w:r>
          </w:p>
        </w:tc>
        <w:tc>
          <w:tcPr>
            <w:tcW w:w="990" w:type="dxa"/>
            <w:shd w:val="clear" w:color="auto" w:fill="auto"/>
            <w:noWrap/>
            <w:vAlign w:val="bottom"/>
            <w:hideMark/>
          </w:tcPr>
          <w:p w14:paraId="3106D95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981.49</w:t>
            </w:r>
          </w:p>
        </w:tc>
        <w:tc>
          <w:tcPr>
            <w:tcW w:w="1003" w:type="dxa"/>
            <w:shd w:val="clear" w:color="auto" w:fill="auto"/>
            <w:noWrap/>
            <w:vAlign w:val="bottom"/>
            <w:hideMark/>
          </w:tcPr>
          <w:p w14:paraId="6ECC41E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1920.13</w:t>
            </w:r>
          </w:p>
        </w:tc>
        <w:tc>
          <w:tcPr>
            <w:tcW w:w="1003" w:type="dxa"/>
            <w:shd w:val="clear" w:color="auto" w:fill="auto"/>
            <w:noWrap/>
            <w:vAlign w:val="bottom"/>
            <w:hideMark/>
          </w:tcPr>
          <w:p w14:paraId="2D094BA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2350.45</w:t>
            </w:r>
          </w:p>
        </w:tc>
        <w:tc>
          <w:tcPr>
            <w:tcW w:w="875" w:type="dxa"/>
            <w:shd w:val="clear" w:color="auto" w:fill="auto"/>
            <w:noWrap/>
            <w:vAlign w:val="bottom"/>
            <w:hideMark/>
          </w:tcPr>
          <w:p w14:paraId="58A9295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6260.37</w:t>
            </w:r>
          </w:p>
        </w:tc>
        <w:tc>
          <w:tcPr>
            <w:tcW w:w="944" w:type="dxa"/>
            <w:shd w:val="clear" w:color="auto" w:fill="auto"/>
            <w:noWrap/>
            <w:vAlign w:val="bottom"/>
            <w:hideMark/>
          </w:tcPr>
          <w:p w14:paraId="6CA4450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2193476.25</w:t>
            </w:r>
          </w:p>
        </w:tc>
      </w:tr>
      <w:tr w:rsidR="00DE5BED" w:rsidRPr="00DE5BED" w14:paraId="3CF48489" w14:textId="77777777" w:rsidTr="00DE5BED">
        <w:trPr>
          <w:trHeight w:val="300"/>
        </w:trPr>
        <w:tc>
          <w:tcPr>
            <w:tcW w:w="510" w:type="dxa"/>
            <w:tcBorders>
              <w:right w:val="single" w:sz="4" w:space="0" w:color="auto"/>
            </w:tcBorders>
            <w:shd w:val="clear" w:color="auto" w:fill="auto"/>
            <w:noWrap/>
            <w:vAlign w:val="bottom"/>
            <w:hideMark/>
          </w:tcPr>
          <w:p w14:paraId="2FE0F8A1"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1998</w:t>
            </w:r>
          </w:p>
        </w:tc>
        <w:tc>
          <w:tcPr>
            <w:tcW w:w="1017" w:type="dxa"/>
            <w:tcBorders>
              <w:left w:val="single" w:sz="4" w:space="0" w:color="auto"/>
            </w:tcBorders>
            <w:shd w:val="clear" w:color="auto" w:fill="auto"/>
            <w:noWrap/>
            <w:vAlign w:val="bottom"/>
            <w:hideMark/>
          </w:tcPr>
          <w:p w14:paraId="64AF16F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721.61</w:t>
            </w:r>
          </w:p>
        </w:tc>
        <w:tc>
          <w:tcPr>
            <w:tcW w:w="1085" w:type="dxa"/>
            <w:shd w:val="clear" w:color="auto" w:fill="auto"/>
            <w:noWrap/>
            <w:vAlign w:val="bottom"/>
            <w:hideMark/>
          </w:tcPr>
          <w:p w14:paraId="2C112A2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23082.28</w:t>
            </w:r>
          </w:p>
        </w:tc>
        <w:tc>
          <w:tcPr>
            <w:tcW w:w="1085" w:type="dxa"/>
            <w:shd w:val="clear" w:color="auto" w:fill="auto"/>
            <w:noWrap/>
            <w:vAlign w:val="bottom"/>
            <w:hideMark/>
          </w:tcPr>
          <w:p w14:paraId="298B9A0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98784.55</w:t>
            </w:r>
          </w:p>
        </w:tc>
        <w:tc>
          <w:tcPr>
            <w:tcW w:w="959" w:type="dxa"/>
            <w:shd w:val="clear" w:color="auto" w:fill="auto"/>
            <w:noWrap/>
            <w:vAlign w:val="bottom"/>
            <w:hideMark/>
          </w:tcPr>
          <w:p w14:paraId="6BA1A3C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1665933.06</w:t>
            </w:r>
          </w:p>
        </w:tc>
        <w:tc>
          <w:tcPr>
            <w:tcW w:w="990" w:type="dxa"/>
            <w:shd w:val="clear" w:color="auto" w:fill="auto"/>
            <w:noWrap/>
            <w:vAlign w:val="bottom"/>
            <w:hideMark/>
          </w:tcPr>
          <w:p w14:paraId="33163A2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1040.32</w:t>
            </w:r>
          </w:p>
        </w:tc>
        <w:tc>
          <w:tcPr>
            <w:tcW w:w="1003" w:type="dxa"/>
            <w:shd w:val="clear" w:color="auto" w:fill="auto"/>
            <w:noWrap/>
            <w:vAlign w:val="bottom"/>
            <w:hideMark/>
          </w:tcPr>
          <w:p w14:paraId="76C1D10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1279.71</w:t>
            </w:r>
          </w:p>
        </w:tc>
        <w:tc>
          <w:tcPr>
            <w:tcW w:w="1003" w:type="dxa"/>
            <w:shd w:val="clear" w:color="auto" w:fill="auto"/>
            <w:noWrap/>
            <w:vAlign w:val="bottom"/>
            <w:hideMark/>
          </w:tcPr>
          <w:p w14:paraId="047D7BE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2817.95</w:t>
            </w:r>
          </w:p>
        </w:tc>
        <w:tc>
          <w:tcPr>
            <w:tcW w:w="875" w:type="dxa"/>
            <w:shd w:val="clear" w:color="auto" w:fill="auto"/>
            <w:noWrap/>
            <w:vAlign w:val="bottom"/>
            <w:hideMark/>
          </w:tcPr>
          <w:p w14:paraId="5D06E56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6916.83</w:t>
            </w:r>
          </w:p>
        </w:tc>
        <w:tc>
          <w:tcPr>
            <w:tcW w:w="944" w:type="dxa"/>
            <w:shd w:val="clear" w:color="auto" w:fill="auto"/>
            <w:noWrap/>
            <w:vAlign w:val="bottom"/>
            <w:hideMark/>
          </w:tcPr>
          <w:p w14:paraId="6C9C22E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2113074.72</w:t>
            </w:r>
          </w:p>
        </w:tc>
      </w:tr>
      <w:tr w:rsidR="00DE5BED" w:rsidRPr="00DE5BED" w14:paraId="7F592A65" w14:textId="77777777" w:rsidTr="00DE5BED">
        <w:trPr>
          <w:trHeight w:val="300"/>
        </w:trPr>
        <w:tc>
          <w:tcPr>
            <w:tcW w:w="510" w:type="dxa"/>
            <w:tcBorders>
              <w:right w:val="single" w:sz="4" w:space="0" w:color="auto"/>
            </w:tcBorders>
            <w:shd w:val="clear" w:color="auto" w:fill="auto"/>
            <w:noWrap/>
            <w:vAlign w:val="bottom"/>
            <w:hideMark/>
          </w:tcPr>
          <w:p w14:paraId="0B8D5CA8"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1999</w:t>
            </w:r>
          </w:p>
        </w:tc>
        <w:tc>
          <w:tcPr>
            <w:tcW w:w="1017" w:type="dxa"/>
            <w:tcBorders>
              <w:left w:val="single" w:sz="4" w:space="0" w:color="auto"/>
            </w:tcBorders>
            <w:shd w:val="clear" w:color="auto" w:fill="auto"/>
            <w:noWrap/>
            <w:vAlign w:val="bottom"/>
            <w:hideMark/>
          </w:tcPr>
          <w:p w14:paraId="4928473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1388.07</w:t>
            </w:r>
          </w:p>
        </w:tc>
        <w:tc>
          <w:tcPr>
            <w:tcW w:w="1085" w:type="dxa"/>
            <w:shd w:val="clear" w:color="auto" w:fill="auto"/>
            <w:noWrap/>
            <w:vAlign w:val="bottom"/>
            <w:hideMark/>
          </w:tcPr>
          <w:p w14:paraId="293FD21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29309.75</w:t>
            </w:r>
          </w:p>
        </w:tc>
        <w:tc>
          <w:tcPr>
            <w:tcW w:w="1085" w:type="dxa"/>
            <w:shd w:val="clear" w:color="auto" w:fill="auto"/>
            <w:noWrap/>
            <w:vAlign w:val="bottom"/>
            <w:hideMark/>
          </w:tcPr>
          <w:p w14:paraId="106B3AB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74125.44</w:t>
            </w:r>
          </w:p>
        </w:tc>
        <w:tc>
          <w:tcPr>
            <w:tcW w:w="959" w:type="dxa"/>
            <w:shd w:val="clear" w:color="auto" w:fill="auto"/>
            <w:noWrap/>
            <w:vAlign w:val="bottom"/>
            <w:hideMark/>
          </w:tcPr>
          <w:p w14:paraId="7CB80BB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1735060.11</w:t>
            </w:r>
          </w:p>
        </w:tc>
        <w:tc>
          <w:tcPr>
            <w:tcW w:w="990" w:type="dxa"/>
            <w:shd w:val="clear" w:color="auto" w:fill="auto"/>
            <w:noWrap/>
            <w:vAlign w:val="bottom"/>
            <w:hideMark/>
          </w:tcPr>
          <w:p w14:paraId="3BA757A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879.32</w:t>
            </w:r>
          </w:p>
        </w:tc>
        <w:tc>
          <w:tcPr>
            <w:tcW w:w="1003" w:type="dxa"/>
            <w:shd w:val="clear" w:color="auto" w:fill="auto"/>
            <w:noWrap/>
            <w:vAlign w:val="bottom"/>
            <w:hideMark/>
          </w:tcPr>
          <w:p w14:paraId="1DD9B30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1185.93</w:t>
            </w:r>
          </w:p>
        </w:tc>
        <w:tc>
          <w:tcPr>
            <w:tcW w:w="1003" w:type="dxa"/>
            <w:shd w:val="clear" w:color="auto" w:fill="auto"/>
            <w:noWrap/>
            <w:vAlign w:val="bottom"/>
            <w:hideMark/>
          </w:tcPr>
          <w:p w14:paraId="43B4D5F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3625.09</w:t>
            </w:r>
          </w:p>
        </w:tc>
        <w:tc>
          <w:tcPr>
            <w:tcW w:w="875" w:type="dxa"/>
            <w:shd w:val="clear" w:color="auto" w:fill="auto"/>
            <w:noWrap/>
            <w:vAlign w:val="bottom"/>
            <w:hideMark/>
          </w:tcPr>
          <w:p w14:paraId="0B819C8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8391.14</w:t>
            </w:r>
          </w:p>
        </w:tc>
        <w:tc>
          <w:tcPr>
            <w:tcW w:w="944" w:type="dxa"/>
            <w:shd w:val="clear" w:color="auto" w:fill="auto"/>
            <w:noWrap/>
            <w:vAlign w:val="bottom"/>
            <w:hideMark/>
          </w:tcPr>
          <w:p w14:paraId="065ED68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2059686.19</w:t>
            </w:r>
          </w:p>
        </w:tc>
      </w:tr>
      <w:tr w:rsidR="00DE5BED" w:rsidRPr="00DE5BED" w14:paraId="198C8F8A" w14:textId="77777777" w:rsidTr="00DE5BED">
        <w:trPr>
          <w:trHeight w:val="300"/>
        </w:trPr>
        <w:tc>
          <w:tcPr>
            <w:tcW w:w="510" w:type="dxa"/>
            <w:tcBorders>
              <w:right w:val="single" w:sz="4" w:space="0" w:color="auto"/>
            </w:tcBorders>
            <w:shd w:val="clear" w:color="auto" w:fill="auto"/>
            <w:noWrap/>
            <w:vAlign w:val="bottom"/>
            <w:hideMark/>
          </w:tcPr>
          <w:p w14:paraId="1ABC62B9"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2000</w:t>
            </w:r>
          </w:p>
        </w:tc>
        <w:tc>
          <w:tcPr>
            <w:tcW w:w="1017" w:type="dxa"/>
            <w:tcBorders>
              <w:left w:val="single" w:sz="4" w:space="0" w:color="auto"/>
            </w:tcBorders>
            <w:shd w:val="clear" w:color="auto" w:fill="auto"/>
            <w:noWrap/>
            <w:vAlign w:val="bottom"/>
            <w:hideMark/>
          </w:tcPr>
          <w:p w14:paraId="48241AC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959.75</w:t>
            </w:r>
          </w:p>
        </w:tc>
        <w:tc>
          <w:tcPr>
            <w:tcW w:w="1085" w:type="dxa"/>
            <w:shd w:val="clear" w:color="auto" w:fill="auto"/>
            <w:noWrap/>
            <w:vAlign w:val="bottom"/>
            <w:hideMark/>
          </w:tcPr>
          <w:p w14:paraId="2C23969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24121.28</w:t>
            </w:r>
          </w:p>
        </w:tc>
        <w:tc>
          <w:tcPr>
            <w:tcW w:w="1085" w:type="dxa"/>
            <w:shd w:val="clear" w:color="auto" w:fill="auto"/>
            <w:noWrap/>
            <w:vAlign w:val="bottom"/>
            <w:hideMark/>
          </w:tcPr>
          <w:p w14:paraId="6C54D9F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90378.12</w:t>
            </w:r>
          </w:p>
        </w:tc>
        <w:tc>
          <w:tcPr>
            <w:tcW w:w="959" w:type="dxa"/>
            <w:shd w:val="clear" w:color="auto" w:fill="auto"/>
            <w:noWrap/>
            <w:vAlign w:val="bottom"/>
            <w:hideMark/>
          </w:tcPr>
          <w:p w14:paraId="0E3B0B5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1784983.84</w:t>
            </w:r>
          </w:p>
        </w:tc>
        <w:tc>
          <w:tcPr>
            <w:tcW w:w="990" w:type="dxa"/>
            <w:shd w:val="clear" w:color="auto" w:fill="auto"/>
            <w:noWrap/>
            <w:vAlign w:val="bottom"/>
            <w:hideMark/>
          </w:tcPr>
          <w:p w14:paraId="0A2FA37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1529.80</w:t>
            </w:r>
          </w:p>
        </w:tc>
        <w:tc>
          <w:tcPr>
            <w:tcW w:w="1003" w:type="dxa"/>
            <w:shd w:val="clear" w:color="auto" w:fill="auto"/>
            <w:noWrap/>
            <w:vAlign w:val="bottom"/>
            <w:hideMark/>
          </w:tcPr>
          <w:p w14:paraId="609EB3F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1337.75</w:t>
            </w:r>
          </w:p>
        </w:tc>
        <w:tc>
          <w:tcPr>
            <w:tcW w:w="1003" w:type="dxa"/>
            <w:shd w:val="clear" w:color="auto" w:fill="auto"/>
            <w:noWrap/>
            <w:vAlign w:val="bottom"/>
            <w:hideMark/>
          </w:tcPr>
          <w:p w14:paraId="436A08B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3681.82</w:t>
            </w:r>
          </w:p>
        </w:tc>
        <w:tc>
          <w:tcPr>
            <w:tcW w:w="875" w:type="dxa"/>
            <w:shd w:val="clear" w:color="auto" w:fill="auto"/>
            <w:noWrap/>
            <w:vAlign w:val="bottom"/>
            <w:hideMark/>
          </w:tcPr>
          <w:p w14:paraId="55DDC22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10536.73</w:t>
            </w:r>
          </w:p>
        </w:tc>
        <w:tc>
          <w:tcPr>
            <w:tcW w:w="944" w:type="dxa"/>
            <w:shd w:val="clear" w:color="auto" w:fill="auto"/>
            <w:noWrap/>
            <w:vAlign w:val="bottom"/>
            <w:hideMark/>
          </w:tcPr>
          <w:p w14:paraId="376E324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1996121.94</w:t>
            </w:r>
          </w:p>
        </w:tc>
      </w:tr>
      <w:tr w:rsidR="00DE5BED" w:rsidRPr="00DE5BED" w14:paraId="7AAD5500" w14:textId="77777777" w:rsidTr="00DE5BED">
        <w:trPr>
          <w:trHeight w:val="300"/>
        </w:trPr>
        <w:tc>
          <w:tcPr>
            <w:tcW w:w="510" w:type="dxa"/>
            <w:tcBorders>
              <w:right w:val="single" w:sz="4" w:space="0" w:color="auto"/>
            </w:tcBorders>
            <w:shd w:val="clear" w:color="auto" w:fill="auto"/>
            <w:noWrap/>
            <w:vAlign w:val="bottom"/>
            <w:hideMark/>
          </w:tcPr>
          <w:p w14:paraId="406B5343"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2001</w:t>
            </w:r>
          </w:p>
        </w:tc>
        <w:tc>
          <w:tcPr>
            <w:tcW w:w="1017" w:type="dxa"/>
            <w:tcBorders>
              <w:left w:val="single" w:sz="4" w:space="0" w:color="auto"/>
            </w:tcBorders>
            <w:shd w:val="clear" w:color="auto" w:fill="auto"/>
            <w:noWrap/>
            <w:vAlign w:val="bottom"/>
            <w:hideMark/>
          </w:tcPr>
          <w:p w14:paraId="7065F8A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887.96</w:t>
            </w:r>
          </w:p>
        </w:tc>
        <w:tc>
          <w:tcPr>
            <w:tcW w:w="1085" w:type="dxa"/>
            <w:shd w:val="clear" w:color="auto" w:fill="auto"/>
            <w:noWrap/>
            <w:vAlign w:val="bottom"/>
            <w:hideMark/>
          </w:tcPr>
          <w:p w14:paraId="1301B55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22347.93</w:t>
            </w:r>
          </w:p>
        </w:tc>
        <w:tc>
          <w:tcPr>
            <w:tcW w:w="1085" w:type="dxa"/>
            <w:shd w:val="clear" w:color="auto" w:fill="auto"/>
            <w:noWrap/>
            <w:vAlign w:val="bottom"/>
            <w:hideMark/>
          </w:tcPr>
          <w:p w14:paraId="43961F1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88608.34</w:t>
            </w:r>
          </w:p>
        </w:tc>
        <w:tc>
          <w:tcPr>
            <w:tcW w:w="959" w:type="dxa"/>
            <w:shd w:val="clear" w:color="auto" w:fill="auto"/>
            <w:noWrap/>
            <w:vAlign w:val="bottom"/>
            <w:hideMark/>
          </w:tcPr>
          <w:p w14:paraId="7132E14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1853655.87</w:t>
            </w:r>
          </w:p>
        </w:tc>
        <w:tc>
          <w:tcPr>
            <w:tcW w:w="990" w:type="dxa"/>
            <w:shd w:val="clear" w:color="auto" w:fill="auto"/>
            <w:noWrap/>
            <w:vAlign w:val="bottom"/>
            <w:hideMark/>
          </w:tcPr>
          <w:p w14:paraId="47F98F0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1827.09</w:t>
            </w:r>
          </w:p>
        </w:tc>
        <w:tc>
          <w:tcPr>
            <w:tcW w:w="1003" w:type="dxa"/>
            <w:shd w:val="clear" w:color="auto" w:fill="auto"/>
            <w:noWrap/>
            <w:vAlign w:val="bottom"/>
            <w:hideMark/>
          </w:tcPr>
          <w:p w14:paraId="4BEFD8F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1566.14</w:t>
            </w:r>
          </w:p>
        </w:tc>
        <w:tc>
          <w:tcPr>
            <w:tcW w:w="1003" w:type="dxa"/>
            <w:shd w:val="clear" w:color="auto" w:fill="auto"/>
            <w:noWrap/>
            <w:vAlign w:val="bottom"/>
            <w:hideMark/>
          </w:tcPr>
          <w:p w14:paraId="4B63D0D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3639.87</w:t>
            </w:r>
          </w:p>
        </w:tc>
        <w:tc>
          <w:tcPr>
            <w:tcW w:w="875" w:type="dxa"/>
            <w:shd w:val="clear" w:color="auto" w:fill="auto"/>
            <w:noWrap/>
            <w:vAlign w:val="bottom"/>
            <w:hideMark/>
          </w:tcPr>
          <w:p w14:paraId="4F4F1EF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11785.07</w:t>
            </w:r>
          </w:p>
        </w:tc>
        <w:tc>
          <w:tcPr>
            <w:tcW w:w="944" w:type="dxa"/>
            <w:shd w:val="clear" w:color="auto" w:fill="auto"/>
            <w:noWrap/>
            <w:vAlign w:val="bottom"/>
            <w:hideMark/>
          </w:tcPr>
          <w:p w14:paraId="2963F4A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1929332.77</w:t>
            </w:r>
          </w:p>
        </w:tc>
      </w:tr>
      <w:tr w:rsidR="00DE5BED" w:rsidRPr="00DE5BED" w14:paraId="2FDE3D05" w14:textId="77777777" w:rsidTr="00DE5BED">
        <w:trPr>
          <w:trHeight w:val="300"/>
        </w:trPr>
        <w:tc>
          <w:tcPr>
            <w:tcW w:w="510" w:type="dxa"/>
            <w:tcBorders>
              <w:right w:val="single" w:sz="4" w:space="0" w:color="auto"/>
            </w:tcBorders>
            <w:shd w:val="clear" w:color="auto" w:fill="auto"/>
            <w:noWrap/>
            <w:vAlign w:val="bottom"/>
            <w:hideMark/>
          </w:tcPr>
          <w:p w14:paraId="66A2D2E4"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2002</w:t>
            </w:r>
          </w:p>
        </w:tc>
        <w:tc>
          <w:tcPr>
            <w:tcW w:w="1017" w:type="dxa"/>
            <w:tcBorders>
              <w:left w:val="single" w:sz="4" w:space="0" w:color="auto"/>
            </w:tcBorders>
            <w:shd w:val="clear" w:color="auto" w:fill="auto"/>
            <w:noWrap/>
            <w:vAlign w:val="bottom"/>
            <w:hideMark/>
          </w:tcPr>
          <w:p w14:paraId="0F81524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786.37</w:t>
            </w:r>
          </w:p>
        </w:tc>
        <w:tc>
          <w:tcPr>
            <w:tcW w:w="1085" w:type="dxa"/>
            <w:shd w:val="clear" w:color="auto" w:fill="auto"/>
            <w:noWrap/>
            <w:vAlign w:val="bottom"/>
            <w:hideMark/>
          </w:tcPr>
          <w:p w14:paraId="6F3DC19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29303.04</w:t>
            </w:r>
          </w:p>
        </w:tc>
        <w:tc>
          <w:tcPr>
            <w:tcW w:w="1085" w:type="dxa"/>
            <w:shd w:val="clear" w:color="auto" w:fill="auto"/>
            <w:noWrap/>
            <w:vAlign w:val="bottom"/>
            <w:hideMark/>
          </w:tcPr>
          <w:p w14:paraId="2F386AE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77553.21</w:t>
            </w:r>
          </w:p>
        </w:tc>
        <w:tc>
          <w:tcPr>
            <w:tcW w:w="959" w:type="dxa"/>
            <w:shd w:val="clear" w:color="auto" w:fill="auto"/>
            <w:noWrap/>
            <w:vAlign w:val="bottom"/>
            <w:hideMark/>
          </w:tcPr>
          <w:p w14:paraId="226966C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1914001.90</w:t>
            </w:r>
          </w:p>
        </w:tc>
        <w:tc>
          <w:tcPr>
            <w:tcW w:w="990" w:type="dxa"/>
            <w:shd w:val="clear" w:color="auto" w:fill="auto"/>
            <w:noWrap/>
            <w:vAlign w:val="bottom"/>
            <w:hideMark/>
          </w:tcPr>
          <w:p w14:paraId="409796E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2717.71</w:t>
            </w:r>
          </w:p>
        </w:tc>
        <w:tc>
          <w:tcPr>
            <w:tcW w:w="1003" w:type="dxa"/>
            <w:shd w:val="clear" w:color="auto" w:fill="auto"/>
            <w:noWrap/>
            <w:vAlign w:val="bottom"/>
            <w:hideMark/>
          </w:tcPr>
          <w:p w14:paraId="128452B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2417.60</w:t>
            </w:r>
          </w:p>
        </w:tc>
        <w:tc>
          <w:tcPr>
            <w:tcW w:w="1003" w:type="dxa"/>
            <w:shd w:val="clear" w:color="auto" w:fill="auto"/>
            <w:noWrap/>
            <w:vAlign w:val="bottom"/>
            <w:hideMark/>
          </w:tcPr>
          <w:p w14:paraId="7965FE8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3209.88</w:t>
            </w:r>
          </w:p>
        </w:tc>
        <w:tc>
          <w:tcPr>
            <w:tcW w:w="875" w:type="dxa"/>
            <w:shd w:val="clear" w:color="auto" w:fill="auto"/>
            <w:noWrap/>
            <w:vAlign w:val="bottom"/>
            <w:hideMark/>
          </w:tcPr>
          <w:p w14:paraId="58E3AA1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11177.59</w:t>
            </w:r>
          </w:p>
        </w:tc>
        <w:tc>
          <w:tcPr>
            <w:tcW w:w="944" w:type="dxa"/>
            <w:shd w:val="clear" w:color="auto" w:fill="auto"/>
            <w:noWrap/>
            <w:vAlign w:val="bottom"/>
            <w:hideMark/>
          </w:tcPr>
          <w:p w14:paraId="3101DF3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1872483.75</w:t>
            </w:r>
          </w:p>
        </w:tc>
      </w:tr>
      <w:tr w:rsidR="00DE5BED" w:rsidRPr="00DE5BED" w14:paraId="789452F2" w14:textId="77777777" w:rsidTr="00DE5BED">
        <w:trPr>
          <w:trHeight w:val="300"/>
        </w:trPr>
        <w:tc>
          <w:tcPr>
            <w:tcW w:w="510" w:type="dxa"/>
            <w:tcBorders>
              <w:right w:val="single" w:sz="4" w:space="0" w:color="auto"/>
            </w:tcBorders>
            <w:shd w:val="clear" w:color="auto" w:fill="auto"/>
            <w:noWrap/>
            <w:vAlign w:val="bottom"/>
            <w:hideMark/>
          </w:tcPr>
          <w:p w14:paraId="7BD7A714"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2003</w:t>
            </w:r>
          </w:p>
        </w:tc>
        <w:tc>
          <w:tcPr>
            <w:tcW w:w="1017" w:type="dxa"/>
            <w:tcBorders>
              <w:left w:val="single" w:sz="4" w:space="0" w:color="auto"/>
            </w:tcBorders>
            <w:shd w:val="clear" w:color="auto" w:fill="auto"/>
            <w:noWrap/>
            <w:vAlign w:val="bottom"/>
            <w:hideMark/>
          </w:tcPr>
          <w:p w14:paraId="1B31A84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796.88</w:t>
            </w:r>
          </w:p>
        </w:tc>
        <w:tc>
          <w:tcPr>
            <w:tcW w:w="1085" w:type="dxa"/>
            <w:shd w:val="clear" w:color="auto" w:fill="auto"/>
            <w:noWrap/>
            <w:vAlign w:val="bottom"/>
            <w:hideMark/>
          </w:tcPr>
          <w:p w14:paraId="5B12332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30319.21</w:t>
            </w:r>
          </w:p>
        </w:tc>
        <w:tc>
          <w:tcPr>
            <w:tcW w:w="1085" w:type="dxa"/>
            <w:shd w:val="clear" w:color="auto" w:fill="auto"/>
            <w:noWrap/>
            <w:vAlign w:val="bottom"/>
            <w:hideMark/>
          </w:tcPr>
          <w:p w14:paraId="6441BE0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73110.33</w:t>
            </w:r>
          </w:p>
        </w:tc>
        <w:tc>
          <w:tcPr>
            <w:tcW w:w="959" w:type="dxa"/>
            <w:shd w:val="clear" w:color="auto" w:fill="auto"/>
            <w:noWrap/>
            <w:vAlign w:val="bottom"/>
            <w:hideMark/>
          </w:tcPr>
          <w:p w14:paraId="49230DD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1963156.73</w:t>
            </w:r>
          </w:p>
        </w:tc>
        <w:tc>
          <w:tcPr>
            <w:tcW w:w="990" w:type="dxa"/>
            <w:shd w:val="clear" w:color="auto" w:fill="auto"/>
            <w:noWrap/>
            <w:vAlign w:val="bottom"/>
            <w:hideMark/>
          </w:tcPr>
          <w:p w14:paraId="60D6FD5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3051.33</w:t>
            </w:r>
          </w:p>
        </w:tc>
        <w:tc>
          <w:tcPr>
            <w:tcW w:w="1003" w:type="dxa"/>
            <w:shd w:val="clear" w:color="auto" w:fill="auto"/>
            <w:noWrap/>
            <w:vAlign w:val="bottom"/>
            <w:hideMark/>
          </w:tcPr>
          <w:p w14:paraId="32C3008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2493.83</w:t>
            </w:r>
          </w:p>
        </w:tc>
        <w:tc>
          <w:tcPr>
            <w:tcW w:w="1003" w:type="dxa"/>
            <w:shd w:val="clear" w:color="auto" w:fill="auto"/>
            <w:noWrap/>
            <w:vAlign w:val="bottom"/>
            <w:hideMark/>
          </w:tcPr>
          <w:p w14:paraId="7DF8EF4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2009.33</w:t>
            </w:r>
          </w:p>
        </w:tc>
        <w:tc>
          <w:tcPr>
            <w:tcW w:w="875" w:type="dxa"/>
            <w:shd w:val="clear" w:color="auto" w:fill="auto"/>
            <w:noWrap/>
            <w:vAlign w:val="bottom"/>
            <w:hideMark/>
          </w:tcPr>
          <w:p w14:paraId="52011AC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9628.68</w:t>
            </w:r>
          </w:p>
        </w:tc>
        <w:tc>
          <w:tcPr>
            <w:tcW w:w="944" w:type="dxa"/>
            <w:shd w:val="clear" w:color="auto" w:fill="auto"/>
            <w:noWrap/>
            <w:vAlign w:val="bottom"/>
            <w:hideMark/>
          </w:tcPr>
          <w:p w14:paraId="0F6D8BA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1829084.72</w:t>
            </w:r>
          </w:p>
        </w:tc>
      </w:tr>
      <w:tr w:rsidR="00DE5BED" w:rsidRPr="00DE5BED" w14:paraId="71604CB2" w14:textId="77777777" w:rsidTr="00DE5BED">
        <w:trPr>
          <w:trHeight w:val="300"/>
        </w:trPr>
        <w:tc>
          <w:tcPr>
            <w:tcW w:w="510" w:type="dxa"/>
            <w:tcBorders>
              <w:right w:val="single" w:sz="4" w:space="0" w:color="auto"/>
            </w:tcBorders>
            <w:shd w:val="clear" w:color="auto" w:fill="auto"/>
            <w:noWrap/>
            <w:vAlign w:val="bottom"/>
            <w:hideMark/>
          </w:tcPr>
          <w:p w14:paraId="6D3F0BB7"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2004</w:t>
            </w:r>
          </w:p>
        </w:tc>
        <w:tc>
          <w:tcPr>
            <w:tcW w:w="1017" w:type="dxa"/>
            <w:tcBorders>
              <w:left w:val="single" w:sz="4" w:space="0" w:color="auto"/>
            </w:tcBorders>
            <w:shd w:val="clear" w:color="auto" w:fill="auto"/>
            <w:noWrap/>
            <w:vAlign w:val="bottom"/>
            <w:hideMark/>
          </w:tcPr>
          <w:p w14:paraId="26B16AC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481.15</w:t>
            </w:r>
          </w:p>
        </w:tc>
        <w:tc>
          <w:tcPr>
            <w:tcW w:w="1085" w:type="dxa"/>
            <w:shd w:val="clear" w:color="auto" w:fill="auto"/>
            <w:noWrap/>
            <w:vAlign w:val="bottom"/>
            <w:hideMark/>
          </w:tcPr>
          <w:p w14:paraId="7F5A6BD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34824.45</w:t>
            </w:r>
          </w:p>
        </w:tc>
        <w:tc>
          <w:tcPr>
            <w:tcW w:w="1085" w:type="dxa"/>
            <w:shd w:val="clear" w:color="auto" w:fill="auto"/>
            <w:noWrap/>
            <w:vAlign w:val="bottom"/>
            <w:hideMark/>
          </w:tcPr>
          <w:p w14:paraId="4AE9357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75793.67</w:t>
            </w:r>
          </w:p>
        </w:tc>
        <w:tc>
          <w:tcPr>
            <w:tcW w:w="959" w:type="dxa"/>
            <w:shd w:val="clear" w:color="auto" w:fill="auto"/>
            <w:noWrap/>
            <w:vAlign w:val="bottom"/>
            <w:hideMark/>
          </w:tcPr>
          <w:p w14:paraId="6FB4B59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2004012.79</w:t>
            </w:r>
          </w:p>
        </w:tc>
        <w:tc>
          <w:tcPr>
            <w:tcW w:w="990" w:type="dxa"/>
            <w:shd w:val="clear" w:color="auto" w:fill="auto"/>
            <w:noWrap/>
            <w:vAlign w:val="bottom"/>
            <w:hideMark/>
          </w:tcPr>
          <w:p w14:paraId="02A8991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2432.83</w:t>
            </w:r>
          </w:p>
        </w:tc>
        <w:tc>
          <w:tcPr>
            <w:tcW w:w="1003" w:type="dxa"/>
            <w:shd w:val="clear" w:color="auto" w:fill="auto"/>
            <w:noWrap/>
            <w:vAlign w:val="bottom"/>
            <w:hideMark/>
          </w:tcPr>
          <w:p w14:paraId="1905B27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2174.52</w:t>
            </w:r>
          </w:p>
        </w:tc>
        <w:tc>
          <w:tcPr>
            <w:tcW w:w="1003" w:type="dxa"/>
            <w:shd w:val="clear" w:color="auto" w:fill="auto"/>
            <w:noWrap/>
            <w:vAlign w:val="bottom"/>
            <w:hideMark/>
          </w:tcPr>
          <w:p w14:paraId="0A9B5D8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1626.44</w:t>
            </w:r>
          </w:p>
        </w:tc>
        <w:tc>
          <w:tcPr>
            <w:tcW w:w="875" w:type="dxa"/>
            <w:shd w:val="clear" w:color="auto" w:fill="auto"/>
            <w:noWrap/>
            <w:vAlign w:val="bottom"/>
            <w:hideMark/>
          </w:tcPr>
          <w:p w14:paraId="0560425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7827.53</w:t>
            </w:r>
          </w:p>
        </w:tc>
        <w:tc>
          <w:tcPr>
            <w:tcW w:w="944" w:type="dxa"/>
            <w:shd w:val="clear" w:color="auto" w:fill="auto"/>
            <w:noWrap/>
            <w:vAlign w:val="bottom"/>
            <w:hideMark/>
          </w:tcPr>
          <w:p w14:paraId="58DEAB5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1784477.65</w:t>
            </w:r>
          </w:p>
        </w:tc>
      </w:tr>
      <w:tr w:rsidR="00DE5BED" w:rsidRPr="00DE5BED" w14:paraId="4337D9CA" w14:textId="77777777" w:rsidTr="00DE5BED">
        <w:trPr>
          <w:trHeight w:val="300"/>
        </w:trPr>
        <w:tc>
          <w:tcPr>
            <w:tcW w:w="510" w:type="dxa"/>
            <w:tcBorders>
              <w:right w:val="single" w:sz="4" w:space="0" w:color="auto"/>
            </w:tcBorders>
            <w:shd w:val="clear" w:color="auto" w:fill="auto"/>
            <w:noWrap/>
            <w:vAlign w:val="bottom"/>
            <w:hideMark/>
          </w:tcPr>
          <w:p w14:paraId="166B40ED"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2005</w:t>
            </w:r>
          </w:p>
        </w:tc>
        <w:tc>
          <w:tcPr>
            <w:tcW w:w="1017" w:type="dxa"/>
            <w:tcBorders>
              <w:left w:val="single" w:sz="4" w:space="0" w:color="auto"/>
            </w:tcBorders>
            <w:shd w:val="clear" w:color="auto" w:fill="auto"/>
            <w:noWrap/>
            <w:vAlign w:val="bottom"/>
            <w:hideMark/>
          </w:tcPr>
          <w:p w14:paraId="2BA68C1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366.11</w:t>
            </w:r>
          </w:p>
        </w:tc>
        <w:tc>
          <w:tcPr>
            <w:tcW w:w="1085" w:type="dxa"/>
            <w:shd w:val="clear" w:color="auto" w:fill="auto"/>
            <w:noWrap/>
            <w:vAlign w:val="bottom"/>
            <w:hideMark/>
          </w:tcPr>
          <w:p w14:paraId="2F59B0A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33262.33</w:t>
            </w:r>
          </w:p>
        </w:tc>
        <w:tc>
          <w:tcPr>
            <w:tcW w:w="1085" w:type="dxa"/>
            <w:shd w:val="clear" w:color="auto" w:fill="auto"/>
            <w:noWrap/>
            <w:vAlign w:val="bottom"/>
            <w:hideMark/>
          </w:tcPr>
          <w:p w14:paraId="1EDA4C5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70580.10</w:t>
            </w:r>
          </w:p>
        </w:tc>
        <w:tc>
          <w:tcPr>
            <w:tcW w:w="959" w:type="dxa"/>
            <w:shd w:val="clear" w:color="auto" w:fill="auto"/>
            <w:noWrap/>
            <w:vAlign w:val="bottom"/>
            <w:hideMark/>
          </w:tcPr>
          <w:p w14:paraId="37AF410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2048610.85</w:t>
            </w:r>
          </w:p>
        </w:tc>
        <w:tc>
          <w:tcPr>
            <w:tcW w:w="990" w:type="dxa"/>
            <w:shd w:val="clear" w:color="auto" w:fill="auto"/>
            <w:noWrap/>
            <w:vAlign w:val="bottom"/>
            <w:hideMark/>
          </w:tcPr>
          <w:p w14:paraId="595E95D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1869.05</w:t>
            </w:r>
          </w:p>
        </w:tc>
        <w:tc>
          <w:tcPr>
            <w:tcW w:w="1003" w:type="dxa"/>
            <w:shd w:val="clear" w:color="auto" w:fill="auto"/>
            <w:noWrap/>
            <w:vAlign w:val="bottom"/>
            <w:hideMark/>
          </w:tcPr>
          <w:p w14:paraId="1CA6387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1821.91</w:t>
            </w:r>
          </w:p>
        </w:tc>
        <w:tc>
          <w:tcPr>
            <w:tcW w:w="1003" w:type="dxa"/>
            <w:shd w:val="clear" w:color="auto" w:fill="auto"/>
            <w:noWrap/>
            <w:vAlign w:val="bottom"/>
            <w:hideMark/>
          </w:tcPr>
          <w:p w14:paraId="2FD0CFE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1171.79</w:t>
            </w:r>
          </w:p>
        </w:tc>
        <w:tc>
          <w:tcPr>
            <w:tcW w:w="875" w:type="dxa"/>
            <w:shd w:val="clear" w:color="auto" w:fill="auto"/>
            <w:noWrap/>
            <w:vAlign w:val="bottom"/>
            <w:hideMark/>
          </w:tcPr>
          <w:p w14:paraId="78C56E6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6244.17</w:t>
            </w:r>
          </w:p>
        </w:tc>
        <w:tc>
          <w:tcPr>
            <w:tcW w:w="944" w:type="dxa"/>
            <w:shd w:val="clear" w:color="auto" w:fill="auto"/>
            <w:noWrap/>
            <w:vAlign w:val="bottom"/>
            <w:hideMark/>
          </w:tcPr>
          <w:p w14:paraId="4928F47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1749724.72</w:t>
            </w:r>
          </w:p>
        </w:tc>
      </w:tr>
      <w:tr w:rsidR="00DE5BED" w:rsidRPr="00DE5BED" w14:paraId="0721AB68" w14:textId="77777777" w:rsidTr="00DE5BED">
        <w:trPr>
          <w:trHeight w:val="300"/>
        </w:trPr>
        <w:tc>
          <w:tcPr>
            <w:tcW w:w="510" w:type="dxa"/>
            <w:tcBorders>
              <w:right w:val="single" w:sz="4" w:space="0" w:color="auto"/>
            </w:tcBorders>
            <w:shd w:val="clear" w:color="auto" w:fill="auto"/>
            <w:noWrap/>
            <w:vAlign w:val="bottom"/>
            <w:hideMark/>
          </w:tcPr>
          <w:p w14:paraId="50AB02AF"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2006</w:t>
            </w:r>
          </w:p>
        </w:tc>
        <w:tc>
          <w:tcPr>
            <w:tcW w:w="1017" w:type="dxa"/>
            <w:tcBorders>
              <w:left w:val="single" w:sz="4" w:space="0" w:color="auto"/>
            </w:tcBorders>
            <w:shd w:val="clear" w:color="auto" w:fill="auto"/>
            <w:noWrap/>
            <w:vAlign w:val="bottom"/>
            <w:hideMark/>
          </w:tcPr>
          <w:p w14:paraId="4B92C76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338.18</w:t>
            </w:r>
          </w:p>
        </w:tc>
        <w:tc>
          <w:tcPr>
            <w:tcW w:w="1085" w:type="dxa"/>
            <w:shd w:val="clear" w:color="auto" w:fill="auto"/>
            <w:noWrap/>
            <w:vAlign w:val="bottom"/>
            <w:hideMark/>
          </w:tcPr>
          <w:p w14:paraId="58F9378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36493.00</w:t>
            </w:r>
          </w:p>
        </w:tc>
        <w:tc>
          <w:tcPr>
            <w:tcW w:w="1085" w:type="dxa"/>
            <w:shd w:val="clear" w:color="auto" w:fill="auto"/>
            <w:noWrap/>
            <w:vAlign w:val="bottom"/>
            <w:hideMark/>
          </w:tcPr>
          <w:p w14:paraId="6BD3FFD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75715.25</w:t>
            </w:r>
          </w:p>
        </w:tc>
        <w:tc>
          <w:tcPr>
            <w:tcW w:w="959" w:type="dxa"/>
            <w:shd w:val="clear" w:color="auto" w:fill="auto"/>
            <w:noWrap/>
            <w:vAlign w:val="bottom"/>
            <w:hideMark/>
          </w:tcPr>
          <w:p w14:paraId="3F0AFE7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2084228.83</w:t>
            </w:r>
          </w:p>
        </w:tc>
        <w:tc>
          <w:tcPr>
            <w:tcW w:w="990" w:type="dxa"/>
            <w:shd w:val="clear" w:color="auto" w:fill="auto"/>
            <w:noWrap/>
            <w:vAlign w:val="bottom"/>
            <w:hideMark/>
          </w:tcPr>
          <w:p w14:paraId="23D05AB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998.48</w:t>
            </w:r>
          </w:p>
        </w:tc>
        <w:tc>
          <w:tcPr>
            <w:tcW w:w="1003" w:type="dxa"/>
            <w:shd w:val="clear" w:color="auto" w:fill="auto"/>
            <w:noWrap/>
            <w:vAlign w:val="bottom"/>
            <w:hideMark/>
          </w:tcPr>
          <w:p w14:paraId="0B350FA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1393.68</w:t>
            </w:r>
          </w:p>
        </w:tc>
        <w:tc>
          <w:tcPr>
            <w:tcW w:w="1003" w:type="dxa"/>
            <w:shd w:val="clear" w:color="auto" w:fill="auto"/>
            <w:noWrap/>
            <w:vAlign w:val="bottom"/>
            <w:hideMark/>
          </w:tcPr>
          <w:p w14:paraId="0DA52B3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1106.75</w:t>
            </w:r>
          </w:p>
        </w:tc>
        <w:tc>
          <w:tcPr>
            <w:tcW w:w="875" w:type="dxa"/>
            <w:shd w:val="clear" w:color="auto" w:fill="auto"/>
            <w:noWrap/>
            <w:vAlign w:val="bottom"/>
            <w:hideMark/>
          </w:tcPr>
          <w:p w14:paraId="1478B34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5389.92</w:t>
            </w:r>
          </w:p>
        </w:tc>
        <w:tc>
          <w:tcPr>
            <w:tcW w:w="944" w:type="dxa"/>
            <w:shd w:val="clear" w:color="auto" w:fill="auto"/>
            <w:noWrap/>
            <w:vAlign w:val="bottom"/>
            <w:hideMark/>
          </w:tcPr>
          <w:p w14:paraId="7581944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1707986.95</w:t>
            </w:r>
          </w:p>
        </w:tc>
      </w:tr>
      <w:tr w:rsidR="00DE5BED" w:rsidRPr="00DE5BED" w14:paraId="1B3716EF" w14:textId="77777777" w:rsidTr="00DE5BED">
        <w:trPr>
          <w:trHeight w:val="300"/>
        </w:trPr>
        <w:tc>
          <w:tcPr>
            <w:tcW w:w="510" w:type="dxa"/>
            <w:tcBorders>
              <w:right w:val="single" w:sz="4" w:space="0" w:color="auto"/>
            </w:tcBorders>
            <w:shd w:val="clear" w:color="auto" w:fill="auto"/>
            <w:noWrap/>
            <w:vAlign w:val="bottom"/>
            <w:hideMark/>
          </w:tcPr>
          <w:p w14:paraId="31B958F9"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2007</w:t>
            </w:r>
          </w:p>
        </w:tc>
        <w:tc>
          <w:tcPr>
            <w:tcW w:w="1017" w:type="dxa"/>
            <w:tcBorders>
              <w:left w:val="single" w:sz="4" w:space="0" w:color="auto"/>
            </w:tcBorders>
            <w:shd w:val="clear" w:color="auto" w:fill="auto"/>
            <w:noWrap/>
            <w:vAlign w:val="bottom"/>
            <w:hideMark/>
          </w:tcPr>
          <w:p w14:paraId="2E97180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261.76</w:t>
            </w:r>
          </w:p>
        </w:tc>
        <w:tc>
          <w:tcPr>
            <w:tcW w:w="1085" w:type="dxa"/>
            <w:shd w:val="clear" w:color="auto" w:fill="auto"/>
            <w:noWrap/>
            <w:vAlign w:val="bottom"/>
            <w:hideMark/>
          </w:tcPr>
          <w:p w14:paraId="7581C0F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35702.72</w:t>
            </w:r>
          </w:p>
        </w:tc>
        <w:tc>
          <w:tcPr>
            <w:tcW w:w="1085" w:type="dxa"/>
            <w:shd w:val="clear" w:color="auto" w:fill="auto"/>
            <w:noWrap/>
            <w:vAlign w:val="bottom"/>
            <w:hideMark/>
          </w:tcPr>
          <w:p w14:paraId="0DD5EB8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82097.82</w:t>
            </w:r>
          </w:p>
        </w:tc>
        <w:tc>
          <w:tcPr>
            <w:tcW w:w="959" w:type="dxa"/>
            <w:shd w:val="clear" w:color="auto" w:fill="auto"/>
            <w:noWrap/>
            <w:vAlign w:val="bottom"/>
            <w:hideMark/>
          </w:tcPr>
          <w:p w14:paraId="62B95B4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2124978.07</w:t>
            </w:r>
          </w:p>
        </w:tc>
        <w:tc>
          <w:tcPr>
            <w:tcW w:w="990" w:type="dxa"/>
            <w:shd w:val="clear" w:color="auto" w:fill="auto"/>
            <w:noWrap/>
            <w:vAlign w:val="bottom"/>
            <w:hideMark/>
          </w:tcPr>
          <w:p w14:paraId="7BF0A13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865.56</w:t>
            </w:r>
          </w:p>
        </w:tc>
        <w:tc>
          <w:tcPr>
            <w:tcW w:w="1003" w:type="dxa"/>
            <w:shd w:val="clear" w:color="auto" w:fill="auto"/>
            <w:noWrap/>
            <w:vAlign w:val="bottom"/>
            <w:hideMark/>
          </w:tcPr>
          <w:p w14:paraId="5964B72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1337.43</w:t>
            </w:r>
          </w:p>
        </w:tc>
        <w:tc>
          <w:tcPr>
            <w:tcW w:w="1003" w:type="dxa"/>
            <w:shd w:val="clear" w:color="auto" w:fill="auto"/>
            <w:noWrap/>
            <w:vAlign w:val="bottom"/>
            <w:hideMark/>
          </w:tcPr>
          <w:p w14:paraId="07D44C9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757.30</w:t>
            </w:r>
          </w:p>
        </w:tc>
        <w:tc>
          <w:tcPr>
            <w:tcW w:w="875" w:type="dxa"/>
            <w:shd w:val="clear" w:color="auto" w:fill="auto"/>
            <w:noWrap/>
            <w:vAlign w:val="bottom"/>
            <w:hideMark/>
          </w:tcPr>
          <w:p w14:paraId="768AC70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4631.86</w:t>
            </w:r>
          </w:p>
        </w:tc>
        <w:tc>
          <w:tcPr>
            <w:tcW w:w="944" w:type="dxa"/>
            <w:shd w:val="clear" w:color="auto" w:fill="auto"/>
            <w:noWrap/>
            <w:vAlign w:val="bottom"/>
            <w:hideMark/>
          </w:tcPr>
          <w:p w14:paraId="4502E5C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1663018.51</w:t>
            </w:r>
          </w:p>
        </w:tc>
      </w:tr>
      <w:tr w:rsidR="00DE5BED" w:rsidRPr="00DE5BED" w14:paraId="1CD55382" w14:textId="77777777" w:rsidTr="00DE5BED">
        <w:trPr>
          <w:trHeight w:val="300"/>
        </w:trPr>
        <w:tc>
          <w:tcPr>
            <w:tcW w:w="510" w:type="dxa"/>
            <w:tcBorders>
              <w:right w:val="single" w:sz="4" w:space="0" w:color="auto"/>
            </w:tcBorders>
            <w:shd w:val="clear" w:color="auto" w:fill="auto"/>
            <w:noWrap/>
            <w:vAlign w:val="bottom"/>
            <w:hideMark/>
          </w:tcPr>
          <w:p w14:paraId="2B779569"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2008</w:t>
            </w:r>
          </w:p>
        </w:tc>
        <w:tc>
          <w:tcPr>
            <w:tcW w:w="1017" w:type="dxa"/>
            <w:tcBorders>
              <w:left w:val="single" w:sz="4" w:space="0" w:color="auto"/>
            </w:tcBorders>
            <w:shd w:val="clear" w:color="auto" w:fill="auto"/>
            <w:noWrap/>
            <w:vAlign w:val="bottom"/>
            <w:hideMark/>
          </w:tcPr>
          <w:p w14:paraId="25AB94A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263.86</w:t>
            </w:r>
          </w:p>
        </w:tc>
        <w:tc>
          <w:tcPr>
            <w:tcW w:w="1085" w:type="dxa"/>
            <w:shd w:val="clear" w:color="auto" w:fill="auto"/>
            <w:noWrap/>
            <w:vAlign w:val="bottom"/>
            <w:hideMark/>
          </w:tcPr>
          <w:p w14:paraId="42732E7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47713.59</w:t>
            </w:r>
          </w:p>
        </w:tc>
        <w:tc>
          <w:tcPr>
            <w:tcW w:w="1085" w:type="dxa"/>
            <w:shd w:val="clear" w:color="auto" w:fill="auto"/>
            <w:noWrap/>
            <w:vAlign w:val="bottom"/>
            <w:hideMark/>
          </w:tcPr>
          <w:p w14:paraId="57C9D2C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54584.79</w:t>
            </w:r>
          </w:p>
        </w:tc>
        <w:tc>
          <w:tcPr>
            <w:tcW w:w="959" w:type="dxa"/>
            <w:shd w:val="clear" w:color="auto" w:fill="auto"/>
            <w:noWrap/>
            <w:vAlign w:val="bottom"/>
            <w:hideMark/>
          </w:tcPr>
          <w:p w14:paraId="74A931A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2159964.01</w:t>
            </w:r>
          </w:p>
        </w:tc>
        <w:tc>
          <w:tcPr>
            <w:tcW w:w="990" w:type="dxa"/>
            <w:shd w:val="clear" w:color="auto" w:fill="auto"/>
            <w:noWrap/>
            <w:vAlign w:val="bottom"/>
            <w:hideMark/>
          </w:tcPr>
          <w:p w14:paraId="19E2C76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593.34</w:t>
            </w:r>
          </w:p>
        </w:tc>
        <w:tc>
          <w:tcPr>
            <w:tcW w:w="1003" w:type="dxa"/>
            <w:shd w:val="clear" w:color="auto" w:fill="auto"/>
            <w:noWrap/>
            <w:vAlign w:val="bottom"/>
            <w:hideMark/>
          </w:tcPr>
          <w:p w14:paraId="2C09B93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1168.96</w:t>
            </w:r>
          </w:p>
        </w:tc>
        <w:tc>
          <w:tcPr>
            <w:tcW w:w="1003" w:type="dxa"/>
            <w:shd w:val="clear" w:color="auto" w:fill="auto"/>
            <w:noWrap/>
            <w:vAlign w:val="bottom"/>
            <w:hideMark/>
          </w:tcPr>
          <w:p w14:paraId="0C13BFF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640.07</w:t>
            </w:r>
          </w:p>
        </w:tc>
        <w:tc>
          <w:tcPr>
            <w:tcW w:w="875" w:type="dxa"/>
            <w:shd w:val="clear" w:color="auto" w:fill="auto"/>
            <w:noWrap/>
            <w:vAlign w:val="bottom"/>
            <w:hideMark/>
          </w:tcPr>
          <w:p w14:paraId="6CB8FF2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3888.62</w:t>
            </w:r>
          </w:p>
        </w:tc>
        <w:tc>
          <w:tcPr>
            <w:tcW w:w="944" w:type="dxa"/>
            <w:shd w:val="clear" w:color="auto" w:fill="auto"/>
            <w:noWrap/>
            <w:vAlign w:val="bottom"/>
            <w:hideMark/>
          </w:tcPr>
          <w:p w14:paraId="1022A9B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1644833.79</w:t>
            </w:r>
          </w:p>
        </w:tc>
      </w:tr>
      <w:tr w:rsidR="00DE5BED" w:rsidRPr="00DE5BED" w14:paraId="5005445D" w14:textId="77777777" w:rsidTr="00DE5BED">
        <w:trPr>
          <w:trHeight w:val="300"/>
        </w:trPr>
        <w:tc>
          <w:tcPr>
            <w:tcW w:w="510" w:type="dxa"/>
            <w:tcBorders>
              <w:right w:val="single" w:sz="4" w:space="0" w:color="auto"/>
            </w:tcBorders>
            <w:shd w:val="clear" w:color="auto" w:fill="auto"/>
            <w:noWrap/>
            <w:vAlign w:val="bottom"/>
            <w:hideMark/>
          </w:tcPr>
          <w:p w14:paraId="3EF15208"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2009</w:t>
            </w:r>
          </w:p>
        </w:tc>
        <w:tc>
          <w:tcPr>
            <w:tcW w:w="1017" w:type="dxa"/>
            <w:tcBorders>
              <w:left w:val="single" w:sz="4" w:space="0" w:color="auto"/>
            </w:tcBorders>
            <w:shd w:val="clear" w:color="auto" w:fill="auto"/>
            <w:noWrap/>
            <w:vAlign w:val="bottom"/>
            <w:hideMark/>
          </w:tcPr>
          <w:p w14:paraId="4AE4D26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209.05</w:t>
            </w:r>
          </w:p>
        </w:tc>
        <w:tc>
          <w:tcPr>
            <w:tcW w:w="1085" w:type="dxa"/>
            <w:shd w:val="clear" w:color="auto" w:fill="auto"/>
            <w:noWrap/>
            <w:vAlign w:val="bottom"/>
            <w:hideMark/>
          </w:tcPr>
          <w:p w14:paraId="4768768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40290.41</w:t>
            </w:r>
          </w:p>
        </w:tc>
        <w:tc>
          <w:tcPr>
            <w:tcW w:w="1085" w:type="dxa"/>
            <w:shd w:val="clear" w:color="auto" w:fill="auto"/>
            <w:noWrap/>
            <w:vAlign w:val="bottom"/>
            <w:hideMark/>
          </w:tcPr>
          <w:p w14:paraId="0D992E2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58790.36</w:t>
            </w:r>
          </w:p>
        </w:tc>
        <w:tc>
          <w:tcPr>
            <w:tcW w:w="959" w:type="dxa"/>
            <w:shd w:val="clear" w:color="auto" w:fill="auto"/>
            <w:noWrap/>
            <w:vAlign w:val="bottom"/>
            <w:hideMark/>
          </w:tcPr>
          <w:p w14:paraId="488D799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2174642.68</w:t>
            </w:r>
          </w:p>
        </w:tc>
        <w:tc>
          <w:tcPr>
            <w:tcW w:w="990" w:type="dxa"/>
            <w:shd w:val="clear" w:color="auto" w:fill="auto"/>
            <w:noWrap/>
            <w:vAlign w:val="bottom"/>
            <w:hideMark/>
          </w:tcPr>
          <w:p w14:paraId="767DAE3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667.47</w:t>
            </w:r>
          </w:p>
        </w:tc>
        <w:tc>
          <w:tcPr>
            <w:tcW w:w="1003" w:type="dxa"/>
            <w:shd w:val="clear" w:color="auto" w:fill="auto"/>
            <w:noWrap/>
            <w:vAlign w:val="bottom"/>
            <w:hideMark/>
          </w:tcPr>
          <w:p w14:paraId="4E91DF4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1159.76</w:t>
            </w:r>
          </w:p>
        </w:tc>
        <w:tc>
          <w:tcPr>
            <w:tcW w:w="1003" w:type="dxa"/>
            <w:shd w:val="clear" w:color="auto" w:fill="auto"/>
            <w:noWrap/>
            <w:vAlign w:val="bottom"/>
            <w:hideMark/>
          </w:tcPr>
          <w:p w14:paraId="4D2EA7F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483.44</w:t>
            </w:r>
          </w:p>
        </w:tc>
        <w:tc>
          <w:tcPr>
            <w:tcW w:w="875" w:type="dxa"/>
            <w:shd w:val="clear" w:color="auto" w:fill="auto"/>
            <w:noWrap/>
            <w:vAlign w:val="bottom"/>
            <w:hideMark/>
          </w:tcPr>
          <w:p w14:paraId="11ED8E8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2965.33</w:t>
            </w:r>
          </w:p>
        </w:tc>
        <w:tc>
          <w:tcPr>
            <w:tcW w:w="944" w:type="dxa"/>
            <w:shd w:val="clear" w:color="auto" w:fill="auto"/>
            <w:noWrap/>
            <w:vAlign w:val="bottom"/>
            <w:hideMark/>
          </w:tcPr>
          <w:p w14:paraId="6181EA4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1634442.53</w:t>
            </w:r>
          </w:p>
        </w:tc>
      </w:tr>
      <w:tr w:rsidR="00DE5BED" w:rsidRPr="00DE5BED" w14:paraId="0813C956" w14:textId="77777777" w:rsidTr="00DE5BED">
        <w:trPr>
          <w:trHeight w:val="300"/>
        </w:trPr>
        <w:tc>
          <w:tcPr>
            <w:tcW w:w="510" w:type="dxa"/>
            <w:tcBorders>
              <w:right w:val="single" w:sz="4" w:space="0" w:color="auto"/>
            </w:tcBorders>
            <w:shd w:val="clear" w:color="auto" w:fill="auto"/>
            <w:noWrap/>
            <w:vAlign w:val="bottom"/>
            <w:hideMark/>
          </w:tcPr>
          <w:p w14:paraId="751C81D1"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2010</w:t>
            </w:r>
          </w:p>
        </w:tc>
        <w:tc>
          <w:tcPr>
            <w:tcW w:w="1017" w:type="dxa"/>
            <w:tcBorders>
              <w:left w:val="single" w:sz="4" w:space="0" w:color="auto"/>
            </w:tcBorders>
            <w:shd w:val="clear" w:color="auto" w:fill="auto"/>
            <w:noWrap/>
            <w:vAlign w:val="bottom"/>
            <w:hideMark/>
          </w:tcPr>
          <w:p w14:paraId="61AD2D8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197.61</w:t>
            </w:r>
          </w:p>
        </w:tc>
        <w:tc>
          <w:tcPr>
            <w:tcW w:w="1085" w:type="dxa"/>
            <w:shd w:val="clear" w:color="auto" w:fill="auto"/>
            <w:noWrap/>
            <w:vAlign w:val="bottom"/>
            <w:hideMark/>
          </w:tcPr>
          <w:p w14:paraId="4BB9798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37168.88</w:t>
            </w:r>
          </w:p>
        </w:tc>
        <w:tc>
          <w:tcPr>
            <w:tcW w:w="1085" w:type="dxa"/>
            <w:shd w:val="clear" w:color="auto" w:fill="auto"/>
            <w:noWrap/>
            <w:vAlign w:val="bottom"/>
            <w:hideMark/>
          </w:tcPr>
          <w:p w14:paraId="2577FAD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59257.95</w:t>
            </w:r>
          </w:p>
        </w:tc>
        <w:tc>
          <w:tcPr>
            <w:tcW w:w="959" w:type="dxa"/>
            <w:shd w:val="clear" w:color="auto" w:fill="auto"/>
            <w:noWrap/>
            <w:vAlign w:val="bottom"/>
            <w:hideMark/>
          </w:tcPr>
          <w:p w14:paraId="06DE2EC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2196734.02</w:t>
            </w:r>
          </w:p>
        </w:tc>
        <w:tc>
          <w:tcPr>
            <w:tcW w:w="990" w:type="dxa"/>
            <w:shd w:val="clear" w:color="auto" w:fill="auto"/>
            <w:noWrap/>
            <w:vAlign w:val="bottom"/>
            <w:hideMark/>
          </w:tcPr>
          <w:p w14:paraId="14B5054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567.28</w:t>
            </w:r>
          </w:p>
        </w:tc>
        <w:tc>
          <w:tcPr>
            <w:tcW w:w="1003" w:type="dxa"/>
            <w:shd w:val="clear" w:color="auto" w:fill="auto"/>
            <w:noWrap/>
            <w:vAlign w:val="bottom"/>
            <w:hideMark/>
          </w:tcPr>
          <w:p w14:paraId="7F99044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756.81</w:t>
            </w:r>
          </w:p>
        </w:tc>
        <w:tc>
          <w:tcPr>
            <w:tcW w:w="1003" w:type="dxa"/>
            <w:shd w:val="clear" w:color="auto" w:fill="auto"/>
            <w:noWrap/>
            <w:vAlign w:val="bottom"/>
            <w:hideMark/>
          </w:tcPr>
          <w:p w14:paraId="2C45350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399.99</w:t>
            </w:r>
          </w:p>
        </w:tc>
        <w:tc>
          <w:tcPr>
            <w:tcW w:w="875" w:type="dxa"/>
            <w:shd w:val="clear" w:color="auto" w:fill="auto"/>
            <w:noWrap/>
            <w:vAlign w:val="bottom"/>
            <w:hideMark/>
          </w:tcPr>
          <w:p w14:paraId="76108B2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2333.74</w:t>
            </w:r>
          </w:p>
        </w:tc>
        <w:tc>
          <w:tcPr>
            <w:tcW w:w="944" w:type="dxa"/>
            <w:shd w:val="clear" w:color="auto" w:fill="auto"/>
            <w:noWrap/>
            <w:vAlign w:val="bottom"/>
            <w:hideMark/>
          </w:tcPr>
          <w:p w14:paraId="73B8800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1616234.76</w:t>
            </w:r>
          </w:p>
        </w:tc>
      </w:tr>
      <w:tr w:rsidR="00DE5BED" w:rsidRPr="00DE5BED" w14:paraId="259C2120" w14:textId="77777777" w:rsidTr="00DE5BED">
        <w:trPr>
          <w:trHeight w:val="300"/>
        </w:trPr>
        <w:tc>
          <w:tcPr>
            <w:tcW w:w="510" w:type="dxa"/>
            <w:tcBorders>
              <w:right w:val="single" w:sz="4" w:space="0" w:color="auto"/>
            </w:tcBorders>
            <w:shd w:val="clear" w:color="auto" w:fill="auto"/>
            <w:noWrap/>
            <w:vAlign w:val="bottom"/>
            <w:hideMark/>
          </w:tcPr>
          <w:p w14:paraId="7A1F9E6A"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2011</w:t>
            </w:r>
          </w:p>
        </w:tc>
        <w:tc>
          <w:tcPr>
            <w:tcW w:w="1017" w:type="dxa"/>
            <w:tcBorders>
              <w:left w:val="single" w:sz="4" w:space="0" w:color="auto"/>
            </w:tcBorders>
            <w:shd w:val="clear" w:color="auto" w:fill="auto"/>
            <w:noWrap/>
            <w:vAlign w:val="bottom"/>
            <w:hideMark/>
          </w:tcPr>
          <w:p w14:paraId="2A0D2ED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221.38</w:t>
            </w:r>
          </w:p>
        </w:tc>
        <w:tc>
          <w:tcPr>
            <w:tcW w:w="1085" w:type="dxa"/>
            <w:shd w:val="clear" w:color="auto" w:fill="auto"/>
            <w:noWrap/>
            <w:vAlign w:val="bottom"/>
            <w:hideMark/>
          </w:tcPr>
          <w:p w14:paraId="56CB8C8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51183.82</w:t>
            </w:r>
          </w:p>
        </w:tc>
        <w:tc>
          <w:tcPr>
            <w:tcW w:w="1085" w:type="dxa"/>
            <w:shd w:val="clear" w:color="auto" w:fill="auto"/>
            <w:noWrap/>
            <w:vAlign w:val="bottom"/>
            <w:hideMark/>
          </w:tcPr>
          <w:p w14:paraId="59DC0D3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34851.47</w:t>
            </w:r>
          </w:p>
        </w:tc>
        <w:tc>
          <w:tcPr>
            <w:tcW w:w="959" w:type="dxa"/>
            <w:shd w:val="clear" w:color="auto" w:fill="auto"/>
            <w:noWrap/>
            <w:vAlign w:val="bottom"/>
            <w:hideMark/>
          </w:tcPr>
          <w:p w14:paraId="69F494F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2205154.05</w:t>
            </w:r>
          </w:p>
        </w:tc>
        <w:tc>
          <w:tcPr>
            <w:tcW w:w="990" w:type="dxa"/>
            <w:shd w:val="clear" w:color="auto" w:fill="auto"/>
            <w:noWrap/>
            <w:vAlign w:val="bottom"/>
            <w:hideMark/>
          </w:tcPr>
          <w:p w14:paraId="6704476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608.35</w:t>
            </w:r>
          </w:p>
        </w:tc>
        <w:tc>
          <w:tcPr>
            <w:tcW w:w="1003" w:type="dxa"/>
            <w:shd w:val="clear" w:color="auto" w:fill="auto"/>
            <w:noWrap/>
            <w:vAlign w:val="bottom"/>
            <w:hideMark/>
          </w:tcPr>
          <w:p w14:paraId="2A33718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557.98</w:t>
            </w:r>
          </w:p>
        </w:tc>
        <w:tc>
          <w:tcPr>
            <w:tcW w:w="1003" w:type="dxa"/>
            <w:shd w:val="clear" w:color="auto" w:fill="auto"/>
            <w:noWrap/>
            <w:vAlign w:val="bottom"/>
            <w:hideMark/>
          </w:tcPr>
          <w:p w14:paraId="1296928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314.26</w:t>
            </w:r>
          </w:p>
        </w:tc>
        <w:tc>
          <w:tcPr>
            <w:tcW w:w="875" w:type="dxa"/>
            <w:shd w:val="clear" w:color="auto" w:fill="auto"/>
            <w:noWrap/>
            <w:vAlign w:val="bottom"/>
            <w:hideMark/>
          </w:tcPr>
          <w:p w14:paraId="3580C42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1765.00</w:t>
            </w:r>
          </w:p>
        </w:tc>
        <w:tc>
          <w:tcPr>
            <w:tcW w:w="944" w:type="dxa"/>
            <w:shd w:val="clear" w:color="auto" w:fill="auto"/>
            <w:noWrap/>
            <w:vAlign w:val="bottom"/>
            <w:hideMark/>
          </w:tcPr>
          <w:p w14:paraId="27F2B87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1618994.71</w:t>
            </w:r>
          </w:p>
        </w:tc>
      </w:tr>
      <w:tr w:rsidR="00DE5BED" w:rsidRPr="00DE5BED" w14:paraId="0EF235FB" w14:textId="77777777" w:rsidTr="00DE5BED">
        <w:trPr>
          <w:trHeight w:val="300"/>
        </w:trPr>
        <w:tc>
          <w:tcPr>
            <w:tcW w:w="510" w:type="dxa"/>
            <w:tcBorders>
              <w:right w:val="single" w:sz="4" w:space="0" w:color="auto"/>
            </w:tcBorders>
            <w:shd w:val="clear" w:color="auto" w:fill="auto"/>
            <w:noWrap/>
            <w:vAlign w:val="bottom"/>
            <w:hideMark/>
          </w:tcPr>
          <w:p w14:paraId="71AF8550"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2012</w:t>
            </w:r>
          </w:p>
        </w:tc>
        <w:tc>
          <w:tcPr>
            <w:tcW w:w="1017" w:type="dxa"/>
            <w:tcBorders>
              <w:left w:val="single" w:sz="4" w:space="0" w:color="auto"/>
            </w:tcBorders>
            <w:shd w:val="clear" w:color="auto" w:fill="auto"/>
            <w:noWrap/>
            <w:vAlign w:val="bottom"/>
            <w:hideMark/>
          </w:tcPr>
          <w:p w14:paraId="759A533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360.44</w:t>
            </w:r>
          </w:p>
        </w:tc>
        <w:tc>
          <w:tcPr>
            <w:tcW w:w="1085" w:type="dxa"/>
            <w:shd w:val="clear" w:color="auto" w:fill="auto"/>
            <w:noWrap/>
            <w:vAlign w:val="bottom"/>
            <w:hideMark/>
          </w:tcPr>
          <w:p w14:paraId="3C770FE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50772.56</w:t>
            </w:r>
          </w:p>
        </w:tc>
        <w:tc>
          <w:tcPr>
            <w:tcW w:w="1085" w:type="dxa"/>
            <w:shd w:val="clear" w:color="auto" w:fill="auto"/>
            <w:noWrap/>
            <w:vAlign w:val="bottom"/>
            <w:hideMark/>
          </w:tcPr>
          <w:p w14:paraId="3EAA60F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31552.81</w:t>
            </w:r>
          </w:p>
        </w:tc>
        <w:tc>
          <w:tcPr>
            <w:tcW w:w="959" w:type="dxa"/>
            <w:shd w:val="clear" w:color="auto" w:fill="auto"/>
            <w:noWrap/>
            <w:vAlign w:val="bottom"/>
            <w:hideMark/>
          </w:tcPr>
          <w:p w14:paraId="2957DA1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2189480.87</w:t>
            </w:r>
          </w:p>
        </w:tc>
        <w:tc>
          <w:tcPr>
            <w:tcW w:w="990" w:type="dxa"/>
            <w:shd w:val="clear" w:color="auto" w:fill="auto"/>
            <w:noWrap/>
            <w:vAlign w:val="bottom"/>
            <w:hideMark/>
          </w:tcPr>
          <w:p w14:paraId="2A55D0A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258.97</w:t>
            </w:r>
          </w:p>
        </w:tc>
        <w:tc>
          <w:tcPr>
            <w:tcW w:w="1003" w:type="dxa"/>
            <w:shd w:val="clear" w:color="auto" w:fill="auto"/>
            <w:noWrap/>
            <w:vAlign w:val="bottom"/>
            <w:hideMark/>
          </w:tcPr>
          <w:p w14:paraId="3932C15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334.27</w:t>
            </w:r>
          </w:p>
        </w:tc>
        <w:tc>
          <w:tcPr>
            <w:tcW w:w="1003" w:type="dxa"/>
            <w:shd w:val="clear" w:color="auto" w:fill="auto"/>
            <w:noWrap/>
            <w:vAlign w:val="bottom"/>
            <w:hideMark/>
          </w:tcPr>
          <w:p w14:paraId="6B30915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460.66</w:t>
            </w:r>
          </w:p>
        </w:tc>
        <w:tc>
          <w:tcPr>
            <w:tcW w:w="875" w:type="dxa"/>
            <w:shd w:val="clear" w:color="auto" w:fill="auto"/>
            <w:noWrap/>
            <w:vAlign w:val="bottom"/>
            <w:hideMark/>
          </w:tcPr>
          <w:p w14:paraId="41452CF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1707.40</w:t>
            </w:r>
          </w:p>
        </w:tc>
        <w:tc>
          <w:tcPr>
            <w:tcW w:w="944" w:type="dxa"/>
            <w:shd w:val="clear" w:color="auto" w:fill="auto"/>
            <w:noWrap/>
            <w:vAlign w:val="bottom"/>
            <w:hideMark/>
          </w:tcPr>
          <w:p w14:paraId="15DB08E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1638723.05</w:t>
            </w:r>
          </w:p>
        </w:tc>
      </w:tr>
      <w:tr w:rsidR="00DE5BED" w:rsidRPr="00DE5BED" w14:paraId="71F78DEA" w14:textId="77777777" w:rsidTr="00DE5BED">
        <w:trPr>
          <w:trHeight w:val="300"/>
        </w:trPr>
        <w:tc>
          <w:tcPr>
            <w:tcW w:w="510" w:type="dxa"/>
            <w:tcBorders>
              <w:right w:val="single" w:sz="4" w:space="0" w:color="auto"/>
            </w:tcBorders>
            <w:shd w:val="clear" w:color="auto" w:fill="auto"/>
            <w:noWrap/>
            <w:vAlign w:val="bottom"/>
            <w:hideMark/>
          </w:tcPr>
          <w:p w14:paraId="7D0D9567"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2013</w:t>
            </w:r>
          </w:p>
        </w:tc>
        <w:tc>
          <w:tcPr>
            <w:tcW w:w="1017" w:type="dxa"/>
            <w:tcBorders>
              <w:left w:val="single" w:sz="4" w:space="0" w:color="auto"/>
            </w:tcBorders>
            <w:shd w:val="clear" w:color="auto" w:fill="auto"/>
            <w:noWrap/>
            <w:vAlign w:val="bottom"/>
            <w:hideMark/>
          </w:tcPr>
          <w:p w14:paraId="0D298B9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778.22</w:t>
            </w:r>
          </w:p>
        </w:tc>
        <w:tc>
          <w:tcPr>
            <w:tcW w:w="1085" w:type="dxa"/>
            <w:shd w:val="clear" w:color="auto" w:fill="auto"/>
            <w:noWrap/>
            <w:vAlign w:val="bottom"/>
            <w:hideMark/>
          </w:tcPr>
          <w:p w14:paraId="0DDD5E1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51946.23</w:t>
            </w:r>
          </w:p>
        </w:tc>
        <w:tc>
          <w:tcPr>
            <w:tcW w:w="1085" w:type="dxa"/>
            <w:shd w:val="clear" w:color="auto" w:fill="auto"/>
            <w:noWrap/>
            <w:vAlign w:val="bottom"/>
            <w:hideMark/>
          </w:tcPr>
          <w:p w14:paraId="006FC60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26233.29</w:t>
            </w:r>
          </w:p>
        </w:tc>
        <w:tc>
          <w:tcPr>
            <w:tcW w:w="959" w:type="dxa"/>
            <w:shd w:val="clear" w:color="auto" w:fill="auto"/>
            <w:noWrap/>
            <w:vAlign w:val="bottom"/>
            <w:hideMark/>
          </w:tcPr>
          <w:p w14:paraId="5B0D491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2168568.21</w:t>
            </w:r>
          </w:p>
        </w:tc>
        <w:tc>
          <w:tcPr>
            <w:tcW w:w="990" w:type="dxa"/>
            <w:shd w:val="clear" w:color="auto" w:fill="auto"/>
            <w:noWrap/>
            <w:vAlign w:val="bottom"/>
            <w:hideMark/>
          </w:tcPr>
          <w:p w14:paraId="27BAFBC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259.03</w:t>
            </w:r>
          </w:p>
        </w:tc>
        <w:tc>
          <w:tcPr>
            <w:tcW w:w="1003" w:type="dxa"/>
            <w:shd w:val="clear" w:color="auto" w:fill="auto"/>
            <w:noWrap/>
            <w:vAlign w:val="bottom"/>
            <w:hideMark/>
          </w:tcPr>
          <w:p w14:paraId="4B5A24F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288.40</w:t>
            </w:r>
          </w:p>
        </w:tc>
        <w:tc>
          <w:tcPr>
            <w:tcW w:w="1003" w:type="dxa"/>
            <w:shd w:val="clear" w:color="auto" w:fill="auto"/>
            <w:noWrap/>
            <w:vAlign w:val="bottom"/>
            <w:hideMark/>
          </w:tcPr>
          <w:p w14:paraId="5C47D9A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839.28</w:t>
            </w:r>
          </w:p>
        </w:tc>
        <w:tc>
          <w:tcPr>
            <w:tcW w:w="875" w:type="dxa"/>
            <w:shd w:val="clear" w:color="auto" w:fill="auto"/>
            <w:noWrap/>
            <w:vAlign w:val="bottom"/>
            <w:hideMark/>
          </w:tcPr>
          <w:p w14:paraId="4B7522D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1981.06</w:t>
            </w:r>
          </w:p>
        </w:tc>
        <w:tc>
          <w:tcPr>
            <w:tcW w:w="944" w:type="dxa"/>
            <w:shd w:val="clear" w:color="auto" w:fill="auto"/>
            <w:noWrap/>
            <w:vAlign w:val="bottom"/>
            <w:hideMark/>
          </w:tcPr>
          <w:p w14:paraId="67C7AAF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1662757.32</w:t>
            </w:r>
          </w:p>
        </w:tc>
      </w:tr>
      <w:tr w:rsidR="00DE5BED" w:rsidRPr="00DE5BED" w14:paraId="7ACB7E0C" w14:textId="77777777" w:rsidTr="00DE5BED">
        <w:trPr>
          <w:trHeight w:val="300"/>
        </w:trPr>
        <w:tc>
          <w:tcPr>
            <w:tcW w:w="510" w:type="dxa"/>
            <w:tcBorders>
              <w:right w:val="single" w:sz="4" w:space="0" w:color="auto"/>
            </w:tcBorders>
            <w:shd w:val="clear" w:color="auto" w:fill="auto"/>
            <w:noWrap/>
            <w:vAlign w:val="bottom"/>
            <w:hideMark/>
          </w:tcPr>
          <w:p w14:paraId="410C3A53"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2014</w:t>
            </w:r>
          </w:p>
        </w:tc>
        <w:tc>
          <w:tcPr>
            <w:tcW w:w="1017" w:type="dxa"/>
            <w:tcBorders>
              <w:left w:val="single" w:sz="4" w:space="0" w:color="auto"/>
            </w:tcBorders>
            <w:shd w:val="clear" w:color="auto" w:fill="auto"/>
            <w:noWrap/>
            <w:vAlign w:val="bottom"/>
            <w:hideMark/>
          </w:tcPr>
          <w:p w14:paraId="0D2666C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728.43</w:t>
            </w:r>
          </w:p>
        </w:tc>
        <w:tc>
          <w:tcPr>
            <w:tcW w:w="1085" w:type="dxa"/>
            <w:shd w:val="clear" w:color="auto" w:fill="auto"/>
            <w:noWrap/>
            <w:vAlign w:val="bottom"/>
            <w:hideMark/>
          </w:tcPr>
          <w:p w14:paraId="1541DE5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48572.03</w:t>
            </w:r>
          </w:p>
        </w:tc>
        <w:tc>
          <w:tcPr>
            <w:tcW w:w="1085" w:type="dxa"/>
            <w:shd w:val="clear" w:color="auto" w:fill="auto"/>
            <w:noWrap/>
            <w:vAlign w:val="bottom"/>
            <w:hideMark/>
          </w:tcPr>
          <w:p w14:paraId="1AFADD9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24426.61</w:t>
            </w:r>
          </w:p>
        </w:tc>
        <w:tc>
          <w:tcPr>
            <w:tcW w:w="959" w:type="dxa"/>
            <w:shd w:val="clear" w:color="auto" w:fill="auto"/>
            <w:noWrap/>
            <w:vAlign w:val="bottom"/>
            <w:hideMark/>
          </w:tcPr>
          <w:p w14:paraId="251294C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2145760.07</w:t>
            </w:r>
          </w:p>
        </w:tc>
        <w:tc>
          <w:tcPr>
            <w:tcW w:w="990" w:type="dxa"/>
            <w:shd w:val="clear" w:color="auto" w:fill="auto"/>
            <w:noWrap/>
            <w:vAlign w:val="bottom"/>
            <w:hideMark/>
          </w:tcPr>
          <w:p w14:paraId="54E1C03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273.09</w:t>
            </w:r>
          </w:p>
        </w:tc>
        <w:tc>
          <w:tcPr>
            <w:tcW w:w="1003" w:type="dxa"/>
            <w:shd w:val="clear" w:color="auto" w:fill="auto"/>
            <w:noWrap/>
            <w:vAlign w:val="bottom"/>
            <w:hideMark/>
          </w:tcPr>
          <w:p w14:paraId="739749A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248.45</w:t>
            </w:r>
          </w:p>
        </w:tc>
        <w:tc>
          <w:tcPr>
            <w:tcW w:w="1003" w:type="dxa"/>
            <w:shd w:val="clear" w:color="auto" w:fill="auto"/>
            <w:noWrap/>
            <w:vAlign w:val="bottom"/>
            <w:hideMark/>
          </w:tcPr>
          <w:p w14:paraId="0DF27A4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924.54</w:t>
            </w:r>
          </w:p>
        </w:tc>
        <w:tc>
          <w:tcPr>
            <w:tcW w:w="875" w:type="dxa"/>
            <w:shd w:val="clear" w:color="auto" w:fill="auto"/>
            <w:noWrap/>
            <w:vAlign w:val="bottom"/>
            <w:hideMark/>
          </w:tcPr>
          <w:p w14:paraId="2A4A603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3077.01</w:t>
            </w:r>
          </w:p>
        </w:tc>
        <w:tc>
          <w:tcPr>
            <w:tcW w:w="944" w:type="dxa"/>
            <w:shd w:val="clear" w:color="auto" w:fill="auto"/>
            <w:noWrap/>
            <w:vAlign w:val="bottom"/>
            <w:hideMark/>
          </w:tcPr>
          <w:p w14:paraId="025B11E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1689640.81</w:t>
            </w:r>
          </w:p>
        </w:tc>
      </w:tr>
      <w:tr w:rsidR="00DE5BED" w:rsidRPr="00DE5BED" w14:paraId="3457FDB1" w14:textId="77777777" w:rsidTr="00DE5BED">
        <w:trPr>
          <w:trHeight w:val="300"/>
        </w:trPr>
        <w:tc>
          <w:tcPr>
            <w:tcW w:w="510" w:type="dxa"/>
            <w:tcBorders>
              <w:right w:val="single" w:sz="4" w:space="0" w:color="auto"/>
            </w:tcBorders>
            <w:shd w:val="clear" w:color="auto" w:fill="auto"/>
            <w:noWrap/>
            <w:vAlign w:val="bottom"/>
            <w:hideMark/>
          </w:tcPr>
          <w:p w14:paraId="6BAF811A"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2015</w:t>
            </w:r>
          </w:p>
        </w:tc>
        <w:tc>
          <w:tcPr>
            <w:tcW w:w="1017" w:type="dxa"/>
            <w:tcBorders>
              <w:left w:val="single" w:sz="4" w:space="0" w:color="auto"/>
            </w:tcBorders>
            <w:shd w:val="clear" w:color="auto" w:fill="auto"/>
            <w:noWrap/>
            <w:vAlign w:val="bottom"/>
            <w:hideMark/>
          </w:tcPr>
          <w:p w14:paraId="46F8C53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827.57</w:t>
            </w:r>
          </w:p>
        </w:tc>
        <w:tc>
          <w:tcPr>
            <w:tcW w:w="1085" w:type="dxa"/>
            <w:shd w:val="clear" w:color="auto" w:fill="auto"/>
            <w:noWrap/>
            <w:vAlign w:val="bottom"/>
            <w:hideMark/>
          </w:tcPr>
          <w:p w14:paraId="50B1E7A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44177.81</w:t>
            </w:r>
          </w:p>
        </w:tc>
        <w:tc>
          <w:tcPr>
            <w:tcW w:w="1085" w:type="dxa"/>
            <w:shd w:val="clear" w:color="auto" w:fill="auto"/>
            <w:noWrap/>
            <w:vAlign w:val="bottom"/>
            <w:hideMark/>
          </w:tcPr>
          <w:p w14:paraId="5410DF5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24307.92</w:t>
            </w:r>
          </w:p>
        </w:tc>
        <w:tc>
          <w:tcPr>
            <w:tcW w:w="959" w:type="dxa"/>
            <w:shd w:val="clear" w:color="auto" w:fill="auto"/>
            <w:noWrap/>
            <w:vAlign w:val="bottom"/>
            <w:hideMark/>
          </w:tcPr>
          <w:p w14:paraId="2655C9A1"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2125454.38</w:t>
            </w:r>
          </w:p>
        </w:tc>
        <w:tc>
          <w:tcPr>
            <w:tcW w:w="990" w:type="dxa"/>
            <w:shd w:val="clear" w:color="auto" w:fill="auto"/>
            <w:noWrap/>
            <w:vAlign w:val="bottom"/>
            <w:hideMark/>
          </w:tcPr>
          <w:p w14:paraId="4424ECF8"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418.36</w:t>
            </w:r>
          </w:p>
        </w:tc>
        <w:tc>
          <w:tcPr>
            <w:tcW w:w="1003" w:type="dxa"/>
            <w:shd w:val="clear" w:color="auto" w:fill="auto"/>
            <w:noWrap/>
            <w:vAlign w:val="bottom"/>
            <w:hideMark/>
          </w:tcPr>
          <w:p w14:paraId="57A3CAD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325.75</w:t>
            </w:r>
          </w:p>
        </w:tc>
        <w:tc>
          <w:tcPr>
            <w:tcW w:w="1003" w:type="dxa"/>
            <w:shd w:val="clear" w:color="auto" w:fill="auto"/>
            <w:noWrap/>
            <w:vAlign w:val="bottom"/>
            <w:hideMark/>
          </w:tcPr>
          <w:p w14:paraId="41AAB29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1311.83</w:t>
            </w:r>
          </w:p>
        </w:tc>
        <w:tc>
          <w:tcPr>
            <w:tcW w:w="875" w:type="dxa"/>
            <w:shd w:val="clear" w:color="auto" w:fill="auto"/>
            <w:noWrap/>
            <w:vAlign w:val="bottom"/>
            <w:hideMark/>
          </w:tcPr>
          <w:p w14:paraId="4C93169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3985.87</w:t>
            </w:r>
          </w:p>
        </w:tc>
        <w:tc>
          <w:tcPr>
            <w:tcW w:w="944" w:type="dxa"/>
            <w:shd w:val="clear" w:color="auto" w:fill="auto"/>
            <w:noWrap/>
            <w:vAlign w:val="bottom"/>
            <w:hideMark/>
          </w:tcPr>
          <w:p w14:paraId="41D570D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1712841.53</w:t>
            </w:r>
          </w:p>
        </w:tc>
      </w:tr>
      <w:tr w:rsidR="00DE5BED" w:rsidRPr="00DE5BED" w14:paraId="01C4C04D" w14:textId="77777777" w:rsidTr="00DE5BED">
        <w:trPr>
          <w:trHeight w:val="300"/>
        </w:trPr>
        <w:tc>
          <w:tcPr>
            <w:tcW w:w="510" w:type="dxa"/>
            <w:tcBorders>
              <w:right w:val="single" w:sz="4" w:space="0" w:color="auto"/>
            </w:tcBorders>
            <w:shd w:val="clear" w:color="auto" w:fill="auto"/>
            <w:noWrap/>
            <w:vAlign w:val="bottom"/>
            <w:hideMark/>
          </w:tcPr>
          <w:p w14:paraId="2EAC519C"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2016</w:t>
            </w:r>
          </w:p>
        </w:tc>
        <w:tc>
          <w:tcPr>
            <w:tcW w:w="1017" w:type="dxa"/>
            <w:tcBorders>
              <w:left w:val="single" w:sz="4" w:space="0" w:color="auto"/>
            </w:tcBorders>
            <w:shd w:val="clear" w:color="auto" w:fill="auto"/>
            <w:noWrap/>
            <w:vAlign w:val="bottom"/>
            <w:hideMark/>
          </w:tcPr>
          <w:p w14:paraId="23C38D2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664.63</w:t>
            </w:r>
          </w:p>
        </w:tc>
        <w:tc>
          <w:tcPr>
            <w:tcW w:w="1085" w:type="dxa"/>
            <w:shd w:val="clear" w:color="auto" w:fill="auto"/>
            <w:noWrap/>
            <w:vAlign w:val="bottom"/>
            <w:hideMark/>
          </w:tcPr>
          <w:p w14:paraId="200A4BC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41650.98</w:t>
            </w:r>
          </w:p>
        </w:tc>
        <w:tc>
          <w:tcPr>
            <w:tcW w:w="1085" w:type="dxa"/>
            <w:shd w:val="clear" w:color="auto" w:fill="auto"/>
            <w:noWrap/>
            <w:vAlign w:val="bottom"/>
            <w:hideMark/>
          </w:tcPr>
          <w:p w14:paraId="460A303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25497.86</w:t>
            </w:r>
          </w:p>
        </w:tc>
        <w:tc>
          <w:tcPr>
            <w:tcW w:w="959" w:type="dxa"/>
            <w:shd w:val="clear" w:color="auto" w:fill="auto"/>
            <w:noWrap/>
            <w:vAlign w:val="bottom"/>
            <w:hideMark/>
          </w:tcPr>
          <w:p w14:paraId="0FE891C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2107865.06</w:t>
            </w:r>
          </w:p>
        </w:tc>
        <w:tc>
          <w:tcPr>
            <w:tcW w:w="990" w:type="dxa"/>
            <w:shd w:val="clear" w:color="auto" w:fill="auto"/>
            <w:noWrap/>
            <w:vAlign w:val="bottom"/>
            <w:hideMark/>
          </w:tcPr>
          <w:p w14:paraId="682DA3C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619.91</w:t>
            </w:r>
          </w:p>
        </w:tc>
        <w:tc>
          <w:tcPr>
            <w:tcW w:w="1003" w:type="dxa"/>
            <w:shd w:val="clear" w:color="auto" w:fill="auto"/>
            <w:noWrap/>
            <w:vAlign w:val="bottom"/>
            <w:hideMark/>
          </w:tcPr>
          <w:p w14:paraId="39F03E3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461.11</w:t>
            </w:r>
          </w:p>
        </w:tc>
        <w:tc>
          <w:tcPr>
            <w:tcW w:w="1003" w:type="dxa"/>
            <w:shd w:val="clear" w:color="auto" w:fill="auto"/>
            <w:noWrap/>
            <w:vAlign w:val="bottom"/>
            <w:hideMark/>
          </w:tcPr>
          <w:p w14:paraId="508F9DA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1133.27</w:t>
            </w:r>
          </w:p>
        </w:tc>
        <w:tc>
          <w:tcPr>
            <w:tcW w:w="875" w:type="dxa"/>
            <w:shd w:val="clear" w:color="auto" w:fill="auto"/>
            <w:noWrap/>
            <w:vAlign w:val="bottom"/>
            <w:hideMark/>
          </w:tcPr>
          <w:p w14:paraId="30A0933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5044.25</w:t>
            </w:r>
          </w:p>
        </w:tc>
        <w:tc>
          <w:tcPr>
            <w:tcW w:w="944" w:type="dxa"/>
            <w:shd w:val="clear" w:color="auto" w:fill="auto"/>
            <w:noWrap/>
            <w:vAlign w:val="bottom"/>
            <w:hideMark/>
          </w:tcPr>
          <w:p w14:paraId="1B3CACFA"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1730713.97</w:t>
            </w:r>
          </w:p>
        </w:tc>
      </w:tr>
      <w:tr w:rsidR="00DE5BED" w:rsidRPr="00DE5BED" w14:paraId="72D9E014" w14:textId="77777777" w:rsidTr="00DE5BED">
        <w:trPr>
          <w:trHeight w:val="300"/>
        </w:trPr>
        <w:tc>
          <w:tcPr>
            <w:tcW w:w="510" w:type="dxa"/>
            <w:tcBorders>
              <w:right w:val="single" w:sz="4" w:space="0" w:color="auto"/>
            </w:tcBorders>
            <w:shd w:val="clear" w:color="auto" w:fill="auto"/>
            <w:noWrap/>
            <w:vAlign w:val="bottom"/>
            <w:hideMark/>
          </w:tcPr>
          <w:p w14:paraId="7411F667"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2017</w:t>
            </w:r>
          </w:p>
        </w:tc>
        <w:tc>
          <w:tcPr>
            <w:tcW w:w="1017" w:type="dxa"/>
            <w:tcBorders>
              <w:left w:val="single" w:sz="4" w:space="0" w:color="auto"/>
            </w:tcBorders>
            <w:shd w:val="clear" w:color="auto" w:fill="auto"/>
            <w:noWrap/>
            <w:vAlign w:val="bottom"/>
            <w:hideMark/>
          </w:tcPr>
          <w:p w14:paraId="7026C29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590.38</w:t>
            </w:r>
          </w:p>
        </w:tc>
        <w:tc>
          <w:tcPr>
            <w:tcW w:w="1085" w:type="dxa"/>
            <w:shd w:val="clear" w:color="auto" w:fill="auto"/>
            <w:noWrap/>
            <w:vAlign w:val="bottom"/>
            <w:hideMark/>
          </w:tcPr>
          <w:p w14:paraId="1A04A88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41812.73</w:t>
            </w:r>
          </w:p>
        </w:tc>
        <w:tc>
          <w:tcPr>
            <w:tcW w:w="1085" w:type="dxa"/>
            <w:shd w:val="clear" w:color="auto" w:fill="auto"/>
            <w:noWrap/>
            <w:vAlign w:val="bottom"/>
            <w:hideMark/>
          </w:tcPr>
          <w:p w14:paraId="3FC1EC07"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27459.44</w:t>
            </w:r>
          </w:p>
        </w:tc>
        <w:tc>
          <w:tcPr>
            <w:tcW w:w="959" w:type="dxa"/>
            <w:shd w:val="clear" w:color="auto" w:fill="auto"/>
            <w:noWrap/>
            <w:vAlign w:val="bottom"/>
            <w:hideMark/>
          </w:tcPr>
          <w:p w14:paraId="0D88B019"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2091579.72</w:t>
            </w:r>
          </w:p>
        </w:tc>
        <w:tc>
          <w:tcPr>
            <w:tcW w:w="990" w:type="dxa"/>
            <w:shd w:val="clear" w:color="auto" w:fill="auto"/>
            <w:noWrap/>
            <w:vAlign w:val="bottom"/>
            <w:hideMark/>
          </w:tcPr>
          <w:p w14:paraId="4FD8639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815.48</w:t>
            </w:r>
          </w:p>
        </w:tc>
        <w:tc>
          <w:tcPr>
            <w:tcW w:w="1003" w:type="dxa"/>
            <w:shd w:val="clear" w:color="auto" w:fill="auto"/>
            <w:noWrap/>
            <w:vAlign w:val="bottom"/>
            <w:hideMark/>
          </w:tcPr>
          <w:p w14:paraId="3B7217D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571.50</w:t>
            </w:r>
          </w:p>
        </w:tc>
        <w:tc>
          <w:tcPr>
            <w:tcW w:w="1003" w:type="dxa"/>
            <w:shd w:val="clear" w:color="auto" w:fill="auto"/>
            <w:noWrap/>
            <w:vAlign w:val="bottom"/>
            <w:hideMark/>
          </w:tcPr>
          <w:p w14:paraId="23084C9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960.17</w:t>
            </w:r>
          </w:p>
        </w:tc>
        <w:tc>
          <w:tcPr>
            <w:tcW w:w="875" w:type="dxa"/>
            <w:shd w:val="clear" w:color="auto" w:fill="auto"/>
            <w:noWrap/>
            <w:vAlign w:val="bottom"/>
            <w:hideMark/>
          </w:tcPr>
          <w:p w14:paraId="1070433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5455.17</w:t>
            </w:r>
          </w:p>
        </w:tc>
        <w:tc>
          <w:tcPr>
            <w:tcW w:w="944" w:type="dxa"/>
            <w:shd w:val="clear" w:color="auto" w:fill="auto"/>
            <w:noWrap/>
            <w:vAlign w:val="bottom"/>
            <w:hideMark/>
          </w:tcPr>
          <w:p w14:paraId="3DD0159C"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1744406.44</w:t>
            </w:r>
          </w:p>
        </w:tc>
      </w:tr>
      <w:tr w:rsidR="00DE5BED" w:rsidRPr="00DE5BED" w14:paraId="42B026B9" w14:textId="77777777" w:rsidTr="00DE5BED">
        <w:trPr>
          <w:trHeight w:val="300"/>
        </w:trPr>
        <w:tc>
          <w:tcPr>
            <w:tcW w:w="510" w:type="dxa"/>
            <w:tcBorders>
              <w:right w:val="single" w:sz="4" w:space="0" w:color="auto"/>
            </w:tcBorders>
            <w:shd w:val="clear" w:color="auto" w:fill="auto"/>
            <w:noWrap/>
            <w:vAlign w:val="bottom"/>
            <w:hideMark/>
          </w:tcPr>
          <w:p w14:paraId="2B765A60"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2018</w:t>
            </w:r>
          </w:p>
        </w:tc>
        <w:tc>
          <w:tcPr>
            <w:tcW w:w="1017" w:type="dxa"/>
            <w:tcBorders>
              <w:left w:val="single" w:sz="4" w:space="0" w:color="auto"/>
            </w:tcBorders>
            <w:shd w:val="clear" w:color="auto" w:fill="auto"/>
            <w:noWrap/>
            <w:vAlign w:val="bottom"/>
            <w:hideMark/>
          </w:tcPr>
          <w:p w14:paraId="7675D922"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454.13</w:t>
            </w:r>
          </w:p>
        </w:tc>
        <w:tc>
          <w:tcPr>
            <w:tcW w:w="1085" w:type="dxa"/>
            <w:shd w:val="clear" w:color="auto" w:fill="auto"/>
            <w:noWrap/>
            <w:vAlign w:val="bottom"/>
            <w:hideMark/>
          </w:tcPr>
          <w:p w14:paraId="2217D96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40456.52</w:t>
            </w:r>
          </w:p>
        </w:tc>
        <w:tc>
          <w:tcPr>
            <w:tcW w:w="1085" w:type="dxa"/>
            <w:shd w:val="clear" w:color="auto" w:fill="auto"/>
            <w:noWrap/>
            <w:vAlign w:val="bottom"/>
            <w:hideMark/>
          </w:tcPr>
          <w:p w14:paraId="07FBF53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36201.96</w:t>
            </w:r>
          </w:p>
        </w:tc>
        <w:tc>
          <w:tcPr>
            <w:tcW w:w="959" w:type="dxa"/>
            <w:shd w:val="clear" w:color="auto" w:fill="auto"/>
            <w:noWrap/>
            <w:vAlign w:val="bottom"/>
            <w:hideMark/>
          </w:tcPr>
          <w:p w14:paraId="67FA628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2078943.99</w:t>
            </w:r>
          </w:p>
        </w:tc>
        <w:tc>
          <w:tcPr>
            <w:tcW w:w="990" w:type="dxa"/>
            <w:shd w:val="clear" w:color="auto" w:fill="auto"/>
            <w:noWrap/>
            <w:vAlign w:val="bottom"/>
            <w:hideMark/>
          </w:tcPr>
          <w:p w14:paraId="0BA25C9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1033.48</w:t>
            </w:r>
          </w:p>
        </w:tc>
        <w:tc>
          <w:tcPr>
            <w:tcW w:w="1003" w:type="dxa"/>
            <w:shd w:val="clear" w:color="auto" w:fill="auto"/>
            <w:noWrap/>
            <w:vAlign w:val="bottom"/>
            <w:hideMark/>
          </w:tcPr>
          <w:p w14:paraId="6EC7B3C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772.85</w:t>
            </w:r>
          </w:p>
        </w:tc>
        <w:tc>
          <w:tcPr>
            <w:tcW w:w="1003" w:type="dxa"/>
            <w:shd w:val="clear" w:color="auto" w:fill="auto"/>
            <w:noWrap/>
            <w:vAlign w:val="bottom"/>
            <w:hideMark/>
          </w:tcPr>
          <w:p w14:paraId="7E488A5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540.72</w:t>
            </w:r>
          </w:p>
        </w:tc>
        <w:tc>
          <w:tcPr>
            <w:tcW w:w="875" w:type="dxa"/>
            <w:shd w:val="clear" w:color="auto" w:fill="auto"/>
            <w:noWrap/>
            <w:vAlign w:val="bottom"/>
            <w:hideMark/>
          </w:tcPr>
          <w:p w14:paraId="3FF13774"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5199.39</w:t>
            </w:r>
          </w:p>
        </w:tc>
        <w:tc>
          <w:tcPr>
            <w:tcW w:w="944" w:type="dxa"/>
            <w:shd w:val="clear" w:color="auto" w:fill="auto"/>
            <w:noWrap/>
            <w:vAlign w:val="bottom"/>
            <w:hideMark/>
          </w:tcPr>
          <w:p w14:paraId="23E927F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1750047.99</w:t>
            </w:r>
          </w:p>
        </w:tc>
      </w:tr>
      <w:tr w:rsidR="00DE5BED" w:rsidRPr="00DE5BED" w14:paraId="24E51D90" w14:textId="77777777" w:rsidTr="00DE5BED">
        <w:trPr>
          <w:trHeight w:val="300"/>
        </w:trPr>
        <w:tc>
          <w:tcPr>
            <w:tcW w:w="510" w:type="dxa"/>
            <w:tcBorders>
              <w:bottom w:val="single" w:sz="4" w:space="0" w:color="auto"/>
              <w:right w:val="single" w:sz="4" w:space="0" w:color="auto"/>
            </w:tcBorders>
            <w:shd w:val="clear" w:color="auto" w:fill="auto"/>
            <w:noWrap/>
            <w:vAlign w:val="bottom"/>
            <w:hideMark/>
          </w:tcPr>
          <w:p w14:paraId="7ACA4CD0" w14:textId="77777777" w:rsidR="00DE5BED" w:rsidRPr="00DE5BED" w:rsidRDefault="00DE5BED" w:rsidP="00DE5BED">
            <w:pPr>
              <w:suppressAutoHyphens w:val="0"/>
              <w:spacing w:after="0" w:line="240" w:lineRule="auto"/>
              <w:jc w:val="right"/>
              <w:rPr>
                <w:rFonts w:ascii="Calibri" w:eastAsia="Times New Roman" w:hAnsi="Calibri" w:cs="Calibri"/>
                <w:b/>
                <w:bCs/>
                <w:color w:val="000000"/>
                <w:sz w:val="18"/>
                <w:szCs w:val="18"/>
              </w:rPr>
            </w:pPr>
            <w:r w:rsidRPr="00DE5BED">
              <w:rPr>
                <w:rFonts w:ascii="Calibri" w:eastAsia="Times New Roman" w:hAnsi="Calibri" w:cs="Calibri"/>
                <w:b/>
                <w:bCs/>
                <w:color w:val="000000"/>
                <w:sz w:val="18"/>
                <w:szCs w:val="18"/>
              </w:rPr>
              <w:t>2019</w:t>
            </w:r>
          </w:p>
        </w:tc>
        <w:tc>
          <w:tcPr>
            <w:tcW w:w="1017" w:type="dxa"/>
            <w:tcBorders>
              <w:left w:val="single" w:sz="4" w:space="0" w:color="auto"/>
            </w:tcBorders>
            <w:shd w:val="clear" w:color="auto" w:fill="auto"/>
            <w:noWrap/>
            <w:vAlign w:val="bottom"/>
            <w:hideMark/>
          </w:tcPr>
          <w:p w14:paraId="3DF1BDF3"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1121.13</w:t>
            </w:r>
          </w:p>
        </w:tc>
        <w:tc>
          <w:tcPr>
            <w:tcW w:w="1085" w:type="dxa"/>
            <w:shd w:val="clear" w:color="auto" w:fill="auto"/>
            <w:noWrap/>
            <w:vAlign w:val="bottom"/>
            <w:hideMark/>
          </w:tcPr>
          <w:p w14:paraId="7E10ECD0"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41268.30</w:t>
            </w:r>
          </w:p>
        </w:tc>
        <w:tc>
          <w:tcPr>
            <w:tcW w:w="1085" w:type="dxa"/>
            <w:shd w:val="clear" w:color="auto" w:fill="auto"/>
            <w:noWrap/>
            <w:vAlign w:val="bottom"/>
            <w:hideMark/>
          </w:tcPr>
          <w:p w14:paraId="6A59EA16"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49130.99</w:t>
            </w:r>
          </w:p>
        </w:tc>
        <w:tc>
          <w:tcPr>
            <w:tcW w:w="959" w:type="dxa"/>
            <w:shd w:val="clear" w:color="auto" w:fill="auto"/>
            <w:noWrap/>
            <w:vAlign w:val="bottom"/>
            <w:hideMark/>
          </w:tcPr>
          <w:p w14:paraId="16763805"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2073790.00</w:t>
            </w:r>
          </w:p>
        </w:tc>
        <w:tc>
          <w:tcPr>
            <w:tcW w:w="990" w:type="dxa"/>
            <w:shd w:val="clear" w:color="auto" w:fill="auto"/>
            <w:noWrap/>
            <w:vAlign w:val="bottom"/>
            <w:hideMark/>
          </w:tcPr>
          <w:p w14:paraId="504FCC1E"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1130.09</w:t>
            </w:r>
          </w:p>
        </w:tc>
        <w:tc>
          <w:tcPr>
            <w:tcW w:w="1003" w:type="dxa"/>
            <w:shd w:val="clear" w:color="auto" w:fill="auto"/>
            <w:noWrap/>
            <w:vAlign w:val="bottom"/>
            <w:hideMark/>
          </w:tcPr>
          <w:p w14:paraId="20566C7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618.84</w:t>
            </w:r>
          </w:p>
        </w:tc>
        <w:tc>
          <w:tcPr>
            <w:tcW w:w="1003" w:type="dxa"/>
            <w:shd w:val="clear" w:color="auto" w:fill="auto"/>
            <w:noWrap/>
            <w:vAlign w:val="bottom"/>
            <w:hideMark/>
          </w:tcPr>
          <w:p w14:paraId="2E8D168F"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2378.16</w:t>
            </w:r>
          </w:p>
        </w:tc>
        <w:tc>
          <w:tcPr>
            <w:tcW w:w="875" w:type="dxa"/>
            <w:shd w:val="clear" w:color="auto" w:fill="auto"/>
            <w:noWrap/>
            <w:vAlign w:val="bottom"/>
            <w:hideMark/>
          </w:tcPr>
          <w:p w14:paraId="75A73E4B"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4445.30</w:t>
            </w:r>
          </w:p>
        </w:tc>
        <w:tc>
          <w:tcPr>
            <w:tcW w:w="944" w:type="dxa"/>
            <w:shd w:val="clear" w:color="auto" w:fill="auto"/>
            <w:noWrap/>
            <w:vAlign w:val="bottom"/>
            <w:hideMark/>
          </w:tcPr>
          <w:p w14:paraId="2C0DB4FD" w14:textId="77777777" w:rsidR="00DE5BED" w:rsidRPr="00DE5BED" w:rsidRDefault="00DE5BED" w:rsidP="00DE5BED">
            <w:pPr>
              <w:suppressAutoHyphens w:val="0"/>
              <w:spacing w:after="0" w:line="240" w:lineRule="auto"/>
              <w:jc w:val="right"/>
              <w:rPr>
                <w:rFonts w:ascii="Calibri" w:eastAsia="Times New Roman" w:hAnsi="Calibri" w:cs="Calibri"/>
                <w:color w:val="000000"/>
                <w:sz w:val="18"/>
                <w:szCs w:val="18"/>
              </w:rPr>
            </w:pPr>
            <w:r w:rsidRPr="00DE5BED">
              <w:rPr>
                <w:rFonts w:ascii="Calibri" w:eastAsia="Times New Roman" w:hAnsi="Calibri" w:cs="Calibri"/>
                <w:color w:val="000000"/>
                <w:sz w:val="18"/>
                <w:szCs w:val="18"/>
              </w:rPr>
              <w:t>1739768.22</w:t>
            </w:r>
          </w:p>
        </w:tc>
      </w:tr>
    </w:tbl>
    <w:p w14:paraId="259FAA25" w14:textId="77777777" w:rsidR="00600B2A" w:rsidRDefault="00600B2A">
      <w:pPr>
        <w:pStyle w:val="Level1Text"/>
        <w:rPr>
          <w:sz w:val="22"/>
          <w:szCs w:val="22"/>
        </w:rPr>
      </w:pPr>
    </w:p>
    <w:p w14:paraId="66FDFE89" w14:textId="77777777" w:rsidR="00795587" w:rsidRDefault="00795587">
      <w:pPr>
        <w:pStyle w:val="Level1Text"/>
        <w:rPr>
          <w:sz w:val="22"/>
          <w:szCs w:val="22"/>
        </w:rPr>
      </w:pPr>
    </w:p>
    <w:p w14:paraId="1E0993F3" w14:textId="77777777" w:rsidR="00795587" w:rsidRDefault="00795587">
      <w:pPr>
        <w:pStyle w:val="Level1Text"/>
        <w:rPr>
          <w:sz w:val="22"/>
          <w:szCs w:val="22"/>
        </w:rPr>
      </w:pPr>
    </w:p>
    <w:p w14:paraId="6F52AEF0" w14:textId="77777777" w:rsidR="00ED77B5" w:rsidRDefault="00ED77B5">
      <w:pPr>
        <w:rPr>
          <w:rFonts w:ascii="Times New Roman" w:hAnsi="Times New Roman" w:cs="Times New Roman"/>
          <w:b/>
          <w:bCs/>
          <w:lang w:val="es-ES"/>
        </w:rPr>
      </w:pPr>
    </w:p>
    <w:p w14:paraId="1DD7931C" w14:textId="30F9843C" w:rsidR="0082001D" w:rsidRPr="00646BAC" w:rsidRDefault="0082001D">
      <w:pPr>
        <w:rPr>
          <w:rFonts w:ascii="Times New Roman" w:hAnsi="Times New Roman" w:cs="Times New Roman"/>
          <w:b/>
          <w:bCs/>
          <w:lang w:val="es-ES"/>
        </w:rPr>
      </w:pPr>
      <w:proofErr w:type="spellStart"/>
      <w:r w:rsidRPr="00646BAC">
        <w:rPr>
          <w:rFonts w:ascii="Times New Roman" w:hAnsi="Times New Roman" w:cs="Times New Roman"/>
          <w:b/>
          <w:bCs/>
          <w:lang w:val="es-ES"/>
        </w:rPr>
        <w:t>References</w:t>
      </w:r>
      <w:proofErr w:type="spellEnd"/>
    </w:p>
    <w:p w14:paraId="6D36E72C" w14:textId="504C6E7E" w:rsidR="0082001D" w:rsidRPr="00646BAC" w:rsidRDefault="0082001D" w:rsidP="0082001D">
      <w:pPr>
        <w:widowControl w:val="0"/>
        <w:autoSpaceDE w:val="0"/>
        <w:autoSpaceDN w:val="0"/>
        <w:adjustRightInd w:val="0"/>
        <w:spacing w:line="240" w:lineRule="auto"/>
        <w:rPr>
          <w:rFonts w:ascii="Times New Roman" w:hAnsi="Times New Roman" w:cs="Times New Roman"/>
          <w:noProof/>
          <w:szCs w:val="24"/>
          <w:lang w:val="es-ES"/>
        </w:rPr>
      </w:pPr>
      <w:r>
        <w:rPr>
          <w:rFonts w:ascii="Times New Roman" w:hAnsi="Times New Roman" w:cs="Times New Roman"/>
        </w:rPr>
        <w:fldChar w:fldCharType="begin" w:fldLock="1"/>
      </w:r>
      <w:r w:rsidRPr="00646BAC">
        <w:rPr>
          <w:rFonts w:ascii="Times New Roman" w:hAnsi="Times New Roman" w:cs="Times New Roman"/>
          <w:lang w:val="es-ES"/>
        </w:rPr>
        <w:instrText xml:space="preserve">ADDIN Mendeley Bibliography CSL_BIBLIOGRAPHY </w:instrText>
      </w:r>
      <w:r>
        <w:rPr>
          <w:rFonts w:ascii="Times New Roman" w:hAnsi="Times New Roman" w:cs="Times New Roman"/>
        </w:rPr>
        <w:fldChar w:fldCharType="separate"/>
      </w:r>
      <w:r w:rsidRPr="00646BAC">
        <w:rPr>
          <w:rFonts w:ascii="Times New Roman" w:hAnsi="Times New Roman" w:cs="Times New Roman"/>
          <w:noProof/>
          <w:szCs w:val="24"/>
          <w:lang w:val="es-ES"/>
        </w:rPr>
        <w:t xml:space="preserve">Arcila, O. H. (1989) ‘Coca, guerrilla, colonización y narcotráfico en la Macarena’, </w:t>
      </w:r>
      <w:r w:rsidRPr="00646BAC">
        <w:rPr>
          <w:rFonts w:ascii="Times New Roman" w:hAnsi="Times New Roman" w:cs="Times New Roman"/>
          <w:i/>
          <w:iCs/>
          <w:noProof/>
          <w:szCs w:val="24"/>
          <w:lang w:val="es-ES"/>
        </w:rPr>
        <w:t>Revista de la Universidad Nacional</w:t>
      </w:r>
      <w:r w:rsidRPr="00646BAC">
        <w:rPr>
          <w:rFonts w:ascii="Times New Roman" w:hAnsi="Times New Roman" w:cs="Times New Roman"/>
          <w:noProof/>
          <w:szCs w:val="24"/>
          <w:lang w:val="es-ES"/>
        </w:rPr>
        <w:t>, (21), pp. 75–80.</w:t>
      </w:r>
    </w:p>
    <w:p w14:paraId="6E4F7E64"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Bergstra, J. and Bengio, Y. (2012) ‘Random Search for Hyper-Parameter Optimization’, </w:t>
      </w:r>
      <w:r w:rsidRPr="0082001D">
        <w:rPr>
          <w:rFonts w:ascii="Times New Roman" w:hAnsi="Times New Roman" w:cs="Times New Roman"/>
          <w:i/>
          <w:iCs/>
          <w:noProof/>
          <w:szCs w:val="24"/>
        </w:rPr>
        <w:t>J. Mach. Learn. Res.</w:t>
      </w:r>
      <w:r w:rsidRPr="0082001D">
        <w:rPr>
          <w:rFonts w:ascii="Times New Roman" w:hAnsi="Times New Roman" w:cs="Times New Roman"/>
          <w:noProof/>
          <w:szCs w:val="24"/>
        </w:rPr>
        <w:t>, 13(null), pp. 281–305.</w:t>
      </w:r>
    </w:p>
    <w:p w14:paraId="7AB0A275"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Van Dexter, K. and Visseren-Hamakers, I. (2019) ‘Forests in the Time of Violence’, </w:t>
      </w:r>
      <w:r w:rsidRPr="0082001D">
        <w:rPr>
          <w:rFonts w:ascii="Times New Roman" w:hAnsi="Times New Roman" w:cs="Times New Roman"/>
          <w:i/>
          <w:iCs/>
          <w:noProof/>
          <w:szCs w:val="24"/>
        </w:rPr>
        <w:t>Journal of Land Use Science</w:t>
      </w:r>
      <w:r w:rsidRPr="0082001D">
        <w:rPr>
          <w:rFonts w:ascii="Times New Roman" w:hAnsi="Times New Roman" w:cs="Times New Roman"/>
          <w:noProof/>
          <w:szCs w:val="24"/>
        </w:rPr>
        <w:t>, 1(1), p. 16. doi: 10.1300/j091v16n03_03.</w:t>
      </w:r>
    </w:p>
    <w:p w14:paraId="65556481"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Diakogiannis, F. I.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(2020) ‘ResUNet-a: A deep learning framework for semantic segmentation of remotely sensed data’, </w:t>
      </w:r>
      <w:r w:rsidRPr="0082001D">
        <w:rPr>
          <w:rFonts w:ascii="Times New Roman" w:hAnsi="Times New Roman" w:cs="Times New Roman"/>
          <w:i/>
          <w:iCs/>
          <w:noProof/>
          <w:szCs w:val="24"/>
        </w:rPr>
        <w:t>ISPRS Journal of Photogrammetry and Remote Sensing</w:t>
      </w:r>
      <w:r w:rsidRPr="0082001D">
        <w:rPr>
          <w:rFonts w:ascii="Times New Roman" w:hAnsi="Times New Roman" w:cs="Times New Roman"/>
          <w:noProof/>
          <w:szCs w:val="24"/>
        </w:rPr>
        <w:t>, 162, pp. 94–114. doi: https://doi.org/10.1016/j.isprsjprs.2020.01.013.</w:t>
      </w:r>
    </w:p>
    <w:p w14:paraId="17FD8866" w14:textId="77777777" w:rsidR="0082001D" w:rsidRPr="00646BAC" w:rsidRDefault="0082001D" w:rsidP="0082001D">
      <w:pPr>
        <w:widowControl w:val="0"/>
        <w:autoSpaceDE w:val="0"/>
        <w:autoSpaceDN w:val="0"/>
        <w:adjustRightInd w:val="0"/>
        <w:spacing w:line="240" w:lineRule="auto"/>
        <w:rPr>
          <w:rFonts w:ascii="Times New Roman" w:hAnsi="Times New Roman" w:cs="Times New Roman"/>
          <w:noProof/>
          <w:szCs w:val="24"/>
          <w:lang w:val="es-ES"/>
        </w:rPr>
      </w:pPr>
      <w:r w:rsidRPr="00646BAC">
        <w:rPr>
          <w:rFonts w:ascii="Times New Roman" w:hAnsi="Times New Roman" w:cs="Times New Roman"/>
          <w:noProof/>
          <w:szCs w:val="24"/>
          <w:lang w:val="es-ES"/>
        </w:rPr>
        <w:t>Espinosa, N. (2004) ‘" A la otra orilla del rio " La relacion de los campesinos y la guerrilla en la Macarena’. doi: 10.13140/RG.2.1.4864.3048.</w:t>
      </w:r>
    </w:p>
    <w:p w14:paraId="74667B3B"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Falcon, W.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(2020) ‘PyTorchLightning/pytorch-lightning: 0.7.2rc3 - Test release before 0.7.2’. Zenodo. doi: 10.5281/zenodo.3743165.</w:t>
      </w:r>
    </w:p>
    <w:p w14:paraId="1A927FE5"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Farr, T. G.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(2007) ‘The Shuttle Radar Topography Mission’, </w:t>
      </w:r>
      <w:r w:rsidRPr="0082001D">
        <w:rPr>
          <w:rFonts w:ascii="Times New Roman" w:hAnsi="Times New Roman" w:cs="Times New Roman"/>
          <w:i/>
          <w:iCs/>
          <w:noProof/>
          <w:szCs w:val="24"/>
        </w:rPr>
        <w:t>Reviews of Geophysics</w:t>
      </w:r>
      <w:r w:rsidRPr="0082001D">
        <w:rPr>
          <w:rFonts w:ascii="Times New Roman" w:hAnsi="Times New Roman" w:cs="Times New Roman"/>
          <w:noProof/>
          <w:szCs w:val="24"/>
        </w:rPr>
        <w:t>, 45(2). doi: 10.1029/2005RG000183.</w:t>
      </w:r>
    </w:p>
    <w:p w14:paraId="0141389B"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Flood, N. (2013) ‘Seasonal composite landsat TM/ETM+ Images using the medoid (a multi-dimensional median)’, </w:t>
      </w:r>
      <w:r w:rsidRPr="0082001D">
        <w:rPr>
          <w:rFonts w:ascii="Times New Roman" w:hAnsi="Times New Roman" w:cs="Times New Roman"/>
          <w:i/>
          <w:iCs/>
          <w:noProof/>
          <w:szCs w:val="24"/>
        </w:rPr>
        <w:t>Remote Sensing</w:t>
      </w:r>
      <w:r w:rsidRPr="0082001D">
        <w:rPr>
          <w:rFonts w:ascii="Times New Roman" w:hAnsi="Times New Roman" w:cs="Times New Roman"/>
          <w:noProof/>
          <w:szCs w:val="24"/>
        </w:rPr>
        <w:t>, 5(12), pp. 6481–6500. doi: 10.3390/rs5126481.</w:t>
      </w:r>
    </w:p>
    <w:p w14:paraId="3E253F91"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Gootenberg, P. and Davalos, L. M. (2018) </w:t>
      </w:r>
      <w:r w:rsidRPr="0082001D">
        <w:rPr>
          <w:rFonts w:ascii="Times New Roman" w:hAnsi="Times New Roman" w:cs="Times New Roman"/>
          <w:i/>
          <w:iCs/>
          <w:noProof/>
          <w:szCs w:val="24"/>
        </w:rPr>
        <w:t>The Origins of Cocaine</w:t>
      </w:r>
      <w:r w:rsidRPr="0082001D">
        <w:rPr>
          <w:rFonts w:ascii="Times New Roman" w:hAnsi="Times New Roman" w:cs="Times New Roman"/>
          <w:noProof/>
          <w:szCs w:val="24"/>
        </w:rPr>
        <w:t>. Edited by P. Gootenberg and L. M. Davalos. Routledge Taylor Francis Group.</w:t>
      </w:r>
    </w:p>
    <w:p w14:paraId="36046C6D"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Gorelick, N.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(2017) ‘Google Earth Engine: Planetary-scale geospatial analysis for everyone’, </w:t>
      </w:r>
      <w:r w:rsidRPr="0082001D">
        <w:rPr>
          <w:rFonts w:ascii="Times New Roman" w:hAnsi="Times New Roman" w:cs="Times New Roman"/>
          <w:i/>
          <w:iCs/>
          <w:noProof/>
          <w:szCs w:val="24"/>
        </w:rPr>
        <w:t>Remote Sensing of Environment</w:t>
      </w:r>
      <w:r w:rsidRPr="0082001D">
        <w:rPr>
          <w:rFonts w:ascii="Times New Roman" w:hAnsi="Times New Roman" w:cs="Times New Roman"/>
          <w:noProof/>
          <w:szCs w:val="24"/>
        </w:rPr>
        <w:t>, 202, pp. 18–27. doi: 10.1016/j.rse.2017.06.031.</w:t>
      </w:r>
    </w:p>
    <w:p w14:paraId="62C0733A"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He, K.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(2015) ‘Deep Residual Learning for Image Recognition’, </w:t>
      </w:r>
      <w:r w:rsidRPr="0082001D">
        <w:rPr>
          <w:rFonts w:ascii="Times New Roman" w:hAnsi="Times New Roman" w:cs="Times New Roman"/>
          <w:i/>
          <w:iCs/>
          <w:noProof/>
          <w:szCs w:val="24"/>
        </w:rPr>
        <w:t>CoRR</w:t>
      </w:r>
      <w:r w:rsidRPr="0082001D">
        <w:rPr>
          <w:rFonts w:ascii="Times New Roman" w:hAnsi="Times New Roman" w:cs="Times New Roman"/>
          <w:noProof/>
          <w:szCs w:val="24"/>
        </w:rPr>
        <w:t>, abs/1512.0. Available at: http://arxiv.org/abs/1512.03385.</w:t>
      </w:r>
    </w:p>
    <w:p w14:paraId="0C116BEA"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Howard, A.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(2019) ‘Searching for MobileNetV3’, in </w:t>
      </w:r>
      <w:r w:rsidRPr="0082001D">
        <w:rPr>
          <w:rFonts w:ascii="Times New Roman" w:hAnsi="Times New Roman" w:cs="Times New Roman"/>
          <w:i/>
          <w:iCs/>
          <w:noProof/>
          <w:szCs w:val="24"/>
        </w:rPr>
        <w:t>2019 IEEE/CVF International Conference on Computer Vision (ICCV)</w:t>
      </w:r>
      <w:r w:rsidRPr="0082001D">
        <w:rPr>
          <w:rFonts w:ascii="Times New Roman" w:hAnsi="Times New Roman" w:cs="Times New Roman"/>
          <w:noProof/>
          <w:szCs w:val="24"/>
        </w:rPr>
        <w:t>, pp. 1314–1324. doi: 10.1109/ICCV.2019.00140.</w:t>
      </w:r>
    </w:p>
    <w:p w14:paraId="13659C71"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Kennedy, R. E., Yang, Z. and Cohen, W. B. (2010) ‘Detecting trends in forest disturbance and recovery using yearly Landsat time series: 1. LandTrendr - Temporal segmentation algorithms’, </w:t>
      </w:r>
      <w:r w:rsidRPr="0082001D">
        <w:rPr>
          <w:rFonts w:ascii="Times New Roman" w:hAnsi="Times New Roman" w:cs="Times New Roman"/>
          <w:i/>
          <w:iCs/>
          <w:noProof/>
          <w:szCs w:val="24"/>
        </w:rPr>
        <w:t>Remote Sensing of Environment</w:t>
      </w:r>
      <w:r w:rsidRPr="0082001D">
        <w:rPr>
          <w:rFonts w:ascii="Times New Roman" w:hAnsi="Times New Roman" w:cs="Times New Roman"/>
          <w:noProof/>
          <w:szCs w:val="24"/>
        </w:rPr>
        <w:t>, 114(12), pp. 2897–2910. doi: 10.1016/j.rse.2010.07.008.</w:t>
      </w:r>
    </w:p>
    <w:p w14:paraId="3C2F69E0"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Kingma, D. and Ba, J. (2014) ‘Adam: A Method for Stochastic Optimization’, </w:t>
      </w:r>
      <w:r w:rsidRPr="0082001D">
        <w:rPr>
          <w:rFonts w:ascii="Times New Roman" w:hAnsi="Times New Roman" w:cs="Times New Roman"/>
          <w:i/>
          <w:iCs/>
          <w:noProof/>
          <w:szCs w:val="24"/>
        </w:rPr>
        <w:t>International Conference on Learning Representations</w:t>
      </w:r>
      <w:r w:rsidRPr="0082001D">
        <w:rPr>
          <w:rFonts w:ascii="Times New Roman" w:hAnsi="Times New Roman" w:cs="Times New Roman"/>
          <w:noProof/>
          <w:szCs w:val="24"/>
        </w:rPr>
        <w:t>.</w:t>
      </w:r>
    </w:p>
    <w:p w14:paraId="01FD9384"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646BAC">
        <w:rPr>
          <w:rFonts w:ascii="Times New Roman" w:hAnsi="Times New Roman" w:cs="Times New Roman"/>
          <w:noProof/>
          <w:szCs w:val="24"/>
          <w:lang w:val="es-ES"/>
        </w:rPr>
        <w:t xml:space="preserve">Murillo-Sandoval, P. J. </w:t>
      </w:r>
      <w:r w:rsidRPr="00646BAC">
        <w:rPr>
          <w:rFonts w:ascii="Times New Roman" w:hAnsi="Times New Roman" w:cs="Times New Roman"/>
          <w:i/>
          <w:iCs/>
          <w:noProof/>
          <w:szCs w:val="24"/>
          <w:lang w:val="es-ES"/>
        </w:rPr>
        <w:t>et al.</w:t>
      </w:r>
      <w:r w:rsidRPr="00646BAC">
        <w:rPr>
          <w:rFonts w:ascii="Times New Roman" w:hAnsi="Times New Roman" w:cs="Times New Roman"/>
          <w:noProof/>
          <w:szCs w:val="24"/>
          <w:lang w:val="es-ES"/>
        </w:rPr>
        <w:t xml:space="preserve"> </w:t>
      </w:r>
      <w:r w:rsidRPr="0082001D">
        <w:rPr>
          <w:rFonts w:ascii="Times New Roman" w:hAnsi="Times New Roman" w:cs="Times New Roman"/>
          <w:noProof/>
          <w:szCs w:val="24"/>
        </w:rPr>
        <w:t xml:space="preserve">(2018) ‘Detecting and attributing drivers of forest disturbance in the Colombian andes using landsat time-series’, </w:t>
      </w:r>
      <w:r w:rsidRPr="0082001D">
        <w:rPr>
          <w:rFonts w:ascii="Times New Roman" w:hAnsi="Times New Roman" w:cs="Times New Roman"/>
          <w:i/>
          <w:iCs/>
          <w:noProof/>
          <w:szCs w:val="24"/>
        </w:rPr>
        <w:t>Forests</w:t>
      </w:r>
      <w:r w:rsidRPr="0082001D">
        <w:rPr>
          <w:rFonts w:ascii="Times New Roman" w:hAnsi="Times New Roman" w:cs="Times New Roman"/>
          <w:noProof/>
          <w:szCs w:val="24"/>
        </w:rPr>
        <w:t>, 9(5), pp. 1–16. doi: 10.3390/f9050269.</w:t>
      </w:r>
    </w:p>
    <w:p w14:paraId="7810D9F5"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Olofsson, P.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(2014) ‘Good practices for estimating area and assessing accuracy of land change’, </w:t>
      </w:r>
      <w:r w:rsidRPr="0082001D">
        <w:rPr>
          <w:rFonts w:ascii="Times New Roman" w:hAnsi="Times New Roman" w:cs="Times New Roman"/>
          <w:i/>
          <w:iCs/>
          <w:noProof/>
          <w:szCs w:val="24"/>
        </w:rPr>
        <w:t>Remote Sensing of Environment</w:t>
      </w:r>
      <w:r w:rsidRPr="0082001D">
        <w:rPr>
          <w:rFonts w:ascii="Times New Roman" w:hAnsi="Times New Roman" w:cs="Times New Roman"/>
          <w:noProof/>
          <w:szCs w:val="24"/>
        </w:rPr>
        <w:t>, 148, pp. 42–57. doi: 10.1016/j.rse.2014.02.015.</w:t>
      </w:r>
    </w:p>
    <w:p w14:paraId="39869640"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Paszke, A.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(2019) ‘PyTorch: An Imperative Style, High-Performance Deep Learning Library’.</w:t>
      </w:r>
    </w:p>
    <w:p w14:paraId="7B3EE499"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Roberts, D. R.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(2017) ‘Cross-validation strategies for data with temporal, spatial, hierarchical, or phylogenetic structure’, </w:t>
      </w:r>
      <w:r w:rsidRPr="0082001D">
        <w:rPr>
          <w:rFonts w:ascii="Times New Roman" w:hAnsi="Times New Roman" w:cs="Times New Roman"/>
          <w:i/>
          <w:iCs/>
          <w:noProof/>
          <w:szCs w:val="24"/>
        </w:rPr>
        <w:t>Ecography</w:t>
      </w:r>
      <w:r w:rsidRPr="0082001D">
        <w:rPr>
          <w:rFonts w:ascii="Times New Roman" w:hAnsi="Times New Roman" w:cs="Times New Roman"/>
          <w:noProof/>
          <w:szCs w:val="24"/>
        </w:rPr>
        <w:t>, 40(8), pp. 913–929. doi: https://doi.org/10.1111/ecog.02881.</w:t>
      </w:r>
    </w:p>
    <w:p w14:paraId="36D4A922"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Ronneberger, O., Fischer, P. and Brox, T. (2015) ‘U-Net: Convolutional Networks for Biomedical Image Segmentation’, in Navab, N. et al. (eds) </w:t>
      </w:r>
      <w:r w:rsidRPr="0082001D">
        <w:rPr>
          <w:rFonts w:ascii="Times New Roman" w:hAnsi="Times New Roman" w:cs="Times New Roman"/>
          <w:i/>
          <w:iCs/>
          <w:noProof/>
          <w:szCs w:val="24"/>
        </w:rPr>
        <w:t>Medical Image Computing and Computer-Assisted Intervention -- MICCAI 2015</w:t>
      </w:r>
      <w:r w:rsidRPr="0082001D">
        <w:rPr>
          <w:rFonts w:ascii="Times New Roman" w:hAnsi="Times New Roman" w:cs="Times New Roman"/>
          <w:noProof/>
          <w:szCs w:val="24"/>
        </w:rPr>
        <w:t>. Cham: Springer International Publishing, pp. 234–241.</w:t>
      </w:r>
    </w:p>
    <w:p w14:paraId="17695864"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646BAC">
        <w:rPr>
          <w:rFonts w:ascii="Times New Roman" w:hAnsi="Times New Roman" w:cs="Times New Roman"/>
          <w:noProof/>
          <w:szCs w:val="24"/>
          <w:lang w:val="es-ES"/>
        </w:rPr>
        <w:t xml:space="preserve">Sánchez-Cuervo, A. M. </w:t>
      </w:r>
      <w:r w:rsidRPr="00646BAC">
        <w:rPr>
          <w:rFonts w:ascii="Times New Roman" w:hAnsi="Times New Roman" w:cs="Times New Roman"/>
          <w:i/>
          <w:iCs/>
          <w:noProof/>
          <w:szCs w:val="24"/>
          <w:lang w:val="es-ES"/>
        </w:rPr>
        <w:t>et al.</w:t>
      </w:r>
      <w:r w:rsidRPr="00646BAC">
        <w:rPr>
          <w:rFonts w:ascii="Times New Roman" w:hAnsi="Times New Roman" w:cs="Times New Roman"/>
          <w:noProof/>
          <w:szCs w:val="24"/>
          <w:lang w:val="es-ES"/>
        </w:rPr>
        <w:t xml:space="preserve"> </w:t>
      </w:r>
      <w:r w:rsidRPr="0082001D">
        <w:rPr>
          <w:rFonts w:ascii="Times New Roman" w:hAnsi="Times New Roman" w:cs="Times New Roman"/>
          <w:noProof/>
          <w:szCs w:val="24"/>
        </w:rPr>
        <w:t xml:space="preserve">(2012) ‘Land Cover Change in Colombia: Surprising Forest Recovery Trends between 2001 and 2010’, </w:t>
      </w:r>
      <w:r w:rsidRPr="0082001D">
        <w:rPr>
          <w:rFonts w:ascii="Times New Roman" w:hAnsi="Times New Roman" w:cs="Times New Roman"/>
          <w:i/>
          <w:iCs/>
          <w:noProof/>
          <w:szCs w:val="24"/>
        </w:rPr>
        <w:t>PLoS ONE</w:t>
      </w:r>
      <w:r w:rsidRPr="0082001D">
        <w:rPr>
          <w:rFonts w:ascii="Times New Roman" w:hAnsi="Times New Roman" w:cs="Times New Roman"/>
          <w:noProof/>
          <w:szCs w:val="24"/>
        </w:rPr>
        <w:t>, 7(8), p. e43943. doi: 10.1371/journal.pone.0043943.</w:t>
      </w:r>
    </w:p>
    <w:p w14:paraId="3F70C267"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Shepherd, J. D. and Dymond, J. R. (2003) ‘Correcting satellite imagery for the variance of reflectance and illumination with topography’, </w:t>
      </w:r>
      <w:r w:rsidRPr="0082001D">
        <w:rPr>
          <w:rFonts w:ascii="Times New Roman" w:hAnsi="Times New Roman" w:cs="Times New Roman"/>
          <w:i/>
          <w:iCs/>
          <w:noProof/>
          <w:szCs w:val="24"/>
        </w:rPr>
        <w:t>International Journal of Remote Sensing</w:t>
      </w:r>
      <w:r w:rsidRPr="0082001D">
        <w:rPr>
          <w:rFonts w:ascii="Times New Roman" w:hAnsi="Times New Roman" w:cs="Times New Roman"/>
          <w:noProof/>
          <w:szCs w:val="24"/>
        </w:rPr>
        <w:t>, 24(17), pp. 3503–3514. doi: 10.1080/01431160210154029.</w:t>
      </w:r>
    </w:p>
    <w:p w14:paraId="63DECD98"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82001D">
        <w:rPr>
          <w:rFonts w:ascii="Times New Roman" w:hAnsi="Times New Roman" w:cs="Times New Roman"/>
          <w:noProof/>
          <w:szCs w:val="24"/>
        </w:rPr>
        <w:t xml:space="preserve">Tellman, B.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(2020) ‘Understanding the role of illicit transactions in land-change dynamics’, </w:t>
      </w:r>
      <w:r w:rsidRPr="0082001D">
        <w:rPr>
          <w:rFonts w:ascii="Times New Roman" w:hAnsi="Times New Roman" w:cs="Times New Roman"/>
          <w:i/>
          <w:iCs/>
          <w:noProof/>
          <w:szCs w:val="24"/>
        </w:rPr>
        <w:t>Nature Sustainability</w:t>
      </w:r>
      <w:r w:rsidRPr="0082001D">
        <w:rPr>
          <w:rFonts w:ascii="Times New Roman" w:hAnsi="Times New Roman" w:cs="Times New Roman"/>
          <w:noProof/>
          <w:szCs w:val="24"/>
        </w:rPr>
        <w:t>. doi: 10.1038/s41893-019-0457-1.</w:t>
      </w:r>
    </w:p>
    <w:p w14:paraId="75823ACC" w14:textId="77777777" w:rsidR="0082001D" w:rsidRPr="00646BAC" w:rsidRDefault="0082001D" w:rsidP="0082001D">
      <w:pPr>
        <w:widowControl w:val="0"/>
        <w:autoSpaceDE w:val="0"/>
        <w:autoSpaceDN w:val="0"/>
        <w:adjustRightInd w:val="0"/>
        <w:spacing w:line="240" w:lineRule="auto"/>
        <w:rPr>
          <w:rFonts w:ascii="Times New Roman" w:hAnsi="Times New Roman" w:cs="Times New Roman"/>
          <w:noProof/>
          <w:szCs w:val="24"/>
          <w:lang w:val="es-ES"/>
        </w:rPr>
      </w:pPr>
      <w:r w:rsidRPr="00646BAC">
        <w:rPr>
          <w:rFonts w:ascii="Times New Roman" w:hAnsi="Times New Roman" w:cs="Times New Roman"/>
          <w:noProof/>
          <w:szCs w:val="24"/>
          <w:lang w:val="es-ES"/>
        </w:rPr>
        <w:t xml:space="preserve">UAESPNN (2015) </w:t>
      </w:r>
      <w:r w:rsidRPr="00646BAC">
        <w:rPr>
          <w:rFonts w:ascii="Times New Roman" w:hAnsi="Times New Roman" w:cs="Times New Roman"/>
          <w:i/>
          <w:iCs/>
          <w:noProof/>
          <w:szCs w:val="24"/>
          <w:lang w:val="es-ES"/>
        </w:rPr>
        <w:t>Convenio de Asociación Tripartita P.E. GDE.1.4.7.1.14.022 Suscrito entre Parques Nacionales Naturales, Cormacarena y Patrimonio Natural Fondo para la Diversidad y Áreas Protegidas. UAESPNN–Dirección Territorial Costa Orinoquia: Bogota, Colombia; p. 118.</w:t>
      </w:r>
    </w:p>
    <w:p w14:paraId="2016AA9C" w14:textId="77777777" w:rsidR="0082001D" w:rsidRPr="00646BAC" w:rsidRDefault="0082001D" w:rsidP="0082001D">
      <w:pPr>
        <w:widowControl w:val="0"/>
        <w:autoSpaceDE w:val="0"/>
        <w:autoSpaceDN w:val="0"/>
        <w:adjustRightInd w:val="0"/>
        <w:spacing w:line="240" w:lineRule="auto"/>
        <w:rPr>
          <w:rFonts w:ascii="Times New Roman" w:hAnsi="Times New Roman" w:cs="Times New Roman"/>
          <w:noProof/>
          <w:szCs w:val="24"/>
          <w:lang w:val="es-ES"/>
        </w:rPr>
      </w:pPr>
      <w:r w:rsidRPr="00646BAC">
        <w:rPr>
          <w:rFonts w:ascii="Times New Roman" w:hAnsi="Times New Roman" w:cs="Times New Roman"/>
          <w:noProof/>
          <w:szCs w:val="24"/>
          <w:lang w:val="es-ES"/>
        </w:rPr>
        <w:t xml:space="preserve">UNODC-SIMCI (2017) </w:t>
      </w:r>
      <w:r w:rsidRPr="00646BAC">
        <w:rPr>
          <w:rFonts w:ascii="Times New Roman" w:hAnsi="Times New Roman" w:cs="Times New Roman"/>
          <w:i/>
          <w:iCs/>
          <w:noProof/>
          <w:szCs w:val="24"/>
          <w:lang w:val="es-ES"/>
        </w:rPr>
        <w:t>Monitoreo de territorios afectados por cultivos ilícitos 2017</w:t>
      </w:r>
      <w:r w:rsidRPr="00646BAC">
        <w:rPr>
          <w:rFonts w:ascii="Times New Roman" w:hAnsi="Times New Roman" w:cs="Times New Roman"/>
          <w:noProof/>
          <w:szCs w:val="24"/>
          <w:lang w:val="es-ES"/>
        </w:rPr>
        <w:t>. Bogota, Colombia. Available at: https://www.unodc.org/documents/crop-monitoring/Colombia/Colombia_Monitoreo_territorios_afectados_cultivos_ilicitos_2017_Resumen.pdf.</w:t>
      </w:r>
    </w:p>
    <w:p w14:paraId="209BD7F3" w14:textId="77777777" w:rsidR="0082001D" w:rsidRPr="00646BAC" w:rsidRDefault="0082001D" w:rsidP="0082001D">
      <w:pPr>
        <w:widowControl w:val="0"/>
        <w:autoSpaceDE w:val="0"/>
        <w:autoSpaceDN w:val="0"/>
        <w:adjustRightInd w:val="0"/>
        <w:spacing w:line="240" w:lineRule="auto"/>
        <w:rPr>
          <w:rFonts w:ascii="Times New Roman" w:hAnsi="Times New Roman" w:cs="Times New Roman"/>
          <w:noProof/>
          <w:szCs w:val="24"/>
          <w:lang w:val="es-ES"/>
        </w:rPr>
      </w:pPr>
      <w:r w:rsidRPr="00646BAC">
        <w:rPr>
          <w:rFonts w:ascii="Times New Roman" w:hAnsi="Times New Roman" w:cs="Times New Roman"/>
          <w:noProof/>
          <w:szCs w:val="24"/>
          <w:lang w:val="es-ES"/>
        </w:rPr>
        <w:t xml:space="preserve">UNODC (2009) </w:t>
      </w:r>
      <w:r w:rsidRPr="00646BAC">
        <w:rPr>
          <w:rFonts w:ascii="Times New Roman" w:hAnsi="Times New Roman" w:cs="Times New Roman"/>
          <w:i/>
          <w:iCs/>
          <w:noProof/>
          <w:szCs w:val="24"/>
          <w:lang w:val="es-ES"/>
        </w:rPr>
        <w:t>Transformacion socioeconomica y biofisica asociadas con cultivos ilicitos en la region sur del Meta-Guaviare 1990-2009</w:t>
      </w:r>
      <w:r w:rsidRPr="00646BAC">
        <w:rPr>
          <w:rFonts w:ascii="Times New Roman" w:hAnsi="Times New Roman" w:cs="Times New Roman"/>
          <w:noProof/>
          <w:szCs w:val="24"/>
          <w:lang w:val="es-ES"/>
        </w:rPr>
        <w:t>.</w:t>
      </w:r>
    </w:p>
    <w:p w14:paraId="15B83E60" w14:textId="77777777" w:rsidR="0082001D" w:rsidRPr="00646BAC" w:rsidRDefault="0082001D" w:rsidP="0082001D">
      <w:pPr>
        <w:widowControl w:val="0"/>
        <w:autoSpaceDE w:val="0"/>
        <w:autoSpaceDN w:val="0"/>
        <w:adjustRightInd w:val="0"/>
        <w:spacing w:line="240" w:lineRule="auto"/>
        <w:rPr>
          <w:rFonts w:ascii="Times New Roman" w:hAnsi="Times New Roman" w:cs="Times New Roman"/>
          <w:noProof/>
          <w:szCs w:val="24"/>
          <w:lang w:val="es-ES"/>
        </w:rPr>
      </w:pPr>
      <w:r w:rsidRPr="00646BAC">
        <w:rPr>
          <w:rFonts w:ascii="Times New Roman" w:hAnsi="Times New Roman" w:cs="Times New Roman"/>
          <w:noProof/>
          <w:szCs w:val="24"/>
          <w:lang w:val="es-ES"/>
        </w:rPr>
        <w:t xml:space="preserve">Urdaneta, J. S. (2017) </w:t>
      </w:r>
      <w:r w:rsidRPr="00646BAC">
        <w:rPr>
          <w:rFonts w:ascii="Times New Roman" w:hAnsi="Times New Roman" w:cs="Times New Roman"/>
          <w:i/>
          <w:iCs/>
          <w:noProof/>
          <w:szCs w:val="24"/>
          <w:lang w:val="es-ES"/>
        </w:rPr>
        <w:t>Justicias bastardas: estudio sobre la administración de justicia de la guerrilla de las FARC en el suroriente colombiano</w:t>
      </w:r>
      <w:r w:rsidRPr="00646BAC">
        <w:rPr>
          <w:rFonts w:ascii="Times New Roman" w:hAnsi="Times New Roman" w:cs="Times New Roman"/>
          <w:noProof/>
          <w:szCs w:val="24"/>
          <w:lang w:val="es-ES"/>
        </w:rPr>
        <w:t>. La Plata.</w:t>
      </w:r>
    </w:p>
    <w:p w14:paraId="583DAC16"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szCs w:val="24"/>
        </w:rPr>
      </w:pPr>
      <w:r w:rsidRPr="00646BAC">
        <w:rPr>
          <w:rFonts w:ascii="Times New Roman" w:hAnsi="Times New Roman" w:cs="Times New Roman"/>
          <w:noProof/>
          <w:szCs w:val="24"/>
          <w:lang w:val="es-ES"/>
        </w:rPr>
        <w:t xml:space="preserve">Uribe, S. (2019) ‘¿Quién tiene la razón en las cifras sobre coca, la ONU o la Casa Blanca?’, </w:t>
      </w:r>
      <w:r w:rsidRPr="00646BAC">
        <w:rPr>
          <w:rFonts w:ascii="Times New Roman" w:hAnsi="Times New Roman" w:cs="Times New Roman"/>
          <w:i/>
          <w:iCs/>
          <w:noProof/>
          <w:szCs w:val="24"/>
          <w:lang w:val="es-ES"/>
        </w:rPr>
        <w:t>Razon Publica</w:t>
      </w:r>
      <w:r w:rsidRPr="00646BAC">
        <w:rPr>
          <w:rFonts w:ascii="Times New Roman" w:hAnsi="Times New Roman" w:cs="Times New Roman"/>
          <w:noProof/>
          <w:szCs w:val="24"/>
          <w:lang w:val="es-ES"/>
        </w:rPr>
        <w:t xml:space="preserve">. </w:t>
      </w:r>
      <w:r w:rsidRPr="0082001D">
        <w:rPr>
          <w:rFonts w:ascii="Times New Roman" w:hAnsi="Times New Roman" w:cs="Times New Roman"/>
          <w:noProof/>
          <w:szCs w:val="24"/>
        </w:rPr>
        <w:t>Available at: https://razonpublica.com/quien-tiene-la-razon-en-las-cifras-sobre-coca-la-onu-o-la-casa-blanca/.</w:t>
      </w:r>
    </w:p>
    <w:p w14:paraId="50FF9F35" w14:textId="77777777" w:rsidR="0082001D" w:rsidRPr="0082001D" w:rsidRDefault="0082001D" w:rsidP="0082001D">
      <w:pPr>
        <w:widowControl w:val="0"/>
        <w:autoSpaceDE w:val="0"/>
        <w:autoSpaceDN w:val="0"/>
        <w:adjustRightInd w:val="0"/>
        <w:spacing w:line="240" w:lineRule="auto"/>
        <w:rPr>
          <w:rFonts w:ascii="Times New Roman" w:hAnsi="Times New Roman" w:cs="Times New Roman"/>
          <w:noProof/>
        </w:rPr>
      </w:pPr>
      <w:r w:rsidRPr="0082001D">
        <w:rPr>
          <w:rFonts w:ascii="Times New Roman" w:hAnsi="Times New Roman" w:cs="Times New Roman"/>
          <w:noProof/>
          <w:szCs w:val="24"/>
        </w:rPr>
        <w:t xml:space="preserve">Zhang, H. </w:t>
      </w:r>
      <w:r w:rsidRPr="0082001D">
        <w:rPr>
          <w:rFonts w:ascii="Times New Roman" w:hAnsi="Times New Roman" w:cs="Times New Roman"/>
          <w:i/>
          <w:iCs/>
          <w:noProof/>
          <w:szCs w:val="24"/>
        </w:rPr>
        <w:t>et al.</w:t>
      </w:r>
      <w:r w:rsidRPr="0082001D">
        <w:rPr>
          <w:rFonts w:ascii="Times New Roman" w:hAnsi="Times New Roman" w:cs="Times New Roman"/>
          <w:noProof/>
          <w:szCs w:val="24"/>
        </w:rPr>
        <w:t xml:space="preserve"> (2020) ‘ResNeSt: Split-Attention Networks’, </w:t>
      </w:r>
      <w:r w:rsidRPr="0082001D">
        <w:rPr>
          <w:rFonts w:ascii="Times New Roman" w:hAnsi="Times New Roman" w:cs="Times New Roman"/>
          <w:i/>
          <w:iCs/>
          <w:noProof/>
          <w:szCs w:val="24"/>
        </w:rPr>
        <w:t>ArXiv</w:t>
      </w:r>
      <w:r w:rsidRPr="0082001D">
        <w:rPr>
          <w:rFonts w:ascii="Times New Roman" w:hAnsi="Times New Roman" w:cs="Times New Roman"/>
          <w:noProof/>
          <w:szCs w:val="24"/>
        </w:rPr>
        <w:t>, abs/2004.0.</w:t>
      </w:r>
    </w:p>
    <w:p w14:paraId="67C75AAE" w14:textId="0CB9D5D1" w:rsidR="0082001D" w:rsidRPr="003E0363" w:rsidRDefault="0082001D">
      <w:pPr>
        <w:rPr>
          <w:rFonts w:ascii="Times New Roman" w:hAnsi="Times New Roman" w:cs="Times New Roman"/>
        </w:rPr>
      </w:pPr>
      <w:r>
        <w:rPr>
          <w:rFonts w:ascii="Times New Roman" w:hAnsi="Times New Roman" w:cs="Times New Roman"/>
        </w:rPr>
        <w:fldChar w:fldCharType="end"/>
      </w:r>
      <w:bookmarkStart w:id="5" w:name="_GoBack"/>
      <w:bookmarkEnd w:id="5"/>
    </w:p>
    <w:sectPr w:rsidR="0082001D" w:rsidRPr="003E0363" w:rsidSect="00EB60EE">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Mono">
    <w:altName w:val="Courier New"/>
    <w:charset w:val="01"/>
    <w:family w:val="modern"/>
    <w:pitch w:val="fixed"/>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TMwNzcwMTc2sLRU0lEKTi0uzszPAykwqwUAf7147iwAAAA="/>
  </w:docVars>
  <w:rsids>
    <w:rsidRoot w:val="00181377"/>
    <w:rsid w:val="0000039A"/>
    <w:rsid w:val="00051696"/>
    <w:rsid w:val="00092DF4"/>
    <w:rsid w:val="00117748"/>
    <w:rsid w:val="00143998"/>
    <w:rsid w:val="001571A9"/>
    <w:rsid w:val="001733AF"/>
    <w:rsid w:val="00181377"/>
    <w:rsid w:val="002443D5"/>
    <w:rsid w:val="002727D3"/>
    <w:rsid w:val="0027719A"/>
    <w:rsid w:val="00287301"/>
    <w:rsid w:val="002A181C"/>
    <w:rsid w:val="002B0726"/>
    <w:rsid w:val="00325AED"/>
    <w:rsid w:val="00381E21"/>
    <w:rsid w:val="00383804"/>
    <w:rsid w:val="003B64E2"/>
    <w:rsid w:val="003D7355"/>
    <w:rsid w:val="003E0363"/>
    <w:rsid w:val="00455BC9"/>
    <w:rsid w:val="00485F7D"/>
    <w:rsid w:val="004C04AE"/>
    <w:rsid w:val="004F549B"/>
    <w:rsid w:val="00521444"/>
    <w:rsid w:val="00540D6F"/>
    <w:rsid w:val="00600B2A"/>
    <w:rsid w:val="00646BAC"/>
    <w:rsid w:val="00680969"/>
    <w:rsid w:val="00685966"/>
    <w:rsid w:val="00693213"/>
    <w:rsid w:val="006B02F9"/>
    <w:rsid w:val="007225C4"/>
    <w:rsid w:val="007511B8"/>
    <w:rsid w:val="00795587"/>
    <w:rsid w:val="007B40A1"/>
    <w:rsid w:val="007C2CD0"/>
    <w:rsid w:val="008015C1"/>
    <w:rsid w:val="008058D1"/>
    <w:rsid w:val="0082001D"/>
    <w:rsid w:val="00824F48"/>
    <w:rsid w:val="00835F44"/>
    <w:rsid w:val="00995AA7"/>
    <w:rsid w:val="009E0780"/>
    <w:rsid w:val="00A00425"/>
    <w:rsid w:val="00A048FE"/>
    <w:rsid w:val="00AA4077"/>
    <w:rsid w:val="00AA5143"/>
    <w:rsid w:val="00AC4920"/>
    <w:rsid w:val="00B07750"/>
    <w:rsid w:val="00BC3733"/>
    <w:rsid w:val="00C11BC5"/>
    <w:rsid w:val="00C1571C"/>
    <w:rsid w:val="00C26021"/>
    <w:rsid w:val="00DE5BED"/>
    <w:rsid w:val="00DF601A"/>
    <w:rsid w:val="00E04288"/>
    <w:rsid w:val="00E0607F"/>
    <w:rsid w:val="00E404EE"/>
    <w:rsid w:val="00EB60EE"/>
    <w:rsid w:val="00ED77B5"/>
    <w:rsid w:val="00F9436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B0E72"/>
  <w15:docId w15:val="{6B4FDF93-47F8-4B56-844E-BF61CB6D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60196E"/>
    <w:pPr>
      <w:spacing w:beforeAutospacing="1" w:afterAutospacing="1" w:line="240" w:lineRule="auto"/>
      <w:ind w:left="720"/>
      <w:outlineLvl w:val="0"/>
    </w:pPr>
    <w:rPr>
      <w:rFonts w:ascii="Times New Roman" w:eastAsia="Times New Roman" w:hAnsi="Times New Roman" w:cs="Times New Roman"/>
      <w:b/>
      <w:bCs/>
      <w:kern w:val="2"/>
      <w:sz w:val="24"/>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0196E"/>
    <w:rPr>
      <w:rFonts w:ascii="Times New Roman" w:eastAsia="Times New Roman" w:hAnsi="Times New Roman" w:cs="Times New Roman"/>
      <w:b/>
      <w:bCs/>
      <w:kern w:val="2"/>
      <w:sz w:val="24"/>
      <w:szCs w:val="48"/>
    </w:rPr>
  </w:style>
  <w:style w:type="character" w:customStyle="1" w:styleId="Level1TextChar">
    <w:name w:val="Level 1 Text Char"/>
    <w:link w:val="Level1Text"/>
    <w:qFormat/>
    <w:rsid w:val="0060196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233F9B"/>
    <w:rPr>
      <w:sz w:val="16"/>
      <w:szCs w:val="16"/>
    </w:rPr>
  </w:style>
  <w:style w:type="character" w:customStyle="1" w:styleId="CommentTextChar">
    <w:name w:val="Comment Text Char"/>
    <w:basedOn w:val="DefaultParagraphFont"/>
    <w:link w:val="CommentText"/>
    <w:uiPriority w:val="99"/>
    <w:semiHidden/>
    <w:qFormat/>
    <w:rsid w:val="00233F9B"/>
    <w:rPr>
      <w:sz w:val="20"/>
      <w:szCs w:val="20"/>
    </w:rPr>
  </w:style>
  <w:style w:type="character" w:customStyle="1" w:styleId="CommentSubjectChar">
    <w:name w:val="Comment Subject Char"/>
    <w:basedOn w:val="CommentTextChar"/>
    <w:link w:val="CommentSubject"/>
    <w:uiPriority w:val="99"/>
    <w:semiHidden/>
    <w:qFormat/>
    <w:rsid w:val="00233F9B"/>
    <w:rPr>
      <w:b/>
      <w:bCs/>
      <w:sz w:val="20"/>
      <w:szCs w:val="20"/>
    </w:rPr>
  </w:style>
  <w:style w:type="character" w:customStyle="1" w:styleId="SourceText">
    <w:name w:val="Source Text"/>
    <w:qFormat/>
    <w:rPr>
      <w:rFonts w:ascii="Liberation Mono" w:eastAsia="Liberation Mono" w:hAnsi="Liberation Mono" w:cs="Liberation Mono"/>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evel1Text">
    <w:name w:val="Level 1 Text"/>
    <w:basedOn w:val="Normal"/>
    <w:link w:val="Level1TextChar"/>
    <w:qFormat/>
    <w:rsid w:val="0060196E"/>
    <w:pPr>
      <w:spacing w:before="80" w:after="0" w:line="36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qFormat/>
    <w:rsid w:val="00233F9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233F9B"/>
    <w:rPr>
      <w:b/>
      <w:bCs/>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NormalWeb">
    <w:name w:val="Normal (Web)"/>
    <w:basedOn w:val="Normal"/>
    <w:uiPriority w:val="99"/>
    <w:semiHidden/>
    <w:unhideWhenUsed/>
    <w:rsid w:val="003E0363"/>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B0726"/>
  </w:style>
  <w:style w:type="character" w:styleId="Hyperlink">
    <w:name w:val="Hyperlink"/>
    <w:basedOn w:val="DefaultParagraphFont"/>
    <w:uiPriority w:val="99"/>
    <w:unhideWhenUsed/>
    <w:rsid w:val="00E04288"/>
    <w:rPr>
      <w:color w:val="0563C1" w:themeColor="hyperlink"/>
      <w:u w:val="single"/>
    </w:rPr>
  </w:style>
  <w:style w:type="character" w:customStyle="1" w:styleId="UnresolvedMention">
    <w:name w:val="Unresolved Mention"/>
    <w:basedOn w:val="DefaultParagraphFont"/>
    <w:uiPriority w:val="99"/>
    <w:semiHidden/>
    <w:unhideWhenUsed/>
    <w:rsid w:val="00287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607115">
      <w:bodyDiv w:val="1"/>
      <w:marLeft w:val="0"/>
      <w:marRight w:val="0"/>
      <w:marTop w:val="0"/>
      <w:marBottom w:val="0"/>
      <w:divBdr>
        <w:top w:val="none" w:sz="0" w:space="0" w:color="auto"/>
        <w:left w:val="none" w:sz="0" w:space="0" w:color="auto"/>
        <w:bottom w:val="none" w:sz="0" w:space="0" w:color="auto"/>
        <w:right w:val="none" w:sz="0" w:space="0" w:color="auto"/>
      </w:divBdr>
    </w:div>
    <w:div w:id="967011299">
      <w:bodyDiv w:val="1"/>
      <w:marLeft w:val="0"/>
      <w:marRight w:val="0"/>
      <w:marTop w:val="0"/>
      <w:marBottom w:val="0"/>
      <w:divBdr>
        <w:top w:val="none" w:sz="0" w:space="0" w:color="auto"/>
        <w:left w:val="none" w:sz="0" w:space="0" w:color="auto"/>
        <w:bottom w:val="none" w:sz="0" w:space="0" w:color="auto"/>
        <w:right w:val="none" w:sz="0" w:space="0" w:color="auto"/>
      </w:divBdr>
    </w:div>
    <w:div w:id="971136750">
      <w:bodyDiv w:val="1"/>
      <w:marLeft w:val="0"/>
      <w:marRight w:val="0"/>
      <w:marTop w:val="0"/>
      <w:marBottom w:val="0"/>
      <w:divBdr>
        <w:top w:val="none" w:sz="0" w:space="0" w:color="auto"/>
        <w:left w:val="none" w:sz="0" w:space="0" w:color="auto"/>
        <w:bottom w:val="none" w:sz="0" w:space="0" w:color="auto"/>
        <w:right w:val="none" w:sz="0" w:space="0" w:color="auto"/>
      </w:divBdr>
    </w:div>
    <w:div w:id="1873612841">
      <w:bodyDiv w:val="1"/>
      <w:marLeft w:val="0"/>
      <w:marRight w:val="0"/>
      <w:marTop w:val="0"/>
      <w:marBottom w:val="0"/>
      <w:divBdr>
        <w:top w:val="none" w:sz="0" w:space="0" w:color="auto"/>
        <w:left w:val="none" w:sz="0" w:space="0" w:color="auto"/>
        <w:bottom w:val="none" w:sz="0" w:space="0" w:color="auto"/>
        <w:right w:val="none" w:sz="0" w:space="0" w:color="auto"/>
      </w:divBdr>
    </w:div>
    <w:div w:id="1982073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gis.org/en/si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mailto:pjmurillos@ut.edu.co"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79355-176F-4C69-B772-542544C5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11</Pages>
  <Words>12458</Words>
  <Characters>71014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Murillo Sandoval, Paulo Jose</dc:creator>
  <dc:description/>
  <cp:lastModifiedBy>Espon Lenin S.</cp:lastModifiedBy>
  <cp:revision>125</cp:revision>
  <dcterms:created xsi:type="dcterms:W3CDTF">2022-03-19T14:36:00Z</dcterms:created>
  <dcterms:modified xsi:type="dcterms:W3CDTF">2023-01-27T12:16:00Z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http://www.zotero.org/styles/harvard1</vt:lpwstr>
  </property>
  <property fmtid="{D5CDD505-2E9C-101B-9397-08002B2CF9AE}" pid="21" name="Mendeley Recent Style Name 6_1">
    <vt:lpwstr>Harvard reference format 1 (deprecated)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http://www.zotero.org/styles/the-egyptian-journal-of-remote-sensing-and-space-sciences</vt:lpwstr>
  </property>
  <property fmtid="{D5CDD505-2E9C-101B-9397-08002B2CF9AE}" pid="27" name="Mendeley Recent Style Name 9_1">
    <vt:lpwstr>The Egyptian Journal of Remote Sensing and Space Sciences</vt:lpwstr>
  </property>
  <property fmtid="{D5CDD505-2E9C-101B-9397-08002B2CF9AE}" pid="28" name="Mendeley Document_1">
    <vt:lpwstr>True</vt:lpwstr>
  </property>
  <property fmtid="{D5CDD505-2E9C-101B-9397-08002B2CF9AE}" pid="29" name="Mendeley Unique User Id_1">
    <vt:lpwstr>5840f659-49d5-3d2d-a9e3-743c8db558df</vt:lpwstr>
  </property>
  <property fmtid="{D5CDD505-2E9C-101B-9397-08002B2CF9AE}" pid="30" name="Mendeley Citation Style_1">
    <vt:lpwstr>http://www.zotero.org/styles/harvard1</vt:lpwstr>
  </property>
  <property fmtid="{D5CDD505-2E9C-101B-9397-08002B2CF9AE}" pid="31" name="GrammarlyDocumentId">
    <vt:lpwstr>b1430a5f59f17c4f042a87b843561caed265eaebffbfdab579f00c118468aaa4</vt:lpwstr>
  </property>
</Properties>
</file>