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spacing w:after="0" w:before="240" w:line="480" w:lineRule="auto"/>
        <w:rPr>
          <w:rFonts w:ascii="Times New Roman" w:cs="Times New Roman" w:eastAsia="Times New Roman" w:hAnsi="Times New Roman"/>
          <w:b w:val="1"/>
          <w:smallCap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1"/>
          <w:sz w:val="24"/>
          <w:szCs w:val="24"/>
          <w:rtl w:val="0"/>
        </w:rPr>
        <w:t xml:space="preserve">SUPPLEMENTARY </w:t>
      </w:r>
    </w:p>
    <w:p w:rsidR="00000000" w:rsidDel="00000000" w:rsidP="00000000" w:rsidRDefault="00000000" w:rsidRPr="00000000" w14:paraId="00000002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Imaging features</w:t>
      </w:r>
    </w:p>
    <w:p w:rsidR="00000000" w:rsidDel="00000000" w:rsidP="00000000" w:rsidRDefault="00000000" w:rsidRPr="00000000" w14:paraId="00000003">
      <w:pPr>
        <w:spacing w:after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Lattice-based texture estimation adopted for lung 3D CT scan was used for feature extraction. Three sets of features were derived: Gray-level histogram, Co-occurrence, Run-length features. </w:t>
      </w:r>
    </w:p>
    <w:p w:rsidR="00000000" w:rsidDel="00000000" w:rsidP="00000000" w:rsidRDefault="00000000" w:rsidRPr="00000000" w14:paraId="00000004">
      <w:pPr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Gray-level histogram features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are first-order histogram statistics calculated from the gray-level intensity histogram of each image. </w:t>
      </w:r>
    </w:p>
    <w:tbl>
      <w:tblPr>
        <w:tblStyle w:val="Table1"/>
        <w:tblW w:w="885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08"/>
        <w:gridCol w:w="3250"/>
        <w:gridCol w:w="3198"/>
        <w:tblGridChange w:id="0">
          <w:tblGrid>
            <w:gridCol w:w="2408"/>
            <w:gridCol w:w="3250"/>
            <w:gridCol w:w="319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Feature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Mathematical Notation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Qualitative description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k*g(k)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gray-level value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min(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Minimum gray-level value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max(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Maximum gray-level value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: 5% of values ≤ </w:t>
                </w:r>
              </w:sdtContent>
            </w:sdt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histogram bin that 5% of gray-level values are less than or equal to.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Mean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k*g(k)</m:t>
                  </m:r>
                </m:num>
                <m:den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g(k)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for 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 ≤ 5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value of the gray-level values which less than or equal to the 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: 95% of values ≥ </w:t>
                </w:r>
              </w:sdtContent>
            </w:sdt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The histogram bin that 95% of gray-level values are less than or equal to.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Mean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k*g(k)</m:t>
                  </m:r>
                </m:num>
                <m:den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g(k)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for 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0"/>
                    <w:szCs w:val="20"/>
                    <w:rtl w:val="0"/>
                  </w:rPr>
                  <w:t xml:space="preserve">≥ 95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Mean value of the gray-level values which larger than or equal to the 95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Percentile.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Sum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k*g(k)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Sum of gray-level values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Sigma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rad>
                <m:radPr>
                  <m:degHide m:val="1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radPr>
                <m:e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</m:t>
                      </m:r>
                    </m:sub>
                    <m:sup/>
                  </m:nary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k-Mean</m:t>
                          </m:r>
                        </m:e>
                      </m:d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p>
                  </m:s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*g(k)</m:t>
                  </m:r>
                </m:e>
              </m:rad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Variation of gray-level values around the Mean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Entropy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-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g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e>
              </m: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*log⁡(g(k))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 of histogram uniformity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Kurtosis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Sigm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a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-4</m:t>
                  </m:r>
                </m:sup>
              </m:sSup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k-Mean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4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*g(k)-3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 of histogram flatness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Skewness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Sigm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a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-3</m:t>
                  </m:r>
                </m:sup>
              </m:sSup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k-Mean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3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*g(k)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Measure of histogram symmetry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where 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is the histogram bin,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g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 the frequency of the histogram bin and </w:t>
            </w: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K=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k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g(k)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D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Co-occurrence features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capture the spatial relationship between pixels and are based on the gray-level co-occurrence matrix (GLCM). In a GLCM, each element,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f(i,j)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corresponds to the frequency with which two neighboring pixels, one with gray level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i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the other with 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j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occur within a specified distance (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d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In our study, the GLCM matrices were estimated using  different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window sizes=4, 6, 8, 10, 12, 14, 16, 18, 20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pixels. </w:t>
      </w:r>
    </w:p>
    <w:p w:rsidR="00000000" w:rsidDel="00000000" w:rsidP="00000000" w:rsidRDefault="00000000" w:rsidRPr="00000000" w14:paraId="00000031">
      <w:pPr>
        <w:spacing w:after="120" w:line="240" w:lineRule="auto"/>
        <w:ind w:firstLine="41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7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444"/>
        <w:gridCol w:w="3017"/>
        <w:gridCol w:w="3566"/>
        <w:tblGridChange w:id="0">
          <w:tblGrid>
            <w:gridCol w:w="2444"/>
            <w:gridCol w:w="3017"/>
            <w:gridCol w:w="356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Feature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Mathematical Notation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Qualitative description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Cluster Shade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µ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</m:t>
                          </m:r>
                        </m:sub>
                      </m:s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+j-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µ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j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3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*f(i,j)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Asymmetry in gray-level values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Correlation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µ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</m:t>
                          </m:r>
                        </m:sub>
                      </m:sSub>
                    </m:e>
                  </m:d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*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µ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j</m:t>
                          </m:r>
                        </m:sub>
                      </m:sSub>
                    </m:e>
                  </m:d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*f(i,j)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</m:t>
                      </m:r>
                    </m:sub>
                  </m:sSub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*σ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3A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Linear gray-level dependence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Haralick Correlation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ij*f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i,j</m:t>
                      </m:r>
                    </m:e>
                  </m:d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-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µ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</m:t>
                      </m:r>
                    </m:sub>
                  </m:s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*</m:t>
                  </m:r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µ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</m:t>
                      </m:r>
                    </m:sub>
                  </m:sSub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*σ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</m:t>
                      </m:r>
                    </m:sub>
                  </m:sSub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 Math" w:cs="Cambria Math" w:eastAsia="Cambria Math" w:hAnsi="Cambria Math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Energy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f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i,j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Certainty of gray-level co-occurrence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Entropy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-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i,j</m:t>
                  </m:r>
                </m:e>
              </m: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*log⁡(f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i,j</m:t>
                  </m:r>
                </m:e>
              </m: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Uncertainty of gray-level co-occurrence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Inertia</w:t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i-j</m:t>
                      </m:r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*f(i,j)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Local variation of gray-level intensity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Inverse Difference Moment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ij</m:t>
                  </m:r>
                </m:sub>
                <m:sup/>
              </m:nary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f(i,j)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1+</m:t>
                  </m:r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i-j</m:t>
                          </m:r>
                        </m:e>
                      </m:d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p>
                  </m:sSup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Local homogeneity in gray-level values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t>μ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i*f(i,j)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m:t>μ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</m:t>
                  </m:r>
                </m:sub>
                <m:sup/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j*f(i,j)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</w:t>
            </w:r>
            <m:oMath>
              <m:sSubSup>
                <m:sSub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m:t>σ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b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*f(i,j)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and </w:t>
            </w:r>
            <m:oMath>
              <m:sSubSup>
                <m:sSub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SupPr>
                <m:e>
                  <m:r>
                    <m:t>σ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b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</m:t>
                  </m:r>
                </m:sub>
                <m:sup/>
              </m:nary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j-</m:t>
                      </m:r>
                      <m:sSub>
                        <m:sSubPr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j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*f(i,j)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4D">
      <w:pPr>
        <w:spacing w:after="12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Run-length features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capture the coarseness of a texture in specified directions, where a run is defined as a string of consecutive pixels with similar gray-level intensity along specific linear orientation. Similar to GLCMs, a run-length matrix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R</m:t>
        </m:r>
      </m:oMath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defined, with each element,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R</m:t>
        </m:r>
        <m:d>
          <m:dPr>
            <m:begChr m:val="("/>
            <m:endChr m:val=")"/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i,j</m:t>
            </m:r>
          </m:e>
        </m:d>
      </m:oMath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representing the number of runs with pixels of gray-level intensity equal to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i</m:t>
        </m:r>
      </m:oMath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length of run equal to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j</m:t>
        </m:r>
      </m:oMath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along the specific orientation. The size of the matrix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R</m:t>
        </m:r>
      </m:oMath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M×N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where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N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is equal to the maximum run length. The following run-length statistics were estimated using  different 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window sizes=4, 6, 8, 10, 12, 14, 16, 18, 20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pixels.</w:t>
      </w:r>
    </w:p>
    <w:p w:rsidR="00000000" w:rsidDel="00000000" w:rsidP="00000000" w:rsidRDefault="00000000" w:rsidRPr="00000000" w14:paraId="0000004F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7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8"/>
        <w:gridCol w:w="2539"/>
        <w:gridCol w:w="3940"/>
        <w:tblGridChange w:id="0">
          <w:tblGrid>
            <w:gridCol w:w="2548"/>
            <w:gridCol w:w="2539"/>
            <w:gridCol w:w="394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Feature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Mathematical Notation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120" w:lineRule="auto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Qualitative description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Gray Level Non-uniformity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i=1</m:t>
                      </m:r>
                    </m:sub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M</m:t>
                      </m:r>
                    </m:sup>
                  </m:nary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nary>
                        <m:naryPr>
                          <m:chr m:val="∑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j=1</m:t>
                          </m:r>
                        </m:sub>
                        <m:sup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N</m:t>
                          </m:r>
                        </m:sup>
                      </m:nary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i,j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Dissimilarity in runs across gray-level values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High Gray Level Run Emphasis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sup>
              </m:nary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sup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R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i,j</m:t>
                  </m:r>
                </m:e>
              </m: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Runs of high-gray-level values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Long Run Emphasis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sup>
              </m:nary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sup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R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i,j</m:t>
                  </m:r>
                </m:e>
              </m:d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*</m:t>
              </m:r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</m:t>
                  </m:r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Emphasis on the long runs 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Low Gray Level Run Emphasis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sup>
              </m:nary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sup>
              </m:nary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R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i,j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p>
                  </m:sSup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Runs of low-gray-level values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Run Length Non-uniformity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sSup>
                <m:sSup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pPr>
                <m:e>
                  <m:nary>
                    <m:naryPr>
                      <m:chr m:val="∑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naryPr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j=1</m:t>
                      </m:r>
                    </m:sub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sup>
                  </m:nary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nary>
                        <m:naryPr>
                          <m:chr m:val="∑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i=1</m:t>
                          </m:r>
                        </m:sub>
                        <m:sup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M</m:t>
                          </m:r>
                        </m:sup>
                      </m:nary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  <m:d>
                        <m:dPr>
                          <m:begChr m:val="("/>
                          <m:endChr m:val=")"/>
                          <m:ctrlP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cs="Cambria Math" w:eastAsia="Cambria Math" w:hAnsi="Cambria Math"/>
                              <w:sz w:val="20"/>
                              <w:szCs w:val="20"/>
                            </w:rPr>
                            <m:t xml:space="preserve">i,j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2</m:t>
                  </m:r>
                </m:sup>
              </m:sSup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Dissimilarity in runs across lengths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Run Percentage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num>
                <m:den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#pixels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Homogeneity and distribution of runs  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12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Short Run Emphasis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mbria Math" w:cs="Cambria Math" w:eastAsia="Cambria Math" w:hAnsi="Cambria Math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1</m:t>
                  </m:r>
                </m:num>
                <m:den>
                  <m:sSub>
                    <m:sSub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n</m:t>
                      </m:r>
                    </m:e>
                    <m:sub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r</m:t>
                      </m:r>
                    </m:sub>
                  </m:sSub>
                </m:den>
              </m:f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sup>
              </m:nary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sup>
              </m:nary>
              <m:f>
                <m:f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R</m:t>
                  </m:r>
                  <m:d>
                    <m:dPr>
                      <m:begChr m:val="("/>
                      <m:endChr m:val=")"/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i,j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j</m:t>
                      </m:r>
                    </m:e>
                    <m:sup>
                      <m:r>
                        <w:rPr>
                          <w:rFonts w:ascii="Cambria Math" w:cs="Cambria Math" w:eastAsia="Cambria Math" w:hAnsi="Cambria Math"/>
                          <w:sz w:val="20"/>
                          <w:szCs w:val="20"/>
                        </w:rPr>
                        <m:t xml:space="preserve">2</m:t>
                      </m:r>
                    </m:sup>
                  </m:sSup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12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Emphasis on the short runs 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12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where </w:t>
            </w:r>
            <m:oMath>
              <m:sSub>
                <m:sSubPr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e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r</m:t>
                  </m:r>
                </m:sub>
              </m:sSub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=</m:t>
              </m:r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M</m:t>
                  </m:r>
                </m:sup>
              </m:nary>
              <m:nary>
                <m:naryPr>
                  <m:chr m:val="∑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j=1</m:t>
                  </m:r>
                </m:sub>
                <m:sup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N</m:t>
                  </m:r>
                </m:sup>
              </m:nary>
              <m:r>
                <w:rPr>
                  <w:rFonts w:ascii="Cambria Math" w:cs="Cambria Math" w:eastAsia="Cambria Math" w:hAnsi="Cambria Math"/>
                  <w:sz w:val="20"/>
                  <w:szCs w:val="20"/>
                </w:rPr>
                <m:t xml:space="preserve">R</m:t>
              </m:r>
              <m:d>
                <m:dPr>
                  <m:begChr m:val="("/>
                  <m:endChr m:val=")"/>
                  <m:ctrlP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cs="Cambria Math" w:eastAsia="Cambria Math" w:hAnsi="Cambria Math"/>
                      <w:sz w:val="20"/>
                      <w:szCs w:val="20"/>
                    </w:rPr>
                    <m:t xml:space="preserve">i,j</m:t>
                  </m:r>
                </m:e>
              </m:d>
            </m:oMath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is the total number of runs.</w:t>
            </w:r>
          </w:p>
        </w:tc>
      </w:tr>
    </w:tbl>
    <w:p w:rsidR="00000000" w:rsidDel="00000000" w:rsidP="00000000" w:rsidRDefault="00000000" w:rsidRPr="00000000" w14:paraId="0000006E">
      <w:pPr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Clustering Analysis</w:t>
      </w:r>
    </w:p>
    <w:tbl>
      <w:tblPr>
        <w:tblStyle w:val="Table4"/>
        <w:tblW w:w="9027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990"/>
        <w:gridCol w:w="3011"/>
        <w:gridCol w:w="24"/>
        <w:gridCol w:w="3002"/>
        <w:tblGridChange w:id="0">
          <w:tblGrid>
            <w:gridCol w:w="2990"/>
            <w:gridCol w:w="3011"/>
            <w:gridCol w:w="24"/>
            <w:gridCol w:w="30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84335" cy="1656431"/>
                  <wp:effectExtent b="0" l="0" r="0" t="0"/>
                  <wp:docPr descr="Graphical user interface&#10;&#10;Description automatically generated" id="58" name="image16.png"/>
                  <a:graphic>
                    <a:graphicData uri="http://schemas.openxmlformats.org/drawingml/2006/picture">
                      <pic:pic>
                        <pic:nvPicPr>
                          <pic:cNvPr descr="Graphical user interface&#10;&#10;Description automatically generated" id="0" name="image16.png"/>
                          <pic:cNvPicPr preferRelativeResize="0"/>
                        </pic:nvPicPr>
                        <pic:blipFill>
                          <a:blip r:embed="rId7"/>
                          <a:srcRect b="9425" l="1905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335" cy="16564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84334" cy="1684153"/>
                  <wp:effectExtent b="0" l="0" r="0" t="0"/>
                  <wp:docPr descr="Diagram&#10;&#10;Description automatically generated with medium confidence" id="60" name="image19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 with medium confidence" id="0" name="image19.png"/>
                          <pic:cNvPicPr preferRelativeResize="0"/>
                        </pic:nvPicPr>
                        <pic:blipFill>
                          <a:blip r:embed="rId8"/>
                          <a:srcRect b="7907" l="1905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334" cy="16841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91263" cy="1663309"/>
                  <wp:effectExtent b="0" l="0" r="0" t="0"/>
                  <wp:docPr descr="Diagram&#10;&#10;Description automatically generated" id="59" name="image4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4.png"/>
                          <pic:cNvPicPr preferRelativeResize="0"/>
                        </pic:nvPicPr>
                        <pic:blipFill>
                          <a:blip r:embed="rId9"/>
                          <a:srcRect b="9049" l="18752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263" cy="166330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4mm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91263" cy="1684100"/>
                  <wp:effectExtent b="0" l="0" r="0" t="0"/>
                  <wp:docPr descr="Diagram&#10;&#10;Description automatically generated with medium confidence" id="62" name="image3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 with medium confidence" id="0" name="image3.png"/>
                          <pic:cNvPicPr preferRelativeResize="0"/>
                        </pic:nvPicPr>
                        <pic:blipFill>
                          <a:blip r:embed="rId10"/>
                          <a:srcRect b="7912" l="18752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263" cy="1684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91262" cy="1697960"/>
                  <wp:effectExtent b="0" l="0" r="0" t="0"/>
                  <wp:docPr descr="Graphical user interface&#10;&#10;Description automatically generated" id="61" name="image1.png"/>
                  <a:graphic>
                    <a:graphicData uri="http://schemas.openxmlformats.org/drawingml/2006/picture">
                      <pic:pic>
                        <pic:nvPicPr>
                          <pic:cNvPr descr="Graphical user interface&#10;&#10;Description automatically generated" id="0" name="image1.png"/>
                          <pic:cNvPicPr preferRelativeResize="0"/>
                        </pic:nvPicPr>
                        <pic:blipFill>
                          <a:blip r:embed="rId11"/>
                          <a:srcRect b="7154" l="18752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262" cy="16979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905121" cy="1683418"/>
                  <wp:effectExtent b="0" l="0" r="0" t="0"/>
                  <wp:docPr descr="Diagram&#10;&#10;Description automatically generated" id="64" name="image12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12.png"/>
                          <pic:cNvPicPr preferRelativeResize="0"/>
                        </pic:nvPicPr>
                        <pic:blipFill>
                          <a:blip r:embed="rId12"/>
                          <a:srcRect b="7947" l="1815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21" cy="168341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8mm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877406" cy="1677276"/>
                  <wp:effectExtent b="0" l="0" r="0" t="0"/>
                  <wp:docPr descr="Diagram&#10;&#10;Description automatically generated" id="63" name="image9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9.png"/>
                          <pic:cNvPicPr preferRelativeResize="0"/>
                        </pic:nvPicPr>
                        <pic:blipFill>
                          <a:blip r:embed="rId13"/>
                          <a:srcRect b="8285" l="1934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406" cy="167727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905120" cy="1656274"/>
                  <wp:effectExtent b="0" l="0" r="0" t="0"/>
                  <wp:docPr descr="Diagram&#10;&#10;Description automatically generated" id="66" name="image2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2.png"/>
                          <pic:cNvPicPr preferRelativeResize="0"/>
                        </pic:nvPicPr>
                        <pic:blipFill>
                          <a:blip r:embed="rId14"/>
                          <a:srcRect b="9433" l="1815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20" cy="16562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1905120" cy="1690925"/>
                  <wp:effectExtent b="0" l="0" r="0" t="0"/>
                  <wp:docPr descr="Diagram&#10;&#10;Description automatically generated" id="65" name="image17.png"/>
                  <a:graphic>
                    <a:graphicData uri="http://schemas.openxmlformats.org/drawingml/2006/picture">
                      <pic:pic>
                        <pic:nvPicPr>
                          <pic:cNvPr descr="Diagram&#10;&#10;Description automatically generated" id="0" name="image17.png"/>
                          <pic:cNvPicPr preferRelativeResize="0"/>
                        </pic:nvPicPr>
                        <pic:blipFill>
                          <a:blip r:embed="rId15"/>
                          <a:srcRect b="7537" l="18157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20" cy="1690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20mm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Fig. S1: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Consensus clustering for different number of clusters (K = 2, 3, 4) for finding the best optimal cluster for patients with I130f kernel.</w:t>
            </w:r>
          </w:p>
        </w:tc>
      </w:tr>
    </w:tbl>
    <w:p w:rsidR="00000000" w:rsidDel="00000000" w:rsidP="00000000" w:rsidRDefault="00000000" w:rsidRPr="00000000" w14:paraId="0000009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4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6839" w:w="11907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Entanglement </w:t>
      </w:r>
      <w:r w:rsidDel="00000000" w:rsidR="00000000" w:rsidRPr="00000000">
        <w:rPr>
          <w:rtl w:val="0"/>
        </w:rPr>
      </w:r>
    </w:p>
    <w:tbl>
      <w:tblPr>
        <w:tblStyle w:val="Table5"/>
        <w:tblW w:w="13428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76"/>
        <w:gridCol w:w="4476"/>
        <w:gridCol w:w="4476"/>
        <w:tblGridChange w:id="0">
          <w:tblGrid>
            <w:gridCol w:w="4476"/>
            <w:gridCol w:w="4476"/>
            <w:gridCol w:w="447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703134" cy="2286000"/>
                  <wp:effectExtent b="0" l="0" r="0" t="0"/>
                  <wp:docPr descr="Diagram, schematic&#10;&#10;Description automatically generated" id="69" name="image14.png"/>
                  <a:graphic>
                    <a:graphicData uri="http://schemas.openxmlformats.org/drawingml/2006/picture">
                      <pic:pic>
                        <pic:nvPicPr>
                          <pic:cNvPr descr="Diagram, schematic&#10;&#10;Description automatically generated" id="0" name="image14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34" cy="228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703134" cy="2286000"/>
                  <wp:effectExtent b="0" l="0" r="0" t="0"/>
                  <wp:docPr descr="Diagram, schematic&#10;&#10;Description automatically generated" id="67" name="image18.png"/>
                  <a:graphic>
                    <a:graphicData uri="http://schemas.openxmlformats.org/drawingml/2006/picture">
                      <pic:pic>
                        <pic:nvPicPr>
                          <pic:cNvPr descr="Diagram, schematic&#10;&#10;Description automatically generated" id="0" name="image18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34" cy="228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drawing>
                <wp:inline distB="0" distT="0" distL="0" distR="0">
                  <wp:extent cx="2703134" cy="2286000"/>
                  <wp:effectExtent b="0" l="0" r="0" t="0"/>
                  <wp:docPr descr="Diagram, schematic&#10;&#10;Description automatically generated" id="68" name="image15.png"/>
                  <a:graphic>
                    <a:graphicData uri="http://schemas.openxmlformats.org/drawingml/2006/picture">
                      <pic:pic>
                        <pic:nvPicPr>
                          <pic:cNvPr descr="Diagram, schematic&#10;&#10;Description automatically generated" id="0" name="image1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134" cy="2286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4mm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8mm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= 20mm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Fig. S2: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Entanglement after applying feature harmonization comparing the two clusters between reconstruction kernels.</w:t>
            </w:r>
          </w:p>
        </w:tc>
      </w:tr>
    </w:tbl>
    <w:p w:rsidR="00000000" w:rsidDel="00000000" w:rsidP="00000000" w:rsidRDefault="00000000" w:rsidRPr="00000000" w14:paraId="000000A5">
      <w:pPr>
        <w:tabs>
          <w:tab w:val="left" w:pos="1724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pos="1724"/>
        </w:tabs>
        <w:spacing w:line="480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nextPage"/>
          <w:pgSz w:h="11907" w:w="16839" w:orient="landscape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Feature Harmonization </w:t>
      </w:r>
    </w:p>
    <w:p w:rsidR="00000000" w:rsidDel="00000000" w:rsidP="00000000" w:rsidRDefault="00000000" w:rsidRPr="00000000" w14:paraId="000000A8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Outlier detection in the harmonization process resulted in 8 patients (images) being classified as outliers from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4mm, 8mm, and 20mm window sizes in the two-reconstruction kernel dataset. Similarly, 12, 15, and 36 patients were detected as outliers from the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4mm, 8mm, and 20mm in the PFT dataset. The effects of dropping scans with residuals classified as outliers are shown for a sample representative feature (gray entropy) and covariate (BMI) from the two-reconstruction kernel dataset in Figure S3. The outlier removal resulted in a more even distribution of imaging features.</w:t>
      </w:r>
    </w:p>
    <w:p w:rsidR="00000000" w:rsidDel="00000000" w:rsidP="00000000" w:rsidRDefault="00000000" w:rsidRPr="00000000" w14:paraId="000000A9">
      <w:pPr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343628" cy="1737451"/>
            <wp:effectExtent b="0" l="0" r="0" t="0"/>
            <wp:docPr descr="Chart, scatter chart&#10;&#10;Description automatically generated" id="70" name="image7.png"/>
            <a:graphic>
              <a:graphicData uri="http://schemas.openxmlformats.org/drawingml/2006/picture">
                <pic:pic>
                  <pic:nvPicPr>
                    <pic:cNvPr descr="Chart, scatter chart&#10;&#10;Description automatically generated" id="0" name="image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3628" cy="17374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Figure S3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Residual plots for gray entropy versus BMI for the raw features (left) and the ComBat-harmonized features with the outliers dropped (right) for the two-reconstruction kernel dataset with window size 4mm. 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Number of features with statistically significant differences in distribution due to reconstruction kernel as detected with the KS test 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&lt; 0.05) for the two-reconstruction kernel dataset.  </w:t>
      </w:r>
    </w:p>
    <w:p w:rsidR="00000000" w:rsidDel="00000000" w:rsidP="00000000" w:rsidRDefault="00000000" w:rsidRPr="00000000" w14:paraId="000000AD">
      <w:pPr>
        <w:spacing w:line="48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493260" cy="1725295"/>
            <wp:effectExtent b="0" l="0" r="0" t="0"/>
            <wp:docPr descr="Table&#10;&#10;Description automatically generated" id="71" name="image10.png"/>
            <a:graphic>
              <a:graphicData uri="http://schemas.openxmlformats.org/drawingml/2006/picture">
                <pic:pic>
                  <pic:nvPicPr>
                    <pic:cNvPr descr="Table&#10;&#10;Description automatically generated" id="0" name="image1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3260" cy="17252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Table S2.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Number of features with statistically significant differences in distribution due to the reconstruction kernel as detected with the KS test 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&lt; 0.05) for the PFT dataset.  </w:t>
      </w:r>
    </w:p>
    <w:p w:rsidR="00000000" w:rsidDel="00000000" w:rsidP="00000000" w:rsidRDefault="00000000" w:rsidRPr="00000000" w14:paraId="000000A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493260" cy="1725295"/>
            <wp:effectExtent b="0" l="0" r="0" t="0"/>
            <wp:docPr descr="Table&#10;&#10;Description automatically generated" id="72" name="image5.png"/>
            <a:graphic>
              <a:graphicData uri="http://schemas.openxmlformats.org/drawingml/2006/picture">
                <pic:pic>
                  <pic:nvPicPr>
                    <pic:cNvPr descr="Table&#10;&#10;Description automatically generated" id="0" name="image5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3260" cy="17252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pos="169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CT Acquisition Parameters</w:t>
      </w:r>
    </w:p>
    <w:p w:rsidR="00000000" w:rsidDel="00000000" w:rsidP="00000000" w:rsidRDefault="00000000" w:rsidRPr="00000000" w14:paraId="000000B2">
      <w:pPr>
        <w:keepNext w:val="1"/>
        <w:keepLines w:val="1"/>
        <w:spacing w:after="0" w:before="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Images used in study have voxel size of 0.5mm x 0.5mm x 0.5mm. Some CT parameters are shown in Figure S4.</w:t>
      </w:r>
    </w:p>
    <w:tbl>
      <w:tblPr>
        <w:tblStyle w:val="Table6"/>
        <w:tblW w:w="93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3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343290" cy="1828800"/>
                  <wp:effectExtent b="0" l="0" r="0" t="0"/>
                  <wp:docPr descr="Chart, histogram&#10;&#10;Description automatically generated" id="73" name="image8.png"/>
                  <a:graphic>
                    <a:graphicData uri="http://schemas.openxmlformats.org/drawingml/2006/picture">
                      <pic:pic>
                        <pic:nvPicPr>
                          <pic:cNvPr descr="Chart, histogram&#10;&#10;Description automatically generated" id="0" name="image8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290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805702" cy="1828800"/>
                  <wp:effectExtent b="0" l="0" r="0" t="0"/>
                  <wp:docPr descr="Chart, histogram&#10;&#10;Description automatically generated" id="74" name="image6.png"/>
                  <a:graphic>
                    <a:graphicData uri="http://schemas.openxmlformats.org/drawingml/2006/picture">
                      <pic:pic>
                        <pic:nvPicPr>
                          <pic:cNvPr descr="Chart, histogram&#10;&#10;Description automatically generated" id="0" name="image6.png"/>
                          <pic:cNvPicPr preferRelativeResize="0"/>
                        </pic:nvPicPr>
                        <pic:blipFill>
                          <a:blip r:embed="rId23"/>
                          <a:srcRect b="7277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702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5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576350" cy="1828800"/>
                  <wp:effectExtent b="0" l="0" r="0" t="0"/>
                  <wp:docPr descr="Chart, histogram&#10;&#10;Description automatically generated" id="75" name="image13.png"/>
                  <a:graphic>
                    <a:graphicData uri="http://schemas.openxmlformats.org/drawingml/2006/picture">
                      <pic:pic>
                        <pic:nvPicPr>
                          <pic:cNvPr descr="Chart, histogram&#10;&#10;Description automatically generated" id="0" name="image13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350" cy="1828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204030" cy="1531331"/>
                  <wp:effectExtent b="0" l="0" r="0" t="0"/>
                  <wp:docPr descr="Chart, histogram&#10;&#10;Description automatically generated" id="76" name="image11.png"/>
                  <a:graphic>
                    <a:graphicData uri="http://schemas.openxmlformats.org/drawingml/2006/picture">
                      <pic:pic>
                        <pic:nvPicPr>
                          <pic:cNvPr descr="Chart, histogram&#10;&#10;Description automatically generated" id="0" name="image11.png"/>
                          <pic:cNvPicPr preferRelativeResize="0"/>
                        </pic:nvPicPr>
                        <pic:blipFill>
                          <a:blip r:embed="rId25"/>
                          <a:srcRect b="16265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4030" cy="15313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pos="1692"/>
              </w:tabs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rtl w:val="0"/>
              </w:rPr>
              <w:t xml:space="preserve">Fig. S4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 Some CT acquisition parameters used for image analysis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B">
      <w:pPr>
        <w:tabs>
          <w:tab w:val="left" w:pos="169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pos="169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2"/>
        <w:spacing w:after="0" w:before="4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Availability of Data and Material</w:t>
      </w:r>
    </w:p>
    <w:p w:rsidR="00000000" w:rsidDel="00000000" w:rsidP="00000000" w:rsidRDefault="00000000" w:rsidRPr="00000000" w14:paraId="000000B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datasets generated and/or analyzed during the current study are not publicly available due to privacy and its proprietary nature but are available from the corresponding author on reasonable request.</w:t>
      </w:r>
      <w:r w:rsidDel="00000000" w:rsidR="00000000" w:rsidRPr="00000000">
        <w:rPr>
          <w:rtl w:val="0"/>
        </w:rPr>
      </w:r>
    </w:p>
    <w:sectPr>
      <w:type w:val="nextPage"/>
      <w:pgSz w:h="16839" w:w="11907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Gungsuh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D6E26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1" w:customStyle="1">
    <w:name w:val="Table Grid1"/>
    <w:basedOn w:val="TableNormal"/>
    <w:next w:val="TableGrid"/>
    <w:uiPriority w:val="39"/>
    <w:rsid w:val="002D6E26"/>
    <w:pPr>
      <w:spacing w:after="0" w:line="240" w:lineRule="auto"/>
    </w:pPr>
    <w:rPr>
      <w:rFonts w:eastAsia="Malgun Gothic"/>
      <w:lang w:eastAsia="ko-K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1" w:customStyle="1">
    <w:name w:val="Table Grid11"/>
    <w:basedOn w:val="TableNormal"/>
    <w:next w:val="TableGrid"/>
    <w:uiPriority w:val="59"/>
    <w:rsid w:val="002D6E26"/>
    <w:pPr>
      <w:spacing w:after="0" w:line="240" w:lineRule="auto"/>
    </w:pPr>
    <w:rPr>
      <w:rFonts w:eastAsia="Calibri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39"/>
    <w:rsid w:val="002D6E2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22" Type="http://schemas.openxmlformats.org/officeDocument/2006/relationships/image" Target="media/image8.png"/><Relationship Id="rId21" Type="http://schemas.openxmlformats.org/officeDocument/2006/relationships/image" Target="media/image5.png"/><Relationship Id="rId24" Type="http://schemas.openxmlformats.org/officeDocument/2006/relationships/image" Target="media/image13.png"/><Relationship Id="rId23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25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6.png"/><Relationship Id="rId8" Type="http://schemas.openxmlformats.org/officeDocument/2006/relationships/image" Target="media/image19.png"/><Relationship Id="rId11" Type="http://schemas.openxmlformats.org/officeDocument/2006/relationships/image" Target="media/image1.png"/><Relationship Id="rId10" Type="http://schemas.openxmlformats.org/officeDocument/2006/relationships/image" Target="media/image3.png"/><Relationship Id="rId13" Type="http://schemas.openxmlformats.org/officeDocument/2006/relationships/image" Target="media/image9.png"/><Relationship Id="rId12" Type="http://schemas.openxmlformats.org/officeDocument/2006/relationships/image" Target="media/image12.png"/><Relationship Id="rId15" Type="http://schemas.openxmlformats.org/officeDocument/2006/relationships/image" Target="media/image17.png"/><Relationship Id="rId14" Type="http://schemas.openxmlformats.org/officeDocument/2006/relationships/image" Target="media/image2.png"/><Relationship Id="rId17" Type="http://schemas.openxmlformats.org/officeDocument/2006/relationships/image" Target="media/image18.png"/><Relationship Id="rId16" Type="http://schemas.openxmlformats.org/officeDocument/2006/relationships/image" Target="media/image14.png"/><Relationship Id="rId19" Type="http://schemas.openxmlformats.org/officeDocument/2006/relationships/image" Target="media/image7.png"/><Relationship Id="rId18" Type="http://schemas.openxmlformats.org/officeDocument/2006/relationships/image" Target="media/image1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eApg6tg8Cva/S5eXLcXXCpeaaQ==">AMUW2mWbQOpZcw+HsL7CkMfMZOxhp6Jvz6k+jjU1gsuuYHN2wmsLN28Y7YBPV8bXVxUv5+Q/Ng52Qy699uwRFzH3vj5PFh4K2F1YLt+JVv5JpYpkA1T6WBXGu54hE+CzrvoRpC2XzofVYpL8LOLJUOOK/vmFZ0mt8ahZJM3tZT+Q8zAqEmYE5TMlBsh347Vg/78OpmyugVoauwUnsvCvQCg52EAhO3JHIt596FiERcTcCDSY+AXx0feleKfWsTBaQ+BkN+2W6jyC7c2gIVtYDWN6789A7CjJEZ31T7l8eGs7N+nz7UWvku+LbFTaI0r23sgxXu6nfh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2022-02-08T03:07:00Z</dcterms:created>
  <dc:creator>Haghighi, Babak</dc:creator>
</cp:coreProperties>
</file>