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EE5C72" w14:textId="0E7DD2D9" w:rsidR="008C7185" w:rsidRDefault="00526C36" w:rsidP="00526C36">
      <w:pPr>
        <w:spacing w:line="360" w:lineRule="auto"/>
        <w:jc w:val="both"/>
        <w:rPr>
          <w:b/>
          <w:lang w:val="en-US"/>
        </w:rPr>
      </w:pPr>
      <w:bookmarkStart w:id="0" w:name="_GoBack"/>
      <w:r w:rsidRPr="00526C36">
        <w:rPr>
          <w:bCs/>
          <w:u w:val="single"/>
          <w:lang w:val="en-US"/>
        </w:rPr>
        <w:t xml:space="preserve">Supplementary </w:t>
      </w:r>
      <w:r w:rsidR="008C7185">
        <w:rPr>
          <w:bCs/>
          <w:u w:val="single"/>
          <w:lang w:val="en-US"/>
        </w:rPr>
        <w:t>M</w:t>
      </w:r>
      <w:r w:rsidRPr="00526C36">
        <w:rPr>
          <w:bCs/>
          <w:u w:val="single"/>
          <w:lang w:val="en-US"/>
        </w:rPr>
        <w:t>aterial:</w:t>
      </w:r>
      <w:r>
        <w:rPr>
          <w:b/>
          <w:lang w:val="en-US"/>
        </w:rPr>
        <w:t xml:space="preserve"> </w:t>
      </w:r>
    </w:p>
    <w:p w14:paraId="6BE67F1F" w14:textId="374645BE" w:rsidR="00526C36" w:rsidRDefault="00526C36" w:rsidP="00526C36">
      <w:pPr>
        <w:spacing w:line="360" w:lineRule="auto"/>
        <w:jc w:val="both"/>
        <w:rPr>
          <w:b/>
          <w:bCs/>
          <w:lang w:val="en-US"/>
        </w:rPr>
      </w:pPr>
      <w:r>
        <w:rPr>
          <w:b/>
          <w:lang w:val="en-US"/>
        </w:rPr>
        <w:t>Detection of Acute Promyelocytic Leukemia in Peripheral Blood and Bone Marrow with Annotation-Free Deep Learning</w:t>
      </w:r>
    </w:p>
    <w:p w14:paraId="480C1C90" w14:textId="77777777" w:rsidR="00526C36" w:rsidRDefault="00526C36" w:rsidP="00526C36">
      <w:pPr>
        <w:spacing w:line="360" w:lineRule="auto"/>
        <w:jc w:val="both"/>
        <w:rPr>
          <w:b/>
          <w:bCs/>
          <w:lang w:val="en-US"/>
        </w:rPr>
      </w:pPr>
    </w:p>
    <w:p w14:paraId="13B0986E" w14:textId="77777777" w:rsidR="00526C36" w:rsidRPr="000D793F" w:rsidRDefault="00526C36" w:rsidP="00526C36">
      <w:pPr>
        <w:spacing w:line="360" w:lineRule="auto"/>
        <w:jc w:val="both"/>
        <w:rPr>
          <w:b/>
          <w:bCs/>
          <w:lang w:val="en-US"/>
        </w:rPr>
      </w:pPr>
      <w:r w:rsidRPr="000D793F">
        <w:rPr>
          <w:b/>
          <w:bCs/>
          <w:lang w:val="en-US"/>
        </w:rPr>
        <w:t>Authors:</w:t>
      </w:r>
    </w:p>
    <w:p w14:paraId="0B11DD03" w14:textId="15E41588" w:rsidR="00526C36" w:rsidRDefault="00526C36" w:rsidP="00526C36">
      <w:pPr>
        <w:spacing w:line="360" w:lineRule="auto"/>
        <w:jc w:val="both"/>
        <w:rPr>
          <w:lang w:val="en-US"/>
        </w:rPr>
      </w:pPr>
      <w:proofErr w:type="spellStart"/>
      <w:r w:rsidRPr="00B42002">
        <w:rPr>
          <w:lang w:val="en-US"/>
        </w:rPr>
        <w:t>Petru</w:t>
      </w:r>
      <w:proofErr w:type="spellEnd"/>
      <w:r w:rsidRPr="00B42002">
        <w:rPr>
          <w:lang w:val="en-US"/>
        </w:rPr>
        <w:t xml:space="preserve"> Manescu</w:t>
      </w:r>
      <w:r w:rsidRPr="00B42002">
        <w:rPr>
          <w:b/>
          <w:bCs/>
          <w:vertAlign w:val="superscript"/>
          <w:lang w:val="en-US"/>
        </w:rPr>
        <w:t>1</w:t>
      </w:r>
      <w:r w:rsidRPr="00B42002">
        <w:rPr>
          <w:b/>
          <w:vertAlign w:val="superscript"/>
          <w:lang w:val="en-US"/>
        </w:rPr>
        <w:t>*</w:t>
      </w:r>
      <w:r w:rsidRPr="00B42002">
        <w:rPr>
          <w:lang w:val="en-US"/>
        </w:rPr>
        <w:t xml:space="preserve">, </w:t>
      </w:r>
      <w:proofErr w:type="spellStart"/>
      <w:r w:rsidRPr="000F7CDC">
        <w:rPr>
          <w:lang w:val="en-US"/>
        </w:rPr>
        <w:t>Priya</w:t>
      </w:r>
      <w:proofErr w:type="spellEnd"/>
      <w:r w:rsidRPr="000F7CDC">
        <w:rPr>
          <w:lang w:val="en-US"/>
        </w:rPr>
        <w:t xml:space="preserve"> Narayanan</w:t>
      </w:r>
      <w:r w:rsidRPr="000F7CDC">
        <w:rPr>
          <w:vertAlign w:val="superscript"/>
          <w:lang w:val="en-US"/>
        </w:rPr>
        <w:t>1</w:t>
      </w:r>
      <w:r w:rsidRPr="000F7CDC">
        <w:rPr>
          <w:lang w:val="en-US"/>
        </w:rPr>
        <w:t>, Christopher Bendkowski</w:t>
      </w:r>
      <w:r w:rsidRPr="00B42002">
        <w:rPr>
          <w:b/>
          <w:bCs/>
          <w:vertAlign w:val="superscript"/>
          <w:lang w:val="en-US"/>
        </w:rPr>
        <w:t>1</w:t>
      </w:r>
      <w:r w:rsidRPr="000F7CDC">
        <w:rPr>
          <w:lang w:val="en-US"/>
        </w:rPr>
        <w:t xml:space="preserve">, </w:t>
      </w:r>
      <w:proofErr w:type="spellStart"/>
      <w:r w:rsidRPr="000F7CDC">
        <w:rPr>
          <w:lang w:val="en-US"/>
        </w:rPr>
        <w:t>Muna</w:t>
      </w:r>
      <w:proofErr w:type="spellEnd"/>
      <w:r w:rsidRPr="000F7CDC">
        <w:rPr>
          <w:lang w:val="en-US"/>
        </w:rPr>
        <w:t xml:space="preserve"> Elmi</w:t>
      </w:r>
      <w:r w:rsidRPr="00B42002">
        <w:rPr>
          <w:b/>
          <w:bCs/>
          <w:vertAlign w:val="superscript"/>
          <w:lang w:val="en-US"/>
        </w:rPr>
        <w:t>1</w:t>
      </w:r>
      <w:r w:rsidRPr="000F7CDC">
        <w:rPr>
          <w:lang w:val="en-US"/>
        </w:rPr>
        <w:t>, Remy Claveau</w:t>
      </w:r>
      <w:r w:rsidRPr="00B42002">
        <w:rPr>
          <w:b/>
          <w:bCs/>
          <w:vertAlign w:val="superscript"/>
          <w:lang w:val="en-US"/>
        </w:rPr>
        <w:t>1</w:t>
      </w:r>
      <w:r w:rsidRPr="000F7CDC">
        <w:rPr>
          <w:lang w:val="en-US"/>
        </w:rPr>
        <w:t>, Vijay Pawar</w:t>
      </w:r>
      <w:r w:rsidRPr="00B42002">
        <w:rPr>
          <w:b/>
          <w:bCs/>
          <w:vertAlign w:val="superscript"/>
          <w:lang w:val="en-US"/>
        </w:rPr>
        <w:t>1</w:t>
      </w:r>
      <w:r w:rsidRPr="000F7CDC">
        <w:rPr>
          <w:lang w:val="en-US"/>
        </w:rPr>
        <w:t xml:space="preserve">, </w:t>
      </w:r>
      <w:proofErr w:type="spellStart"/>
      <w:r w:rsidRPr="000F7CDC">
        <w:rPr>
          <w:lang w:val="en-US"/>
        </w:rPr>
        <w:t>Biobele</w:t>
      </w:r>
      <w:proofErr w:type="spellEnd"/>
      <w:r w:rsidRPr="000F7CDC">
        <w:rPr>
          <w:lang w:val="en-US"/>
        </w:rPr>
        <w:t xml:space="preserve"> J. Brown</w:t>
      </w:r>
      <w:r w:rsidRPr="00B42002">
        <w:rPr>
          <w:b/>
          <w:vertAlign w:val="superscript"/>
          <w:lang w:val="en-US"/>
        </w:rPr>
        <w:t>2</w:t>
      </w:r>
      <w:r w:rsidRPr="000F7CDC">
        <w:rPr>
          <w:lang w:val="en-US"/>
        </w:rPr>
        <w:t>, Mike Shaw</w:t>
      </w:r>
      <w:r w:rsidRPr="00B42002">
        <w:rPr>
          <w:b/>
          <w:bCs/>
          <w:vertAlign w:val="superscript"/>
          <w:lang w:val="en-US"/>
        </w:rPr>
        <w:t>1</w:t>
      </w:r>
      <w:r w:rsidRPr="00B42002">
        <w:rPr>
          <w:lang w:val="en-US"/>
        </w:rPr>
        <w:t>, Anupama Rao</w:t>
      </w:r>
      <w:r>
        <w:rPr>
          <w:b/>
          <w:bCs/>
          <w:vertAlign w:val="superscript"/>
          <w:lang w:val="en-US"/>
        </w:rPr>
        <w:t>3</w:t>
      </w:r>
      <w:r w:rsidRPr="00B42002">
        <w:rPr>
          <w:lang w:val="en-US"/>
        </w:rPr>
        <w:t>, and Delmiro Fernandez-Reyes</w:t>
      </w:r>
      <w:r w:rsidRPr="00B42002">
        <w:rPr>
          <w:b/>
          <w:vertAlign w:val="superscript"/>
          <w:lang w:val="en-US"/>
        </w:rPr>
        <w:t>1,2*</w:t>
      </w:r>
    </w:p>
    <w:p w14:paraId="321886C1" w14:textId="77777777" w:rsidR="008C7185" w:rsidRDefault="008C7185" w:rsidP="00526C36">
      <w:pPr>
        <w:spacing w:line="360" w:lineRule="auto"/>
        <w:jc w:val="both"/>
        <w:rPr>
          <w:b/>
          <w:bCs/>
          <w:lang w:val="en-US"/>
        </w:rPr>
      </w:pPr>
    </w:p>
    <w:p w14:paraId="475881D9" w14:textId="09919BF4" w:rsidR="00526C36" w:rsidRPr="000D793F" w:rsidRDefault="00526C36" w:rsidP="00526C36">
      <w:pPr>
        <w:spacing w:line="360" w:lineRule="auto"/>
        <w:jc w:val="both"/>
        <w:rPr>
          <w:b/>
          <w:bCs/>
          <w:lang w:val="en-US"/>
        </w:rPr>
      </w:pPr>
      <w:r w:rsidRPr="000D793F">
        <w:rPr>
          <w:b/>
          <w:bCs/>
          <w:lang w:val="en-US"/>
        </w:rPr>
        <w:t>Affiliations:</w:t>
      </w:r>
    </w:p>
    <w:p w14:paraId="297A3FCB" w14:textId="77777777" w:rsidR="00526C36" w:rsidRPr="00B42002" w:rsidRDefault="00526C36" w:rsidP="00526C36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B42002">
        <w:rPr>
          <w:lang w:val="en-US"/>
        </w:rPr>
        <w:t>Department of Computer Science, Faculty of Engineering Sciences, University College London, Gower Street, London, WC1E 6BT, United Kingdom.</w:t>
      </w:r>
    </w:p>
    <w:p w14:paraId="51EE200B" w14:textId="77777777" w:rsidR="00526C36" w:rsidRPr="00B42002" w:rsidRDefault="00526C36" w:rsidP="00526C36">
      <w:pPr>
        <w:pStyle w:val="ListParagraph"/>
        <w:numPr>
          <w:ilvl w:val="0"/>
          <w:numId w:val="1"/>
        </w:numPr>
        <w:spacing w:line="360" w:lineRule="auto"/>
        <w:jc w:val="both"/>
        <w:rPr>
          <w:lang w:val="en-US"/>
        </w:rPr>
      </w:pPr>
      <w:r w:rsidRPr="00B42002">
        <w:rPr>
          <w:lang w:val="en-US"/>
        </w:rPr>
        <w:t xml:space="preserve">Department of </w:t>
      </w:r>
      <w:proofErr w:type="spellStart"/>
      <w:r w:rsidRPr="00B42002">
        <w:rPr>
          <w:lang w:val="en-US"/>
        </w:rPr>
        <w:t>Paediatrics</w:t>
      </w:r>
      <w:proofErr w:type="spellEnd"/>
      <w:r w:rsidRPr="00B42002">
        <w:rPr>
          <w:lang w:val="en-US"/>
        </w:rPr>
        <w:t>, College of Medicine University of Ibadan, University College Hospital, Ibadan, Nigeria.</w:t>
      </w:r>
    </w:p>
    <w:p w14:paraId="375022E8" w14:textId="77777777" w:rsidR="00526C36" w:rsidRPr="00EF3CBA" w:rsidRDefault="00526C36" w:rsidP="00526C36">
      <w:pPr>
        <w:pStyle w:val="ListParagraph"/>
        <w:numPr>
          <w:ilvl w:val="0"/>
          <w:numId w:val="1"/>
        </w:numPr>
        <w:spacing w:line="360" w:lineRule="auto"/>
        <w:jc w:val="both"/>
      </w:pPr>
      <w:r>
        <w:rPr>
          <w:lang w:val="en-US"/>
        </w:rPr>
        <w:t xml:space="preserve">Department of </w:t>
      </w:r>
      <w:proofErr w:type="spellStart"/>
      <w:r>
        <w:rPr>
          <w:lang w:val="en-US"/>
        </w:rPr>
        <w:t>Haematology</w:t>
      </w:r>
      <w:proofErr w:type="spellEnd"/>
      <w:r>
        <w:rPr>
          <w:lang w:val="en-US"/>
        </w:rPr>
        <w:t xml:space="preserve">, </w:t>
      </w:r>
      <w:r w:rsidRPr="00B42002">
        <w:rPr>
          <w:lang w:val="en-US"/>
        </w:rPr>
        <w:t>Great Ormond Street Hospital for Children</w:t>
      </w:r>
      <w:r>
        <w:rPr>
          <w:lang w:val="en-US"/>
        </w:rPr>
        <w:t xml:space="preserve">, </w:t>
      </w:r>
      <w:r w:rsidRPr="00F230D0">
        <w:t>London</w:t>
      </w:r>
      <w:r>
        <w:t>,</w:t>
      </w:r>
      <w:r w:rsidRPr="00F230D0">
        <w:t xml:space="preserve"> WC1N 3JH</w:t>
      </w:r>
      <w:r>
        <w:t xml:space="preserve">, </w:t>
      </w:r>
      <w:r w:rsidRPr="00B42002">
        <w:rPr>
          <w:lang w:val="en-US"/>
        </w:rPr>
        <w:t>United Kingdom</w:t>
      </w:r>
      <w:r>
        <w:rPr>
          <w:lang w:val="en-US"/>
        </w:rPr>
        <w:t>.</w:t>
      </w:r>
    </w:p>
    <w:p w14:paraId="17725579" w14:textId="6B970149" w:rsidR="001B5E05" w:rsidRPr="00A009F7" w:rsidRDefault="001B5E05"/>
    <w:p w14:paraId="6837E1C1" w14:textId="77777777" w:rsidR="003A48B6" w:rsidRPr="00A009F7" w:rsidRDefault="003A48B6" w:rsidP="00526C36">
      <w:pPr>
        <w:jc w:val="both"/>
        <w:rPr>
          <w:color w:val="C00000"/>
        </w:rPr>
      </w:pPr>
    </w:p>
    <w:p w14:paraId="23811AD2" w14:textId="77777777" w:rsidR="003A48B6" w:rsidRPr="00A009F7" w:rsidRDefault="003A48B6" w:rsidP="00526C36">
      <w:pPr>
        <w:jc w:val="both"/>
        <w:rPr>
          <w:color w:val="C00000"/>
        </w:rPr>
      </w:pPr>
    </w:p>
    <w:p w14:paraId="68FA11A9" w14:textId="77777777" w:rsidR="003A48B6" w:rsidRPr="00A009F7" w:rsidRDefault="003A48B6" w:rsidP="00526C36">
      <w:pPr>
        <w:jc w:val="both"/>
        <w:rPr>
          <w:color w:val="C00000"/>
        </w:rPr>
      </w:pPr>
    </w:p>
    <w:p w14:paraId="614C2A81" w14:textId="77777777" w:rsidR="003A48B6" w:rsidRPr="00A009F7" w:rsidRDefault="003A48B6" w:rsidP="00526C36">
      <w:pPr>
        <w:jc w:val="both"/>
        <w:rPr>
          <w:color w:val="C00000"/>
        </w:rPr>
      </w:pPr>
    </w:p>
    <w:p w14:paraId="346704F3" w14:textId="77777777" w:rsidR="003A48B6" w:rsidRPr="00A009F7" w:rsidRDefault="003A48B6" w:rsidP="00526C36">
      <w:pPr>
        <w:jc w:val="both"/>
        <w:rPr>
          <w:color w:val="C00000"/>
        </w:rPr>
      </w:pPr>
    </w:p>
    <w:p w14:paraId="78B4A1C9" w14:textId="77777777" w:rsidR="003A48B6" w:rsidRPr="00A009F7" w:rsidRDefault="003A48B6" w:rsidP="00526C36">
      <w:pPr>
        <w:jc w:val="both"/>
        <w:rPr>
          <w:color w:val="C00000"/>
        </w:rPr>
      </w:pPr>
    </w:p>
    <w:p w14:paraId="1FAD0C98" w14:textId="77777777" w:rsidR="003A48B6" w:rsidRPr="00A009F7" w:rsidRDefault="003A48B6" w:rsidP="00526C36">
      <w:pPr>
        <w:jc w:val="both"/>
        <w:rPr>
          <w:color w:val="C00000"/>
        </w:rPr>
      </w:pPr>
    </w:p>
    <w:p w14:paraId="535F341D" w14:textId="77777777" w:rsidR="003A48B6" w:rsidRPr="00A009F7" w:rsidRDefault="003A48B6" w:rsidP="00526C36">
      <w:pPr>
        <w:jc w:val="both"/>
        <w:rPr>
          <w:color w:val="C00000"/>
        </w:rPr>
      </w:pPr>
    </w:p>
    <w:p w14:paraId="0C3FEC24" w14:textId="77777777" w:rsidR="003A48B6" w:rsidRPr="00A009F7" w:rsidRDefault="003A48B6" w:rsidP="00526C36">
      <w:pPr>
        <w:jc w:val="both"/>
        <w:rPr>
          <w:color w:val="C00000"/>
        </w:rPr>
      </w:pPr>
    </w:p>
    <w:p w14:paraId="042CB7B3" w14:textId="77777777" w:rsidR="003A48B6" w:rsidRPr="00A009F7" w:rsidRDefault="003A48B6" w:rsidP="00526C36">
      <w:pPr>
        <w:jc w:val="both"/>
        <w:rPr>
          <w:color w:val="C00000"/>
        </w:rPr>
      </w:pPr>
    </w:p>
    <w:p w14:paraId="2BB5CB18" w14:textId="77777777" w:rsidR="003A48B6" w:rsidRPr="00A009F7" w:rsidRDefault="003A48B6" w:rsidP="00526C36">
      <w:pPr>
        <w:jc w:val="both"/>
        <w:rPr>
          <w:color w:val="C00000"/>
        </w:rPr>
      </w:pPr>
    </w:p>
    <w:p w14:paraId="5CD44171" w14:textId="77777777" w:rsidR="003A48B6" w:rsidRPr="00A009F7" w:rsidRDefault="003A48B6" w:rsidP="00526C36">
      <w:pPr>
        <w:jc w:val="both"/>
        <w:rPr>
          <w:color w:val="C00000"/>
        </w:rPr>
      </w:pPr>
    </w:p>
    <w:p w14:paraId="77F85A9E" w14:textId="77777777" w:rsidR="003A48B6" w:rsidRPr="00A009F7" w:rsidRDefault="003A48B6" w:rsidP="00526C36">
      <w:pPr>
        <w:jc w:val="both"/>
        <w:rPr>
          <w:color w:val="C00000"/>
        </w:rPr>
      </w:pPr>
    </w:p>
    <w:p w14:paraId="179616BC" w14:textId="77777777" w:rsidR="003A48B6" w:rsidRPr="00A009F7" w:rsidRDefault="003A48B6" w:rsidP="00526C36">
      <w:pPr>
        <w:jc w:val="both"/>
        <w:rPr>
          <w:color w:val="C00000"/>
        </w:rPr>
      </w:pPr>
    </w:p>
    <w:p w14:paraId="49914B50" w14:textId="77777777" w:rsidR="003A48B6" w:rsidRPr="00A009F7" w:rsidRDefault="003A48B6" w:rsidP="00526C36">
      <w:pPr>
        <w:jc w:val="both"/>
        <w:rPr>
          <w:color w:val="C00000"/>
        </w:rPr>
      </w:pPr>
    </w:p>
    <w:p w14:paraId="21493B20" w14:textId="77777777" w:rsidR="003A48B6" w:rsidRPr="00A009F7" w:rsidRDefault="003A48B6" w:rsidP="00526C36">
      <w:pPr>
        <w:jc w:val="both"/>
        <w:rPr>
          <w:color w:val="C00000"/>
        </w:rPr>
      </w:pPr>
    </w:p>
    <w:p w14:paraId="423A22C5" w14:textId="77777777" w:rsidR="003A48B6" w:rsidRPr="00A009F7" w:rsidRDefault="003A48B6" w:rsidP="00526C36">
      <w:pPr>
        <w:jc w:val="both"/>
        <w:rPr>
          <w:color w:val="C00000"/>
        </w:rPr>
      </w:pPr>
    </w:p>
    <w:p w14:paraId="0E9E4255" w14:textId="77777777" w:rsidR="003A48B6" w:rsidRPr="00A009F7" w:rsidRDefault="003A48B6" w:rsidP="00526C36">
      <w:pPr>
        <w:jc w:val="both"/>
        <w:rPr>
          <w:color w:val="C00000"/>
        </w:rPr>
      </w:pPr>
    </w:p>
    <w:p w14:paraId="4A9D6397" w14:textId="77777777" w:rsidR="003A48B6" w:rsidRPr="00A009F7" w:rsidRDefault="003A48B6" w:rsidP="00526C36">
      <w:pPr>
        <w:jc w:val="both"/>
        <w:rPr>
          <w:color w:val="C00000"/>
        </w:rPr>
      </w:pPr>
    </w:p>
    <w:p w14:paraId="6054C563" w14:textId="77777777" w:rsidR="003A48B6" w:rsidRPr="00A009F7" w:rsidRDefault="003A48B6" w:rsidP="00526C36">
      <w:pPr>
        <w:jc w:val="both"/>
        <w:rPr>
          <w:color w:val="C00000"/>
        </w:rPr>
      </w:pPr>
    </w:p>
    <w:p w14:paraId="4378ED67" w14:textId="77777777" w:rsidR="003A48B6" w:rsidRPr="00A009F7" w:rsidRDefault="003A48B6" w:rsidP="00526C36">
      <w:pPr>
        <w:jc w:val="both"/>
        <w:rPr>
          <w:color w:val="C00000"/>
        </w:rPr>
      </w:pPr>
    </w:p>
    <w:p w14:paraId="3D79F47E" w14:textId="77777777" w:rsidR="003A48B6" w:rsidRPr="00A009F7" w:rsidRDefault="003A48B6" w:rsidP="00526C36">
      <w:pPr>
        <w:jc w:val="both"/>
        <w:rPr>
          <w:color w:val="C00000"/>
        </w:rPr>
      </w:pPr>
    </w:p>
    <w:p w14:paraId="020A8179" w14:textId="77777777" w:rsidR="003A48B6" w:rsidRPr="00A009F7" w:rsidRDefault="003A48B6" w:rsidP="00526C36">
      <w:pPr>
        <w:jc w:val="both"/>
        <w:rPr>
          <w:color w:val="C00000"/>
        </w:rPr>
      </w:pPr>
    </w:p>
    <w:p w14:paraId="25764677" w14:textId="77777777" w:rsidR="003A48B6" w:rsidRPr="00A009F7" w:rsidRDefault="003A48B6" w:rsidP="00526C36">
      <w:pPr>
        <w:jc w:val="both"/>
        <w:rPr>
          <w:color w:val="C00000"/>
        </w:rPr>
      </w:pPr>
    </w:p>
    <w:p w14:paraId="7330ECF7" w14:textId="0C0E7799" w:rsidR="008C7185" w:rsidRDefault="008C7185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1B193586" w14:textId="36FFBDE9" w:rsidR="00526C36" w:rsidRPr="00A009F7" w:rsidRDefault="00526C36" w:rsidP="00526C36">
      <w:pPr>
        <w:jc w:val="both"/>
        <w:rPr>
          <w:color w:val="000000" w:themeColor="text1"/>
        </w:rPr>
      </w:pPr>
      <w:r w:rsidRPr="00A009F7">
        <w:rPr>
          <w:b/>
          <w:bCs/>
          <w:color w:val="000000" w:themeColor="text1"/>
        </w:rPr>
        <w:lastRenderedPageBreak/>
        <w:t xml:space="preserve">Supplementary Table 1. </w:t>
      </w:r>
      <w:r w:rsidRPr="00A009F7">
        <w:rPr>
          <w:color w:val="000000" w:themeColor="text1"/>
        </w:rPr>
        <w:t>Comparison of singe-cell classification performance between MILLIE and published fully supervised models.</w:t>
      </w:r>
      <w:r w:rsidRPr="00A009F7">
        <w:rPr>
          <w:b/>
          <w:bCs/>
          <w:color w:val="000000" w:themeColor="text1"/>
        </w:rPr>
        <w:t xml:space="preserve"> </w:t>
      </w:r>
    </w:p>
    <w:p w14:paraId="28C69508" w14:textId="77777777" w:rsidR="00526C36" w:rsidRDefault="00526C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0"/>
        <w:gridCol w:w="2195"/>
        <w:gridCol w:w="1636"/>
        <w:gridCol w:w="1709"/>
      </w:tblGrid>
      <w:tr w:rsidR="00A009F7" w14:paraId="767A5A09" w14:textId="77777777" w:rsidTr="00A009F7">
        <w:trPr>
          <w:trHeight w:val="441"/>
        </w:trPr>
        <w:tc>
          <w:tcPr>
            <w:tcW w:w="3470" w:type="dxa"/>
            <w:vMerge w:val="restart"/>
            <w:vAlign w:val="center"/>
          </w:tcPr>
          <w:p w14:paraId="385BDB6E" w14:textId="6A7ADD65" w:rsidR="00A009F7" w:rsidRPr="00526C36" w:rsidRDefault="00A009F7" w:rsidP="00A009F7">
            <w:pPr>
              <w:jc w:val="center"/>
              <w:rPr>
                <w:b/>
                <w:bCs/>
              </w:rPr>
            </w:pPr>
            <w:r w:rsidRPr="00526C36">
              <w:rPr>
                <w:b/>
                <w:bCs/>
              </w:rPr>
              <w:t>Model</w:t>
            </w:r>
            <w:r>
              <w:rPr>
                <w:b/>
                <w:bCs/>
              </w:rPr>
              <w:t>s</w:t>
            </w:r>
          </w:p>
        </w:tc>
        <w:tc>
          <w:tcPr>
            <w:tcW w:w="5540" w:type="dxa"/>
            <w:gridSpan w:val="3"/>
            <w:vAlign w:val="center"/>
          </w:tcPr>
          <w:p w14:paraId="41A1C7CA" w14:textId="68E87B11" w:rsidR="00A009F7" w:rsidRPr="00A009F7" w:rsidRDefault="00A009F7" w:rsidP="00A009F7">
            <w:pPr>
              <w:jc w:val="center"/>
              <w:rPr>
                <w:b/>
                <w:bCs/>
              </w:rPr>
            </w:pPr>
            <w:r w:rsidRPr="00A009F7">
              <w:rPr>
                <w:b/>
                <w:bCs/>
              </w:rPr>
              <w:t>Datasets</w:t>
            </w:r>
          </w:p>
        </w:tc>
      </w:tr>
      <w:tr w:rsidR="00A009F7" w14:paraId="140534C1" w14:textId="77777777" w:rsidTr="006A42DC">
        <w:trPr>
          <w:trHeight w:val="405"/>
        </w:trPr>
        <w:tc>
          <w:tcPr>
            <w:tcW w:w="3470" w:type="dxa"/>
            <w:vMerge/>
            <w:vAlign w:val="center"/>
          </w:tcPr>
          <w:p w14:paraId="53F87D82" w14:textId="26BDA6F3" w:rsidR="00A009F7" w:rsidRDefault="00A009F7" w:rsidP="00A009F7">
            <w:pPr>
              <w:jc w:val="center"/>
            </w:pPr>
          </w:p>
        </w:tc>
        <w:tc>
          <w:tcPr>
            <w:tcW w:w="2195" w:type="dxa"/>
          </w:tcPr>
          <w:p w14:paraId="7EF3C973" w14:textId="0CE5A09E" w:rsidR="00A009F7" w:rsidRPr="00A009F7" w:rsidRDefault="00A009F7" w:rsidP="00C519A2">
            <w:pPr>
              <w:jc w:val="center"/>
              <w:rPr>
                <w:b/>
                <w:bCs/>
              </w:rPr>
            </w:pPr>
            <w:r w:rsidRPr="00A009F7">
              <w:rPr>
                <w:b/>
                <w:bCs/>
              </w:rPr>
              <w:t>AUROC PBS</w:t>
            </w:r>
            <w:r>
              <w:rPr>
                <w:b/>
                <w:bCs/>
              </w:rPr>
              <w:t xml:space="preserve"> </w:t>
            </w:r>
            <w:r w:rsidR="00E12F47">
              <w:rPr>
                <w:b/>
                <w:bCs/>
                <w:vertAlign w:val="superscript"/>
              </w:rPr>
              <w:t>[1]</w:t>
            </w:r>
            <w:r w:rsidRPr="00A009F7">
              <w:rPr>
                <w:b/>
                <w:bCs/>
              </w:rPr>
              <w:t xml:space="preserve"> </w:t>
            </w:r>
          </w:p>
        </w:tc>
        <w:tc>
          <w:tcPr>
            <w:tcW w:w="3345" w:type="dxa"/>
            <w:gridSpan w:val="2"/>
          </w:tcPr>
          <w:p w14:paraId="69845030" w14:textId="6049059D" w:rsidR="00A009F7" w:rsidRPr="00A009F7" w:rsidRDefault="00A009F7" w:rsidP="00C519A2">
            <w:pPr>
              <w:jc w:val="center"/>
              <w:rPr>
                <w:b/>
                <w:bCs/>
                <w:vertAlign w:val="superscript"/>
              </w:rPr>
            </w:pPr>
            <w:r w:rsidRPr="00A009F7">
              <w:rPr>
                <w:b/>
                <w:bCs/>
              </w:rPr>
              <w:t>AUROC BMA</w:t>
            </w:r>
            <w:r w:rsidR="00E12F47">
              <w:rPr>
                <w:b/>
                <w:bCs/>
              </w:rPr>
              <w:t xml:space="preserve"> </w:t>
            </w:r>
            <w:r w:rsidR="00E12F47">
              <w:rPr>
                <w:b/>
                <w:bCs/>
                <w:vertAlign w:val="superscript"/>
              </w:rPr>
              <w:t>[2]</w:t>
            </w:r>
          </w:p>
        </w:tc>
      </w:tr>
      <w:tr w:rsidR="00A009F7" w14:paraId="5F3135EC" w14:textId="77777777" w:rsidTr="00A009F7">
        <w:trPr>
          <w:trHeight w:val="409"/>
        </w:trPr>
        <w:tc>
          <w:tcPr>
            <w:tcW w:w="3470" w:type="dxa"/>
            <w:vMerge/>
          </w:tcPr>
          <w:p w14:paraId="26C5987F" w14:textId="2C4CF1C6" w:rsidR="00A009F7" w:rsidRDefault="00A009F7" w:rsidP="00C519A2"/>
        </w:tc>
        <w:tc>
          <w:tcPr>
            <w:tcW w:w="2195" w:type="dxa"/>
            <w:vAlign w:val="center"/>
          </w:tcPr>
          <w:p w14:paraId="05780573" w14:textId="77777777" w:rsidR="00A009F7" w:rsidRPr="00A009F7" w:rsidRDefault="00A009F7" w:rsidP="00A009F7">
            <w:pPr>
              <w:jc w:val="center"/>
              <w:rPr>
                <w:b/>
                <w:bCs/>
              </w:rPr>
            </w:pPr>
            <w:r w:rsidRPr="00A009F7">
              <w:rPr>
                <w:b/>
                <w:bCs/>
              </w:rPr>
              <w:t>Lymphoblasts</w:t>
            </w:r>
          </w:p>
        </w:tc>
        <w:tc>
          <w:tcPr>
            <w:tcW w:w="1636" w:type="dxa"/>
            <w:vAlign w:val="center"/>
          </w:tcPr>
          <w:p w14:paraId="6875C0ED" w14:textId="77777777" w:rsidR="00A009F7" w:rsidRPr="00A009F7" w:rsidRDefault="00A009F7" w:rsidP="00A009F7">
            <w:pPr>
              <w:jc w:val="center"/>
              <w:rPr>
                <w:b/>
                <w:bCs/>
              </w:rPr>
            </w:pPr>
            <w:r w:rsidRPr="00A009F7">
              <w:rPr>
                <w:b/>
                <w:bCs/>
              </w:rPr>
              <w:t>Myeloblasts</w:t>
            </w:r>
          </w:p>
        </w:tc>
        <w:tc>
          <w:tcPr>
            <w:tcW w:w="1709" w:type="dxa"/>
            <w:vAlign w:val="center"/>
          </w:tcPr>
          <w:p w14:paraId="08772E20" w14:textId="77777777" w:rsidR="00A009F7" w:rsidRDefault="00A009F7" w:rsidP="00A009F7">
            <w:pPr>
              <w:jc w:val="center"/>
            </w:pPr>
            <w:r w:rsidRPr="00A009F7">
              <w:rPr>
                <w:b/>
                <w:bCs/>
              </w:rPr>
              <w:t>Promyelocytes</w:t>
            </w:r>
          </w:p>
        </w:tc>
      </w:tr>
      <w:tr w:rsidR="00526C36" w14:paraId="6EFA160B" w14:textId="77777777" w:rsidTr="00A009F7">
        <w:trPr>
          <w:trHeight w:val="850"/>
        </w:trPr>
        <w:tc>
          <w:tcPr>
            <w:tcW w:w="3470" w:type="dxa"/>
            <w:vAlign w:val="center"/>
          </w:tcPr>
          <w:p w14:paraId="7DEE96B1" w14:textId="77777777" w:rsidR="00526C36" w:rsidRDefault="00526C36" w:rsidP="00A009F7">
            <w:pPr>
              <w:jc w:val="right"/>
            </w:pPr>
            <w:r>
              <w:t xml:space="preserve">Fully Supervised </w:t>
            </w:r>
          </w:p>
        </w:tc>
        <w:tc>
          <w:tcPr>
            <w:tcW w:w="2195" w:type="dxa"/>
            <w:vAlign w:val="center"/>
          </w:tcPr>
          <w:p w14:paraId="4517FD16" w14:textId="118373C9" w:rsidR="00526C36" w:rsidRDefault="00526C36" w:rsidP="00A009F7">
            <w:pPr>
              <w:jc w:val="center"/>
            </w:pPr>
            <w:r>
              <w:t>0.97</w:t>
            </w:r>
            <w:r w:rsidR="00E12F47">
              <w:t xml:space="preserve"> </w:t>
            </w:r>
            <w:r w:rsidR="00E12F47">
              <w:rPr>
                <w:b/>
                <w:bCs/>
                <w:vertAlign w:val="superscript"/>
              </w:rPr>
              <w:t>[3]</w:t>
            </w:r>
          </w:p>
        </w:tc>
        <w:tc>
          <w:tcPr>
            <w:tcW w:w="1636" w:type="dxa"/>
            <w:vAlign w:val="center"/>
          </w:tcPr>
          <w:p w14:paraId="44550757" w14:textId="63AC22D0" w:rsidR="00526C36" w:rsidRPr="00943C03" w:rsidRDefault="00526C36" w:rsidP="00A009F7">
            <w:pPr>
              <w:jc w:val="center"/>
              <w:rPr>
                <w:vertAlign w:val="superscript"/>
              </w:rPr>
            </w:pPr>
            <w:r>
              <w:t>0.874</w:t>
            </w:r>
            <w:r w:rsidR="00E12F47">
              <w:t xml:space="preserve"> </w:t>
            </w:r>
            <w:r w:rsidR="00E12F47">
              <w:rPr>
                <w:b/>
                <w:bCs/>
                <w:vertAlign w:val="superscript"/>
              </w:rPr>
              <w:t>[4]</w:t>
            </w:r>
          </w:p>
        </w:tc>
        <w:tc>
          <w:tcPr>
            <w:tcW w:w="1709" w:type="dxa"/>
            <w:vAlign w:val="center"/>
          </w:tcPr>
          <w:p w14:paraId="0D075FFD" w14:textId="3C941E2B" w:rsidR="00526C36" w:rsidRPr="00943C03" w:rsidRDefault="00526C36" w:rsidP="00A009F7">
            <w:pPr>
              <w:jc w:val="center"/>
              <w:rPr>
                <w:vertAlign w:val="superscript"/>
              </w:rPr>
            </w:pPr>
            <w:r>
              <w:t>0.919</w:t>
            </w:r>
            <w:r w:rsidR="00E12F47">
              <w:t xml:space="preserve"> </w:t>
            </w:r>
            <w:r w:rsidR="00E12F47">
              <w:rPr>
                <w:b/>
                <w:bCs/>
                <w:vertAlign w:val="superscript"/>
              </w:rPr>
              <w:t>[4]</w:t>
            </w:r>
          </w:p>
        </w:tc>
      </w:tr>
      <w:tr w:rsidR="00526C36" w14:paraId="69DE93A4" w14:textId="77777777" w:rsidTr="00A009F7">
        <w:trPr>
          <w:trHeight w:val="995"/>
        </w:trPr>
        <w:tc>
          <w:tcPr>
            <w:tcW w:w="3470" w:type="dxa"/>
            <w:vAlign w:val="center"/>
          </w:tcPr>
          <w:p w14:paraId="0B2C997D" w14:textId="77777777" w:rsidR="00526C36" w:rsidRDefault="00526C36" w:rsidP="00A009F7">
            <w:pPr>
              <w:jc w:val="right"/>
            </w:pPr>
            <w:r>
              <w:t>MILLIE (Weakly Supervised)</w:t>
            </w:r>
          </w:p>
        </w:tc>
        <w:tc>
          <w:tcPr>
            <w:tcW w:w="2195" w:type="dxa"/>
            <w:vAlign w:val="center"/>
          </w:tcPr>
          <w:p w14:paraId="4908FCB1" w14:textId="77777777" w:rsidR="00526C36" w:rsidRDefault="00526C36" w:rsidP="00A009F7">
            <w:pPr>
              <w:jc w:val="center"/>
            </w:pPr>
            <w:r>
              <w:t>0.97</w:t>
            </w:r>
          </w:p>
        </w:tc>
        <w:tc>
          <w:tcPr>
            <w:tcW w:w="1636" w:type="dxa"/>
            <w:vAlign w:val="center"/>
          </w:tcPr>
          <w:p w14:paraId="78D2F98C" w14:textId="77777777" w:rsidR="00526C36" w:rsidRDefault="00526C36" w:rsidP="00A009F7">
            <w:pPr>
              <w:jc w:val="center"/>
            </w:pPr>
            <w:r>
              <w:t>0.862</w:t>
            </w:r>
          </w:p>
        </w:tc>
        <w:tc>
          <w:tcPr>
            <w:tcW w:w="1709" w:type="dxa"/>
            <w:vAlign w:val="center"/>
          </w:tcPr>
          <w:p w14:paraId="50BC7B9A" w14:textId="77777777" w:rsidR="00526C36" w:rsidRDefault="00526C36" w:rsidP="00A009F7">
            <w:pPr>
              <w:jc w:val="center"/>
            </w:pPr>
            <w:r>
              <w:t>0.895</w:t>
            </w:r>
          </w:p>
        </w:tc>
      </w:tr>
    </w:tbl>
    <w:p w14:paraId="42438D72" w14:textId="7439A093" w:rsidR="00526C36" w:rsidRDefault="00526C36"/>
    <w:p w14:paraId="6E778E9C" w14:textId="77777777" w:rsidR="00E12F47" w:rsidRDefault="00E12F47" w:rsidP="00E12F47">
      <w:pPr>
        <w:jc w:val="both"/>
        <w:rPr>
          <w:color w:val="000000" w:themeColor="text1"/>
        </w:rPr>
      </w:pPr>
      <w:r w:rsidRPr="00E12F47">
        <w:rPr>
          <w:color w:val="000000" w:themeColor="text1"/>
        </w:rPr>
        <w:t xml:space="preserve">The datasets used to train MILLIE do not necessarily contain single-cell level annotations, therefore a comparison using the same training datasets is not possible. Nevertheless, we compared MILLIE with fully supervised approaches by adding a comparison of our cell-level classification performance with results reported in the literature obtained using fully supervised models tested on the same cell-level datasets. </w:t>
      </w:r>
    </w:p>
    <w:p w14:paraId="4E543B34" w14:textId="77777777" w:rsidR="00E12F47" w:rsidRDefault="00E12F47" w:rsidP="00E12F47">
      <w:pPr>
        <w:jc w:val="both"/>
        <w:rPr>
          <w:color w:val="000000" w:themeColor="text1"/>
        </w:rPr>
      </w:pPr>
    </w:p>
    <w:p w14:paraId="05299923" w14:textId="7BA6F00E" w:rsidR="00A009F7" w:rsidRPr="00E12F47" w:rsidRDefault="00A009F7" w:rsidP="00E12F47">
      <w:pPr>
        <w:jc w:val="both"/>
        <w:rPr>
          <w:color w:val="000000" w:themeColor="text1"/>
        </w:rPr>
      </w:pPr>
      <w:r w:rsidRPr="00E12F47">
        <w:rPr>
          <w:color w:val="000000" w:themeColor="text1"/>
        </w:rPr>
        <w:t>PBS = Peripheral Blood Smears; BMA = Bone Marrow Aspirate</w:t>
      </w:r>
    </w:p>
    <w:p w14:paraId="60AF26A1" w14:textId="092E198F" w:rsidR="00A009F7" w:rsidRPr="00E12F47" w:rsidRDefault="00A009F7" w:rsidP="00E12F47">
      <w:pPr>
        <w:jc w:val="both"/>
        <w:rPr>
          <w:color w:val="000000" w:themeColor="text1"/>
        </w:rPr>
      </w:pPr>
    </w:p>
    <w:p w14:paraId="2D058324" w14:textId="310CD815" w:rsidR="00E12F47" w:rsidRPr="00E12F47" w:rsidRDefault="00A009F7" w:rsidP="00E12F47">
      <w:pPr>
        <w:jc w:val="both"/>
        <w:rPr>
          <w:sz w:val="20"/>
          <w:szCs w:val="20"/>
        </w:rPr>
      </w:pPr>
      <w:r w:rsidRPr="00E12F47">
        <w:rPr>
          <w:sz w:val="20"/>
          <w:szCs w:val="20"/>
        </w:rPr>
        <w:t>References:</w:t>
      </w:r>
    </w:p>
    <w:p w14:paraId="42ED8A16" w14:textId="41067D97" w:rsidR="00E12F47" w:rsidRPr="00E12F47" w:rsidRDefault="00E12F47" w:rsidP="00E12F47">
      <w:pPr>
        <w:pStyle w:val="ListParagraph"/>
        <w:numPr>
          <w:ilvl w:val="0"/>
          <w:numId w:val="2"/>
        </w:numPr>
        <w:ind w:left="426"/>
        <w:jc w:val="both"/>
        <w:rPr>
          <w:sz w:val="20"/>
          <w:szCs w:val="20"/>
        </w:rPr>
      </w:pPr>
      <w:proofErr w:type="spellStart"/>
      <w:r w:rsidRPr="00E12F47">
        <w:rPr>
          <w:sz w:val="20"/>
          <w:szCs w:val="20"/>
        </w:rPr>
        <w:t>Ruggero</w:t>
      </w:r>
      <w:proofErr w:type="spellEnd"/>
      <w:r w:rsidRPr="00E12F47">
        <w:rPr>
          <w:sz w:val="20"/>
          <w:szCs w:val="20"/>
        </w:rPr>
        <w:t xml:space="preserve"> </w:t>
      </w:r>
      <w:proofErr w:type="spellStart"/>
      <w:r w:rsidRPr="00E12F47">
        <w:rPr>
          <w:sz w:val="20"/>
          <w:szCs w:val="20"/>
        </w:rPr>
        <w:t>Donida</w:t>
      </w:r>
      <w:proofErr w:type="spellEnd"/>
      <w:r w:rsidRPr="00E12F47">
        <w:rPr>
          <w:sz w:val="20"/>
          <w:szCs w:val="20"/>
        </w:rPr>
        <w:t xml:space="preserve"> </w:t>
      </w:r>
      <w:proofErr w:type="spellStart"/>
      <w:r w:rsidRPr="00E12F47">
        <w:rPr>
          <w:sz w:val="20"/>
          <w:szCs w:val="20"/>
        </w:rPr>
        <w:t>Labati</w:t>
      </w:r>
      <w:proofErr w:type="spellEnd"/>
      <w:r w:rsidRPr="00E12F47">
        <w:rPr>
          <w:sz w:val="20"/>
          <w:szCs w:val="20"/>
        </w:rPr>
        <w:t xml:space="preserve">, Vincenzo </w:t>
      </w:r>
      <w:proofErr w:type="spellStart"/>
      <w:r w:rsidRPr="00E12F47">
        <w:rPr>
          <w:sz w:val="20"/>
          <w:szCs w:val="20"/>
        </w:rPr>
        <w:t>Piuri</w:t>
      </w:r>
      <w:proofErr w:type="spellEnd"/>
      <w:r w:rsidRPr="00E12F47">
        <w:rPr>
          <w:sz w:val="20"/>
          <w:szCs w:val="20"/>
        </w:rPr>
        <w:t xml:space="preserve"> FS. ALL-IDB: THE ACUTE LYMPHOBLASTIC LEUKEMIA IMAGE DATABASE FOR IMAGE PROCESSING. </w:t>
      </w:r>
      <w:proofErr w:type="spellStart"/>
      <w:r w:rsidRPr="00E12F47">
        <w:rPr>
          <w:sz w:val="20"/>
          <w:szCs w:val="20"/>
        </w:rPr>
        <w:t>Ieee</w:t>
      </w:r>
      <w:proofErr w:type="spellEnd"/>
      <w:r w:rsidRPr="00E12F47">
        <w:rPr>
          <w:sz w:val="20"/>
          <w:szCs w:val="20"/>
        </w:rPr>
        <w:t xml:space="preserve"> Int. Conf. Image Process. 2011;2089–2092.</w:t>
      </w:r>
    </w:p>
    <w:p w14:paraId="4C2F74AE" w14:textId="77777777" w:rsidR="00E12F47" w:rsidRPr="00E12F47" w:rsidRDefault="00E12F47" w:rsidP="00E12F47">
      <w:pPr>
        <w:pStyle w:val="ListParagraph"/>
        <w:numPr>
          <w:ilvl w:val="0"/>
          <w:numId w:val="2"/>
        </w:numPr>
        <w:ind w:left="426"/>
        <w:jc w:val="both"/>
        <w:rPr>
          <w:sz w:val="20"/>
          <w:szCs w:val="20"/>
        </w:rPr>
      </w:pPr>
      <w:proofErr w:type="spellStart"/>
      <w:r w:rsidRPr="00E12F47">
        <w:rPr>
          <w:sz w:val="20"/>
          <w:szCs w:val="20"/>
        </w:rPr>
        <w:t>Eckardt</w:t>
      </w:r>
      <w:proofErr w:type="spellEnd"/>
      <w:r w:rsidRPr="00E12F47">
        <w:rPr>
          <w:sz w:val="20"/>
          <w:szCs w:val="20"/>
        </w:rPr>
        <w:t xml:space="preserve"> JN, </w:t>
      </w:r>
      <w:proofErr w:type="spellStart"/>
      <w:r w:rsidRPr="00E12F47">
        <w:rPr>
          <w:sz w:val="20"/>
          <w:szCs w:val="20"/>
        </w:rPr>
        <w:t>Middeke</w:t>
      </w:r>
      <w:proofErr w:type="spellEnd"/>
      <w:r w:rsidRPr="00E12F47">
        <w:rPr>
          <w:sz w:val="20"/>
          <w:szCs w:val="20"/>
        </w:rPr>
        <w:t xml:space="preserve"> JM, </w:t>
      </w:r>
      <w:proofErr w:type="spellStart"/>
      <w:r w:rsidRPr="00E12F47">
        <w:rPr>
          <w:sz w:val="20"/>
          <w:szCs w:val="20"/>
        </w:rPr>
        <w:t>Riechert</w:t>
      </w:r>
      <w:proofErr w:type="spellEnd"/>
      <w:r w:rsidRPr="00E12F47">
        <w:rPr>
          <w:sz w:val="20"/>
          <w:szCs w:val="20"/>
        </w:rPr>
        <w:t xml:space="preserve"> S, et al. Deep learning detects acute myeloid </w:t>
      </w:r>
      <w:proofErr w:type="spellStart"/>
      <w:r w:rsidRPr="00E12F47">
        <w:rPr>
          <w:sz w:val="20"/>
          <w:szCs w:val="20"/>
        </w:rPr>
        <w:t>leukemia</w:t>
      </w:r>
      <w:proofErr w:type="spellEnd"/>
      <w:r w:rsidRPr="00E12F47">
        <w:rPr>
          <w:sz w:val="20"/>
          <w:szCs w:val="20"/>
        </w:rPr>
        <w:t xml:space="preserve"> and predicts NPM1 mutation status from bone marrow smears. </w:t>
      </w:r>
      <w:proofErr w:type="spellStart"/>
      <w:r w:rsidRPr="00E12F47">
        <w:rPr>
          <w:sz w:val="20"/>
          <w:szCs w:val="20"/>
        </w:rPr>
        <w:t>Leukemia</w:t>
      </w:r>
      <w:proofErr w:type="spellEnd"/>
      <w:r w:rsidRPr="00E12F47">
        <w:rPr>
          <w:sz w:val="20"/>
          <w:szCs w:val="20"/>
        </w:rPr>
        <w:t>. 2021;(August)</w:t>
      </w:r>
    </w:p>
    <w:p w14:paraId="68197A7E" w14:textId="77777777" w:rsidR="00E12F47" w:rsidRPr="00E12F47" w:rsidRDefault="00E12F47" w:rsidP="00E12F47">
      <w:pPr>
        <w:pStyle w:val="ListParagraph"/>
        <w:numPr>
          <w:ilvl w:val="0"/>
          <w:numId w:val="2"/>
        </w:numPr>
        <w:ind w:left="426"/>
        <w:jc w:val="both"/>
        <w:rPr>
          <w:rStyle w:val="Hyperlink"/>
          <w:color w:val="auto"/>
          <w:sz w:val="20"/>
          <w:szCs w:val="20"/>
          <w:u w:val="none"/>
        </w:rPr>
      </w:pPr>
      <w:r w:rsidRPr="00E12F47">
        <w:rPr>
          <w:sz w:val="20"/>
          <w:szCs w:val="20"/>
        </w:rPr>
        <w:t xml:space="preserve">Schouten </w:t>
      </w:r>
      <w:r w:rsidRPr="00E12F47">
        <w:rPr>
          <w:i/>
          <w:iCs/>
          <w:sz w:val="20"/>
          <w:szCs w:val="20"/>
        </w:rPr>
        <w:t>et al.</w:t>
      </w:r>
      <w:r w:rsidRPr="00E12F47">
        <w:rPr>
          <w:sz w:val="20"/>
          <w:szCs w:val="20"/>
        </w:rPr>
        <w:t xml:space="preserve"> Tens of images can suffice to train neural networks for malignant leukocyte detection, Scientific Reports, 2021. </w:t>
      </w:r>
      <w:hyperlink r:id="rId5" w:history="1">
        <w:r w:rsidRPr="00E12F47">
          <w:rPr>
            <w:rStyle w:val="Hyperlink"/>
            <w:sz w:val="20"/>
            <w:szCs w:val="20"/>
          </w:rPr>
          <w:t>https://www.nature.com/articles/s41598-021-86995-5</w:t>
        </w:r>
      </w:hyperlink>
    </w:p>
    <w:p w14:paraId="05ED9CB2" w14:textId="4F6EC8C8" w:rsidR="00E12F47" w:rsidRPr="00E12F47" w:rsidRDefault="00E12F47" w:rsidP="00E12F47">
      <w:pPr>
        <w:pStyle w:val="ListParagraph"/>
        <w:numPr>
          <w:ilvl w:val="0"/>
          <w:numId w:val="2"/>
        </w:numPr>
        <w:ind w:left="426"/>
        <w:jc w:val="both"/>
        <w:rPr>
          <w:sz w:val="20"/>
          <w:szCs w:val="20"/>
        </w:rPr>
      </w:pPr>
      <w:proofErr w:type="spellStart"/>
      <w:r w:rsidRPr="00E12F47">
        <w:rPr>
          <w:sz w:val="20"/>
          <w:szCs w:val="20"/>
        </w:rPr>
        <w:t>Eckardt</w:t>
      </w:r>
      <w:proofErr w:type="spellEnd"/>
      <w:r w:rsidRPr="00E12F47">
        <w:rPr>
          <w:sz w:val="20"/>
          <w:szCs w:val="20"/>
        </w:rPr>
        <w:t xml:space="preserve"> JN, </w:t>
      </w:r>
      <w:proofErr w:type="spellStart"/>
      <w:r w:rsidRPr="00E12F47">
        <w:rPr>
          <w:sz w:val="20"/>
          <w:szCs w:val="20"/>
        </w:rPr>
        <w:t>Schmittmann</w:t>
      </w:r>
      <w:proofErr w:type="spellEnd"/>
      <w:r w:rsidRPr="00E12F47">
        <w:rPr>
          <w:sz w:val="20"/>
          <w:szCs w:val="20"/>
        </w:rPr>
        <w:t xml:space="preserve"> T, </w:t>
      </w:r>
      <w:proofErr w:type="spellStart"/>
      <w:r w:rsidRPr="00E12F47">
        <w:rPr>
          <w:sz w:val="20"/>
          <w:szCs w:val="20"/>
        </w:rPr>
        <w:t>Riechert</w:t>
      </w:r>
      <w:proofErr w:type="spellEnd"/>
      <w:r w:rsidRPr="00E12F47">
        <w:rPr>
          <w:sz w:val="20"/>
          <w:szCs w:val="20"/>
        </w:rPr>
        <w:t xml:space="preserve"> S, et al. Deep learning identifies Acute </w:t>
      </w:r>
      <w:proofErr w:type="spellStart"/>
      <w:r w:rsidRPr="00E12F47">
        <w:rPr>
          <w:sz w:val="20"/>
          <w:szCs w:val="20"/>
        </w:rPr>
        <w:t>Promyelocytic</w:t>
      </w:r>
      <w:proofErr w:type="spellEnd"/>
      <w:r w:rsidRPr="00E12F47">
        <w:rPr>
          <w:sz w:val="20"/>
          <w:szCs w:val="20"/>
        </w:rPr>
        <w:t xml:space="preserve"> </w:t>
      </w:r>
      <w:proofErr w:type="spellStart"/>
      <w:r w:rsidRPr="00E12F47">
        <w:rPr>
          <w:sz w:val="20"/>
          <w:szCs w:val="20"/>
        </w:rPr>
        <w:t>Leukemia</w:t>
      </w:r>
      <w:proofErr w:type="spellEnd"/>
      <w:r w:rsidRPr="00E12F47">
        <w:rPr>
          <w:sz w:val="20"/>
          <w:szCs w:val="20"/>
        </w:rPr>
        <w:t xml:space="preserve"> in bone marrow smears. BMC Cancer. 2022;22(1):1–11.</w:t>
      </w:r>
    </w:p>
    <w:p w14:paraId="43D678C6" w14:textId="74222C6D" w:rsidR="008C7185" w:rsidRDefault="008C7185">
      <w:r>
        <w:br w:type="page"/>
      </w:r>
    </w:p>
    <w:p w14:paraId="717BCA69" w14:textId="77777777" w:rsidR="00A009F7" w:rsidRPr="00A009F7" w:rsidRDefault="00A009F7" w:rsidP="00A009F7">
      <w:pPr>
        <w:spacing w:line="360" w:lineRule="auto"/>
        <w:jc w:val="both"/>
        <w:rPr>
          <w:bCs/>
          <w:color w:val="000000" w:themeColor="text1"/>
          <w:lang w:val="en-US"/>
        </w:rPr>
      </w:pPr>
      <w:r w:rsidRPr="00A009F7">
        <w:rPr>
          <w:b/>
          <w:color w:val="000000" w:themeColor="text1"/>
          <w:lang w:val="en-US"/>
        </w:rPr>
        <w:lastRenderedPageBreak/>
        <w:t xml:space="preserve">Supplementary Figure 1. </w:t>
      </w:r>
      <w:r w:rsidRPr="00A009F7">
        <w:rPr>
          <w:bCs/>
          <w:color w:val="000000" w:themeColor="text1"/>
          <w:lang w:val="en-US"/>
        </w:rPr>
        <w:t xml:space="preserve">Feature fusion strategy comparison of sample level classification performance. </w:t>
      </w:r>
      <w:r w:rsidRPr="00A009F7">
        <w:rPr>
          <w:b/>
          <w:color w:val="000000" w:themeColor="text1"/>
          <w:lang w:val="en-US"/>
        </w:rPr>
        <w:t>a.</w:t>
      </w:r>
      <w:r w:rsidRPr="00A009F7">
        <w:rPr>
          <w:bCs/>
          <w:color w:val="000000" w:themeColor="text1"/>
          <w:lang w:val="en-US"/>
        </w:rPr>
        <w:t xml:space="preserve"> Comparison between Max Pooling and Attention Pooling on the PBS dataset (one run) (Fig. 3). </w:t>
      </w:r>
      <w:r w:rsidRPr="00A009F7">
        <w:rPr>
          <w:b/>
          <w:color w:val="000000" w:themeColor="text1"/>
          <w:lang w:val="en-US"/>
        </w:rPr>
        <w:t xml:space="preserve">b. </w:t>
      </w:r>
      <w:r w:rsidRPr="00A009F7">
        <w:rPr>
          <w:bCs/>
          <w:color w:val="000000" w:themeColor="text1"/>
          <w:lang w:val="en-US"/>
        </w:rPr>
        <w:t xml:space="preserve">Comparison between Max Pooling and Attention Pooling on the BMA dataset (one run) (Fig. 5).  </w:t>
      </w:r>
    </w:p>
    <w:p w14:paraId="3511217F" w14:textId="77777777" w:rsidR="00A009F7" w:rsidRDefault="00A009F7" w:rsidP="00A009F7">
      <w:pPr>
        <w:rPr>
          <w:color w:val="C00000"/>
        </w:rPr>
      </w:pPr>
    </w:p>
    <w:p w14:paraId="5E0F3C85" w14:textId="77777777" w:rsidR="00EA4D3B" w:rsidRDefault="00EA4D3B"/>
    <w:p w14:paraId="37B86F7F" w14:textId="27806DD4" w:rsidR="00EA4D3B" w:rsidRDefault="00EA4D3B">
      <w:r w:rsidRPr="00EA4D3B">
        <w:rPr>
          <w:noProof/>
          <w:lang w:val="en-IN" w:eastAsia="en-IN"/>
        </w:rPr>
        <w:drawing>
          <wp:inline distT="0" distB="0" distL="0" distR="0" wp14:anchorId="05022FEB" wp14:editId="4DE3D860">
            <wp:extent cx="5727700" cy="2065020"/>
            <wp:effectExtent l="0" t="0" r="0" b="508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1B0047-B927-A546-83B0-7BCD1B0537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1B0047-B927-A546-83B0-7BCD1B0537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FB226" w14:textId="77777777" w:rsidR="008C7185" w:rsidRDefault="008C7185" w:rsidP="00FA3290">
      <w:pPr>
        <w:spacing w:line="360" w:lineRule="auto"/>
        <w:jc w:val="both"/>
        <w:rPr>
          <w:b/>
          <w:color w:val="C00000"/>
          <w:lang w:val="en-US"/>
        </w:rPr>
      </w:pPr>
    </w:p>
    <w:bookmarkEnd w:id="0"/>
    <w:p w14:paraId="58307FA5" w14:textId="28CA43DA" w:rsidR="00EA4D3B" w:rsidRDefault="00EA4D3B" w:rsidP="00EA4D3B"/>
    <w:sectPr w:rsidR="00EA4D3B" w:rsidSect="00DD44B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1213D"/>
    <w:multiLevelType w:val="hybridMultilevel"/>
    <w:tmpl w:val="5F9E8DB4"/>
    <w:lvl w:ilvl="0" w:tplc="A9E896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DF35D1"/>
    <w:multiLevelType w:val="hybridMultilevel"/>
    <w:tmpl w:val="E03CE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36"/>
    <w:rsid w:val="00092673"/>
    <w:rsid w:val="000D54DC"/>
    <w:rsid w:val="001B5E05"/>
    <w:rsid w:val="003A48B6"/>
    <w:rsid w:val="00455C3B"/>
    <w:rsid w:val="00526C36"/>
    <w:rsid w:val="006A42DC"/>
    <w:rsid w:val="008C7185"/>
    <w:rsid w:val="00A009F7"/>
    <w:rsid w:val="00DD44BA"/>
    <w:rsid w:val="00E12F47"/>
    <w:rsid w:val="00EA4D3B"/>
    <w:rsid w:val="00FA3290"/>
    <w:rsid w:val="00FC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202FF"/>
  <w15:chartTrackingRefBased/>
  <w15:docId w15:val="{848358FC-BA13-6144-B386-D532C1DA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C36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C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526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9F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00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nature.com/articles/s41598-021-86995-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Manescu, Petru</dc:creator>
  <cp:keywords/>
  <dc:description/>
  <cp:lastModifiedBy>Caroline Rubince G.</cp:lastModifiedBy>
  <cp:revision>12</cp:revision>
  <dcterms:created xsi:type="dcterms:W3CDTF">2022-12-12T16:16:00Z</dcterms:created>
  <dcterms:modified xsi:type="dcterms:W3CDTF">2023-01-31T12:57:00Z</dcterms:modified>
</cp:coreProperties>
</file>