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b w:val="1"/>
        </w:rPr>
      </w:pPr>
      <w:r w:rsidDel="00000000" w:rsidR="00000000" w:rsidRPr="00000000">
        <w:rPr>
          <w:b w:val="1"/>
          <w:sz w:val="24"/>
          <w:szCs w:val="24"/>
          <w:rtl w:val="0"/>
        </w:rPr>
        <w:t xml:space="preserve">Taxonomic composition, community structure and molecular novelty of microeukaryotes in a temperate oligomesotrophic lake as revealed by metabarcoding</w:t>
      </w:r>
      <w:r w:rsidDel="00000000" w:rsidR="00000000" w:rsidRPr="00000000">
        <w:rPr>
          <w:rtl w:val="0"/>
        </w:rPr>
      </w:r>
    </w:p>
    <w:p w:rsidR="00000000" w:rsidDel="00000000" w:rsidP="00000000" w:rsidRDefault="00000000" w:rsidRPr="00000000" w14:paraId="00000002">
      <w:pPr>
        <w:spacing w:line="360" w:lineRule="auto"/>
        <w:jc w:val="both"/>
        <w:rPr>
          <w:sz w:val="24"/>
          <w:szCs w:val="24"/>
        </w:rPr>
      </w:pPr>
      <w:r w:rsidDel="00000000" w:rsidR="00000000" w:rsidRPr="00000000">
        <w:rPr>
          <w:rtl w:val="0"/>
        </w:rPr>
      </w:r>
    </w:p>
    <w:p w:rsidR="00000000" w:rsidDel="00000000" w:rsidP="00000000" w:rsidRDefault="00000000" w:rsidRPr="00000000" w14:paraId="00000003">
      <w:pPr>
        <w:spacing w:line="360" w:lineRule="auto"/>
        <w:jc w:val="both"/>
        <w:rPr>
          <w:sz w:val="24"/>
          <w:szCs w:val="24"/>
        </w:rPr>
      </w:pPr>
      <w:r w:rsidDel="00000000" w:rsidR="00000000" w:rsidRPr="00000000">
        <w:rPr>
          <w:sz w:val="24"/>
          <w:szCs w:val="24"/>
          <w:rtl w:val="0"/>
        </w:rPr>
        <w:t xml:space="preserve">Konstantina Mitsi * a, Daniel J. Richter a, Alicia S. Arroyo a, David López-Escardó b, Meritxell Antó a, Antonio Guillén c, Iñaki Ruiz-Trillo a,d</w:t>
      </w:r>
    </w:p>
    <w:p w:rsidR="00000000" w:rsidDel="00000000" w:rsidP="00000000" w:rsidRDefault="00000000" w:rsidRPr="00000000" w14:paraId="00000004">
      <w:pPr>
        <w:spacing w:line="360" w:lineRule="auto"/>
        <w:jc w:val="both"/>
        <w:rPr/>
      </w:pPr>
      <w:r w:rsidDel="00000000" w:rsidR="00000000" w:rsidRPr="00000000">
        <w:rPr>
          <w:rtl w:val="0"/>
        </w:rPr>
        <w:t xml:space="preserve">a Institut de Biologia Evolutiva (CSIC-Universitat Pompeu Fabra), Passeig Marítim de la Barceloneta, 37-49, 08033 Barcelona, Spain.</w:t>
      </w:r>
    </w:p>
    <w:p w:rsidR="00000000" w:rsidDel="00000000" w:rsidP="00000000" w:rsidRDefault="00000000" w:rsidRPr="00000000" w14:paraId="00000005">
      <w:pPr>
        <w:spacing w:line="360" w:lineRule="auto"/>
        <w:jc w:val="both"/>
        <w:rPr/>
      </w:pPr>
      <w:r w:rsidDel="00000000" w:rsidR="00000000" w:rsidRPr="00000000">
        <w:rPr>
          <w:rtl w:val="0"/>
        </w:rPr>
        <w:t xml:space="preserve">b Institut de Ciències del Mar (CSIC), Passeig Marítim de la Barceloneta, 37-49, 08033 Barcelona, Spain.</w:t>
      </w:r>
    </w:p>
    <w:p w:rsidR="00000000" w:rsidDel="00000000" w:rsidP="00000000" w:rsidRDefault="00000000" w:rsidRPr="00000000" w14:paraId="00000006">
      <w:pPr>
        <w:spacing w:line="360" w:lineRule="auto"/>
        <w:jc w:val="both"/>
        <w:rPr/>
      </w:pPr>
      <w:r w:rsidDel="00000000" w:rsidR="00000000" w:rsidRPr="00000000">
        <w:rPr>
          <w:rtl w:val="0"/>
        </w:rPr>
        <w:t xml:space="preserve">c I.E.S. "Escultor Daniel" C/ Gonzalo de Berceo, 49, 26005, Logroño, La Rioja, Spain</w:t>
      </w:r>
    </w:p>
    <w:p w:rsidR="00000000" w:rsidDel="00000000" w:rsidP="00000000" w:rsidRDefault="00000000" w:rsidRPr="00000000" w14:paraId="00000007">
      <w:pPr>
        <w:spacing w:line="360" w:lineRule="auto"/>
        <w:jc w:val="both"/>
        <w:rPr/>
      </w:pPr>
      <w:r w:rsidDel="00000000" w:rsidR="00000000" w:rsidRPr="00000000">
        <w:rPr>
          <w:rtl w:val="0"/>
        </w:rPr>
        <w:t xml:space="preserve">d Institució Catalana de recerca I Estudis Avançats (ICREA), Passeig Lluís Companys, 23, 08010 Barcelona, Spain.</w:t>
      </w:r>
    </w:p>
    <w:p w:rsidR="00000000" w:rsidDel="00000000" w:rsidP="00000000" w:rsidRDefault="00000000" w:rsidRPr="00000000" w14:paraId="00000008">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09">
      <w:pPr>
        <w:spacing w:line="360" w:lineRule="auto"/>
        <w:jc w:val="both"/>
        <w:rPr>
          <w:sz w:val="24"/>
          <w:szCs w:val="24"/>
        </w:rPr>
      </w:pPr>
      <w:r w:rsidDel="00000000" w:rsidR="00000000" w:rsidRPr="00000000">
        <w:rPr>
          <w:sz w:val="24"/>
          <w:szCs w:val="24"/>
          <w:rtl w:val="0"/>
        </w:rPr>
        <w:t xml:space="preserve">Correspondence : </w:t>
      </w:r>
      <w:hyperlink r:id="rId6">
        <w:r w:rsidDel="00000000" w:rsidR="00000000" w:rsidRPr="00000000">
          <w:rPr>
            <w:color w:val="1155cc"/>
            <w:sz w:val="24"/>
            <w:szCs w:val="24"/>
            <w:u w:val="single"/>
            <w:rtl w:val="0"/>
          </w:rPr>
          <w:t xml:space="preserve">kcmitsi@gmail.com</w:t>
        </w:r>
      </w:hyperlink>
      <w:r w:rsidDel="00000000" w:rsidR="00000000" w:rsidRPr="00000000">
        <w:rPr>
          <w:sz w:val="24"/>
          <w:szCs w:val="24"/>
          <w:rtl w:val="0"/>
        </w:rPr>
        <w:t xml:space="preserve"> , </w:t>
      </w:r>
      <w:hyperlink r:id="rId7">
        <w:r w:rsidDel="00000000" w:rsidR="00000000" w:rsidRPr="00000000">
          <w:rPr>
            <w:color w:val="1155cc"/>
            <w:sz w:val="24"/>
            <w:szCs w:val="24"/>
            <w:u w:val="single"/>
            <w:rtl w:val="0"/>
          </w:rPr>
          <w:t xml:space="preserve">konstantina.mitsi@csic.es</w:t>
        </w:r>
      </w:hyperlink>
      <w:r w:rsidDel="00000000" w:rsidR="00000000" w:rsidRPr="00000000">
        <w:rPr>
          <w:sz w:val="24"/>
          <w:szCs w:val="24"/>
          <w:rtl w:val="0"/>
        </w:rPr>
        <w:t xml:space="preserve"> </w:t>
      </w:r>
    </w:p>
    <w:p w:rsidR="00000000" w:rsidDel="00000000" w:rsidP="00000000" w:rsidRDefault="00000000" w:rsidRPr="00000000" w14:paraId="0000000A">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0B">
      <w:pPr>
        <w:spacing w:line="360" w:lineRule="auto"/>
        <w:jc w:val="both"/>
        <w:rPr>
          <w:b w:val="1"/>
          <w:sz w:val="24"/>
          <w:szCs w:val="24"/>
        </w:rPr>
      </w:pPr>
      <w:r w:rsidDel="00000000" w:rsidR="00000000" w:rsidRPr="00000000">
        <w:rPr>
          <w:b w:val="1"/>
          <w:sz w:val="24"/>
          <w:szCs w:val="24"/>
          <w:rtl w:val="0"/>
        </w:rPr>
        <w:t xml:space="preserve">Supplementary Figures</w:t>
      </w:r>
    </w:p>
    <w:p w:rsidR="00000000" w:rsidDel="00000000" w:rsidP="00000000" w:rsidRDefault="00000000" w:rsidRPr="00000000" w14:paraId="0000000C">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0D">
      <w:pPr>
        <w:spacing w:line="360" w:lineRule="auto"/>
        <w:jc w:val="both"/>
        <w:rPr>
          <w:b w:val="1"/>
          <w:sz w:val="24"/>
          <w:szCs w:val="24"/>
        </w:rPr>
      </w:pPr>
      <w:r w:rsidDel="00000000" w:rsidR="00000000" w:rsidRPr="00000000">
        <w:rPr/>
        <w:drawing>
          <wp:inline distB="0" distT="0" distL="0" distR="0">
            <wp:extent cx="5023485" cy="2386330"/>
            <wp:effectExtent b="0" l="0" r="0" t="0"/>
            <wp:docPr id="17" name="image14.png"/>
            <a:graphic>
              <a:graphicData uri="http://schemas.openxmlformats.org/drawingml/2006/picture">
                <pic:pic>
                  <pic:nvPicPr>
                    <pic:cNvPr id="0" name="image14.png"/>
                    <pic:cNvPicPr preferRelativeResize="0"/>
                  </pic:nvPicPr>
                  <pic:blipFill>
                    <a:blip r:embed="rId8"/>
                    <a:srcRect b="50500" l="1323" r="32476" t="0"/>
                    <a:stretch>
                      <a:fillRect/>
                    </a:stretch>
                  </pic:blipFill>
                  <pic:spPr>
                    <a:xfrm>
                      <a:off x="0" y="0"/>
                      <a:ext cx="5023485" cy="238633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0F">
      <w:pPr>
        <w:spacing w:line="360" w:lineRule="auto"/>
        <w:jc w:val="both"/>
        <w:rPr>
          <w:sz w:val="24"/>
          <w:szCs w:val="24"/>
        </w:rPr>
      </w:pPr>
      <w:r w:rsidDel="00000000" w:rsidR="00000000" w:rsidRPr="00000000">
        <w:rPr>
          <w:b w:val="1"/>
          <w:sz w:val="24"/>
          <w:szCs w:val="24"/>
          <w:rtl w:val="0"/>
        </w:rPr>
        <w:t xml:space="preserve">Supplementary Figure 1.</w:t>
      </w:r>
      <w:r w:rsidDel="00000000" w:rsidR="00000000" w:rsidRPr="00000000">
        <w:rPr>
          <w:sz w:val="24"/>
          <w:szCs w:val="24"/>
          <w:rtl w:val="0"/>
        </w:rPr>
        <w:t xml:space="preserve">  Rarefaction curves for the 81 samples of the study. Rarefaction curves were drawn for all taxa (dataset D2) and for protists (dataset D3). For a detailed description of the datasets see Supplementary Table 3. </w:t>
      </w:r>
    </w:p>
    <w:p w:rsidR="00000000" w:rsidDel="00000000" w:rsidP="00000000" w:rsidRDefault="00000000" w:rsidRPr="00000000" w14:paraId="00000010">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11">
      <w:pPr>
        <w:spacing w:line="360" w:lineRule="auto"/>
        <w:jc w:val="both"/>
        <w:rPr>
          <w:sz w:val="24"/>
          <w:szCs w:val="24"/>
        </w:rPr>
      </w:pPr>
      <w:r w:rsidDel="00000000" w:rsidR="00000000" w:rsidRPr="00000000">
        <w:rPr>
          <w:rtl w:val="0"/>
        </w:rPr>
      </w:r>
    </w:p>
    <w:p w:rsidR="00000000" w:rsidDel="00000000" w:rsidP="00000000" w:rsidRDefault="00000000" w:rsidRPr="00000000" w14:paraId="00000012">
      <w:pPr>
        <w:spacing w:line="360" w:lineRule="auto"/>
        <w:jc w:val="both"/>
        <w:rPr>
          <w:sz w:val="24"/>
          <w:szCs w:val="24"/>
        </w:rPr>
      </w:pPr>
      <w:r w:rsidDel="00000000" w:rsidR="00000000" w:rsidRPr="00000000">
        <w:rPr>
          <w:rtl w:val="0"/>
        </w:rPr>
      </w:r>
    </w:p>
    <w:p w:rsidR="00000000" w:rsidDel="00000000" w:rsidP="00000000" w:rsidRDefault="00000000" w:rsidRPr="00000000" w14:paraId="00000013">
      <w:pPr>
        <w:spacing w:line="360" w:lineRule="auto"/>
        <w:jc w:val="both"/>
        <w:rPr>
          <w:sz w:val="24"/>
          <w:szCs w:val="24"/>
        </w:rPr>
      </w:pPr>
      <w:r w:rsidDel="00000000" w:rsidR="00000000" w:rsidRPr="00000000">
        <w:rPr/>
        <w:drawing>
          <wp:inline distB="0" distT="0" distL="0" distR="0">
            <wp:extent cx="5731200" cy="5778500"/>
            <wp:effectExtent b="0" l="0" r="0" t="0"/>
            <wp:docPr id="3" name="image16.png"/>
            <a:graphic>
              <a:graphicData uri="http://schemas.openxmlformats.org/drawingml/2006/picture">
                <pic:pic>
                  <pic:nvPicPr>
                    <pic:cNvPr id="0" name="image16.png"/>
                    <pic:cNvPicPr preferRelativeResize="0"/>
                  </pic:nvPicPr>
                  <pic:blipFill>
                    <a:blip r:embed="rId9"/>
                    <a:srcRect b="0" l="0" r="0" t="0"/>
                    <a:stretch>
                      <a:fillRect/>
                    </a:stretch>
                  </pic:blipFill>
                  <pic:spPr>
                    <a:xfrm>
                      <a:off x="0" y="0"/>
                      <a:ext cx="5731200" cy="57785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line="360" w:lineRule="auto"/>
        <w:jc w:val="both"/>
        <w:rPr/>
      </w:pPr>
      <w:r w:rsidDel="00000000" w:rsidR="00000000" w:rsidRPr="00000000">
        <w:rPr>
          <w:b w:val="1"/>
          <w:sz w:val="24"/>
          <w:szCs w:val="24"/>
          <w:rtl w:val="0"/>
        </w:rPr>
        <w:t xml:space="preserve">Supplementary Figure 2.</w:t>
      </w:r>
      <w:r w:rsidDel="00000000" w:rsidR="00000000" w:rsidRPr="00000000">
        <w:rPr>
          <w:sz w:val="24"/>
          <w:szCs w:val="24"/>
          <w:rtl w:val="0"/>
        </w:rPr>
        <w:t xml:space="preserve"> Reduced-space NMDS plot showing microbial eukaryotes community structure based on Bray–Curtis dissimilarity. The dissimilarity matrix was calculated from the rarefied at even depth (31361 reads) abundances of protist ASVs present only in Sanabria samples (dataset D5)  (Stress = 0.1679787, Procrustes: rmse 0.001014908 max resid 0.006658075)</w:t>
      </w:r>
      <w:r w:rsidDel="00000000" w:rsidR="00000000" w:rsidRPr="00000000">
        <w:rPr>
          <w:rtl w:val="0"/>
        </w:rPr>
      </w:r>
    </w:p>
    <w:p w:rsidR="00000000" w:rsidDel="00000000" w:rsidP="00000000" w:rsidRDefault="00000000" w:rsidRPr="00000000" w14:paraId="00000015">
      <w:pPr>
        <w:spacing w:line="360" w:lineRule="auto"/>
        <w:jc w:val="both"/>
        <w:rPr>
          <w:sz w:val="24"/>
          <w:szCs w:val="24"/>
        </w:rPr>
      </w:pPr>
      <w:r w:rsidDel="00000000" w:rsidR="00000000" w:rsidRPr="00000000">
        <w:rPr/>
        <w:drawing>
          <wp:inline distB="0" distT="0" distL="0" distR="0">
            <wp:extent cx="4507230" cy="4851400"/>
            <wp:effectExtent b="0" l="0" r="0" t="0"/>
            <wp:docPr id="12"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4507230" cy="4851400"/>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line="360" w:lineRule="auto"/>
        <w:jc w:val="both"/>
        <w:rPr>
          <w:sz w:val="24"/>
          <w:szCs w:val="24"/>
        </w:rPr>
      </w:pPr>
      <w:r w:rsidDel="00000000" w:rsidR="00000000" w:rsidRPr="00000000">
        <w:rPr>
          <w:b w:val="1"/>
          <w:sz w:val="24"/>
          <w:szCs w:val="24"/>
          <w:rtl w:val="0"/>
        </w:rPr>
        <w:t xml:space="preserve">Supplementary Figure 3.</w:t>
      </w:r>
      <w:r w:rsidDel="00000000" w:rsidR="00000000" w:rsidRPr="00000000">
        <w:rPr>
          <w:sz w:val="24"/>
          <w:szCs w:val="24"/>
          <w:rtl w:val="0"/>
        </w:rPr>
        <w:t xml:space="preserve"> KRONA representation of the eukaryotic microbial diversity as inferred by DADA2 at division level in Sanabria Lake (samples S1-S5). (Total reads: 6375317)</w:t>
      </w:r>
    </w:p>
    <w:p w:rsidR="00000000" w:rsidDel="00000000" w:rsidP="00000000" w:rsidRDefault="00000000" w:rsidRPr="00000000" w14:paraId="00000017">
      <w:pPr>
        <w:spacing w:line="360" w:lineRule="auto"/>
        <w:jc w:val="both"/>
        <w:rPr>
          <w:sz w:val="24"/>
          <w:szCs w:val="24"/>
        </w:rPr>
      </w:pPr>
      <w:r w:rsidDel="00000000" w:rsidR="00000000" w:rsidRPr="00000000">
        <w:rPr>
          <w:rtl w:val="0"/>
        </w:rPr>
      </w:r>
    </w:p>
    <w:p w:rsidR="00000000" w:rsidDel="00000000" w:rsidP="00000000" w:rsidRDefault="00000000" w:rsidRPr="00000000" w14:paraId="00000018">
      <w:pPr>
        <w:spacing w:line="360" w:lineRule="auto"/>
        <w:jc w:val="both"/>
        <w:rPr>
          <w:sz w:val="24"/>
          <w:szCs w:val="24"/>
        </w:rPr>
      </w:pPr>
      <w:r w:rsidDel="00000000" w:rsidR="00000000" w:rsidRPr="00000000">
        <w:rPr>
          <w:rtl w:val="0"/>
        </w:rPr>
      </w:r>
    </w:p>
    <w:p w:rsidR="00000000" w:rsidDel="00000000" w:rsidP="00000000" w:rsidRDefault="00000000" w:rsidRPr="00000000" w14:paraId="00000019">
      <w:pPr>
        <w:spacing w:line="360" w:lineRule="auto"/>
        <w:jc w:val="both"/>
        <w:rPr>
          <w:sz w:val="24"/>
          <w:szCs w:val="24"/>
        </w:rPr>
      </w:pPr>
      <w:r w:rsidDel="00000000" w:rsidR="00000000" w:rsidRPr="00000000">
        <w:rPr/>
        <w:drawing>
          <wp:inline distB="0" distT="0" distL="0" distR="0">
            <wp:extent cx="4507230" cy="5219700"/>
            <wp:effectExtent b="0" l="0" r="0" t="0"/>
            <wp:docPr id="6"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4507230" cy="52197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line="360" w:lineRule="auto"/>
        <w:jc w:val="both"/>
        <w:rPr>
          <w:sz w:val="24"/>
          <w:szCs w:val="24"/>
        </w:rPr>
      </w:pPr>
      <w:r w:rsidDel="00000000" w:rsidR="00000000" w:rsidRPr="00000000">
        <w:rPr>
          <w:b w:val="1"/>
          <w:sz w:val="24"/>
          <w:szCs w:val="24"/>
          <w:rtl w:val="0"/>
        </w:rPr>
        <w:t xml:space="preserve">Supplementary Figure 4.</w:t>
      </w:r>
      <w:r w:rsidDel="00000000" w:rsidR="00000000" w:rsidRPr="00000000">
        <w:rPr>
          <w:sz w:val="24"/>
          <w:szCs w:val="24"/>
          <w:rtl w:val="0"/>
        </w:rPr>
        <w:t xml:space="preserve"> KRONA representation of the eukaryotic microbial diversity as inferred by DADA2 at division level in the tributary stream (samples S6-S7). (Total reads: 701233)</w:t>
      </w:r>
    </w:p>
    <w:p w:rsidR="00000000" w:rsidDel="00000000" w:rsidP="00000000" w:rsidRDefault="00000000" w:rsidRPr="00000000" w14:paraId="0000001B">
      <w:pPr>
        <w:spacing w:line="360" w:lineRule="auto"/>
        <w:jc w:val="both"/>
        <w:rPr>
          <w:sz w:val="24"/>
          <w:szCs w:val="24"/>
        </w:rPr>
      </w:pPr>
      <w:r w:rsidDel="00000000" w:rsidR="00000000" w:rsidRPr="00000000">
        <w:rPr>
          <w:rtl w:val="0"/>
        </w:rPr>
      </w:r>
    </w:p>
    <w:p w:rsidR="00000000" w:rsidDel="00000000" w:rsidP="00000000" w:rsidRDefault="00000000" w:rsidRPr="00000000" w14:paraId="0000001C">
      <w:pPr>
        <w:spacing w:line="360" w:lineRule="auto"/>
        <w:jc w:val="both"/>
        <w:rPr>
          <w:sz w:val="24"/>
          <w:szCs w:val="24"/>
        </w:rPr>
      </w:pPr>
      <w:r w:rsidDel="00000000" w:rsidR="00000000" w:rsidRPr="00000000">
        <w:rPr/>
        <w:drawing>
          <wp:inline distB="0" distT="0" distL="0" distR="0">
            <wp:extent cx="4507230" cy="5105400"/>
            <wp:effectExtent b="0" l="0" r="0" t="0"/>
            <wp:docPr id="9"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4507230" cy="51054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360" w:lineRule="auto"/>
        <w:jc w:val="both"/>
        <w:rPr>
          <w:sz w:val="24"/>
          <w:szCs w:val="24"/>
        </w:rPr>
      </w:pPr>
      <w:r w:rsidDel="00000000" w:rsidR="00000000" w:rsidRPr="00000000">
        <w:rPr>
          <w:b w:val="1"/>
          <w:sz w:val="24"/>
          <w:szCs w:val="24"/>
          <w:rtl w:val="0"/>
        </w:rPr>
        <w:t xml:space="preserve">Supplementary Figure 5.</w:t>
      </w:r>
      <w:r w:rsidDel="00000000" w:rsidR="00000000" w:rsidRPr="00000000">
        <w:rPr>
          <w:sz w:val="24"/>
          <w:szCs w:val="24"/>
          <w:rtl w:val="0"/>
        </w:rPr>
        <w:t xml:space="preserve"> KRONA representation of the eukaryotic microbial diversity as inferred by DADA2 at division level in the nearby pond (Laguna) (samples S8-S10). (Total reads: 1138974)</w:t>
      </w:r>
    </w:p>
    <w:p w:rsidR="00000000" w:rsidDel="00000000" w:rsidP="00000000" w:rsidRDefault="00000000" w:rsidRPr="00000000" w14:paraId="0000001E">
      <w:pPr>
        <w:spacing w:line="36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F">
      <w:pPr>
        <w:spacing w:line="360" w:lineRule="auto"/>
        <w:jc w:val="both"/>
        <w:rPr>
          <w:b w:val="1"/>
          <w:sz w:val="24"/>
          <w:szCs w:val="24"/>
        </w:rPr>
      </w:pPr>
      <w:r w:rsidDel="00000000" w:rsidR="00000000" w:rsidRPr="00000000">
        <w:rPr/>
        <w:drawing>
          <wp:inline distB="0" distT="0" distL="0" distR="0">
            <wp:extent cx="2729230" cy="7091045"/>
            <wp:effectExtent b="0" l="0" r="0" t="0"/>
            <wp:docPr id="18"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2729230" cy="7091045"/>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spacing w:line="360" w:lineRule="auto"/>
        <w:jc w:val="both"/>
        <w:rPr>
          <w:sz w:val="24"/>
          <w:szCs w:val="24"/>
        </w:rPr>
      </w:pPr>
      <w:r w:rsidDel="00000000" w:rsidR="00000000" w:rsidRPr="00000000">
        <w:rPr>
          <w:b w:val="1"/>
          <w:sz w:val="24"/>
          <w:szCs w:val="24"/>
          <w:rtl w:val="0"/>
        </w:rPr>
        <w:t xml:space="preserve">Supplementary Figure 6.</w:t>
      </w:r>
      <w:r w:rsidDel="00000000" w:rsidR="00000000" w:rsidRPr="00000000">
        <w:rPr>
          <w:sz w:val="24"/>
          <w:szCs w:val="24"/>
          <w:rtl w:val="0"/>
        </w:rPr>
        <w:t xml:space="preserve"> KRONA representation of the Stramenopiles diversity as inferred by ASV in the three sampling sites. </w:t>
      </w:r>
    </w:p>
    <w:p w:rsidR="00000000" w:rsidDel="00000000" w:rsidP="00000000" w:rsidRDefault="00000000" w:rsidRPr="00000000" w14:paraId="00000021">
      <w:pPr>
        <w:spacing w:line="360" w:lineRule="auto"/>
        <w:jc w:val="both"/>
        <w:rPr>
          <w:sz w:val="24"/>
          <w:szCs w:val="24"/>
        </w:rPr>
      </w:pPr>
      <w:r w:rsidDel="00000000" w:rsidR="00000000" w:rsidRPr="00000000">
        <w:rPr>
          <w:rtl w:val="0"/>
        </w:rPr>
      </w:r>
    </w:p>
    <w:p w:rsidR="00000000" w:rsidDel="00000000" w:rsidP="00000000" w:rsidRDefault="00000000" w:rsidRPr="00000000" w14:paraId="00000022">
      <w:pPr>
        <w:spacing w:line="360" w:lineRule="auto"/>
        <w:jc w:val="both"/>
        <w:rPr>
          <w:sz w:val="24"/>
          <w:szCs w:val="24"/>
        </w:rPr>
      </w:pPr>
      <w:r w:rsidDel="00000000" w:rsidR="00000000" w:rsidRPr="00000000">
        <w:rPr/>
        <w:drawing>
          <wp:inline distB="0" distT="0" distL="0" distR="0">
            <wp:extent cx="4507230" cy="5943600"/>
            <wp:effectExtent b="0" l="0" r="0" t="0"/>
            <wp:docPr id="16"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450723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line="360" w:lineRule="auto"/>
        <w:jc w:val="both"/>
        <w:rPr>
          <w:sz w:val="24"/>
          <w:szCs w:val="24"/>
        </w:rPr>
      </w:pPr>
      <w:r w:rsidDel="00000000" w:rsidR="00000000" w:rsidRPr="00000000">
        <w:rPr>
          <w:b w:val="1"/>
          <w:sz w:val="24"/>
          <w:szCs w:val="24"/>
          <w:rtl w:val="0"/>
        </w:rPr>
        <w:t xml:space="preserve">Supplementary Figure 7.</w:t>
      </w:r>
      <w:r w:rsidDel="00000000" w:rsidR="00000000" w:rsidRPr="00000000">
        <w:rPr>
          <w:sz w:val="24"/>
          <w:szCs w:val="24"/>
          <w:rtl w:val="0"/>
        </w:rPr>
        <w:t xml:space="preserve"> Phylogenetic placement of 132  ASVs identified as Ichthyosporea into 465 branches of a reference tree with 234 taxa. Marine taxa are bold. Nodes that do not include any placements were collapsed. The diameter of the circles indicates the number of ASVs placed in the branch. One ASV can be placed to multiple branches until it reaches accumulated like_weight_ratio 1.</w:t>
      </w:r>
    </w:p>
    <w:p w:rsidR="00000000" w:rsidDel="00000000" w:rsidP="00000000" w:rsidRDefault="00000000" w:rsidRPr="00000000" w14:paraId="00000024">
      <w:pPr>
        <w:spacing w:line="360" w:lineRule="auto"/>
        <w:jc w:val="both"/>
        <w:rPr>
          <w:sz w:val="24"/>
          <w:szCs w:val="24"/>
        </w:rPr>
      </w:pPr>
      <w:r w:rsidDel="00000000" w:rsidR="00000000" w:rsidRPr="00000000">
        <w:rPr>
          <w:rtl w:val="0"/>
        </w:rPr>
      </w:r>
    </w:p>
    <w:p w:rsidR="00000000" w:rsidDel="00000000" w:rsidP="00000000" w:rsidRDefault="00000000" w:rsidRPr="00000000" w14:paraId="00000025">
      <w:pPr>
        <w:spacing w:line="360" w:lineRule="auto"/>
        <w:jc w:val="both"/>
        <w:rPr/>
      </w:pPr>
      <w:r w:rsidDel="00000000" w:rsidR="00000000" w:rsidRPr="00000000">
        <w:rPr/>
        <w:drawing>
          <wp:inline distB="0" distT="0" distL="0" distR="0">
            <wp:extent cx="4507230" cy="4546600"/>
            <wp:effectExtent b="0" l="0" r="0" t="0"/>
            <wp:docPr id="4" name="image6.png"/>
            <a:graphic>
              <a:graphicData uri="http://schemas.openxmlformats.org/drawingml/2006/picture">
                <pic:pic>
                  <pic:nvPicPr>
                    <pic:cNvPr id="0" name="image6.png"/>
                    <pic:cNvPicPr preferRelativeResize="0"/>
                  </pic:nvPicPr>
                  <pic:blipFill>
                    <a:blip r:embed="rId15"/>
                    <a:srcRect b="0" l="0" r="0" t="0"/>
                    <a:stretch>
                      <a:fillRect/>
                    </a:stretch>
                  </pic:blipFill>
                  <pic:spPr>
                    <a:xfrm>
                      <a:off x="0" y="0"/>
                      <a:ext cx="4507230" cy="45466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line="360" w:lineRule="auto"/>
        <w:jc w:val="both"/>
        <w:rPr>
          <w:b w:val="1"/>
          <w:sz w:val="24"/>
          <w:szCs w:val="24"/>
        </w:rPr>
      </w:pPr>
      <w:r w:rsidDel="00000000" w:rsidR="00000000" w:rsidRPr="00000000">
        <w:rPr>
          <w:b w:val="1"/>
          <w:sz w:val="24"/>
          <w:szCs w:val="24"/>
          <w:rtl w:val="0"/>
        </w:rPr>
        <w:t xml:space="preserve">Supplementary Figure 8.</w:t>
      </w:r>
      <w:r w:rsidDel="00000000" w:rsidR="00000000" w:rsidRPr="00000000">
        <w:rPr>
          <w:sz w:val="24"/>
          <w:szCs w:val="24"/>
          <w:rtl w:val="0"/>
        </w:rPr>
        <w:t xml:space="preserve"> Best-hit placement tree of 132 Ichthyosporea ASVs into 465 branches of a reference tree with 234 taxa that encompass the extant holozoan diversity with emphasis on environmental uncultured taxa. Queries are marked purple. The queries name includes read abundance and the taxonomy assigned by the RDP classifier. Reference taxa are black and reference marine taxa are marked red. Each query is uniquely placed in the position with the highest likelihood–weight ratio. Numbers represent the clades of clustered ASVs and asterisks denote marine associated clades.</w:t>
      </w:r>
      <w:r w:rsidDel="00000000" w:rsidR="00000000" w:rsidRPr="00000000">
        <w:rPr>
          <w:rtl w:val="0"/>
        </w:rPr>
      </w:r>
    </w:p>
    <w:p w:rsidR="00000000" w:rsidDel="00000000" w:rsidP="00000000" w:rsidRDefault="00000000" w:rsidRPr="00000000" w14:paraId="00000027">
      <w:pPr>
        <w:spacing w:line="360" w:lineRule="auto"/>
        <w:jc w:val="both"/>
        <w:rPr>
          <w:sz w:val="24"/>
          <w:szCs w:val="24"/>
        </w:rPr>
      </w:pPr>
      <w:r w:rsidDel="00000000" w:rsidR="00000000" w:rsidRPr="00000000">
        <w:rPr>
          <w:rtl w:val="0"/>
        </w:rPr>
      </w:r>
    </w:p>
    <w:p w:rsidR="00000000" w:rsidDel="00000000" w:rsidP="00000000" w:rsidRDefault="00000000" w:rsidRPr="00000000" w14:paraId="00000028">
      <w:pPr>
        <w:spacing w:line="360" w:lineRule="auto"/>
        <w:jc w:val="both"/>
        <w:rPr>
          <w:sz w:val="24"/>
          <w:szCs w:val="24"/>
        </w:rPr>
      </w:pPr>
      <w:r w:rsidDel="00000000" w:rsidR="00000000" w:rsidRPr="00000000">
        <w:rPr>
          <w:rtl w:val="0"/>
        </w:rPr>
      </w:r>
    </w:p>
    <w:p w:rsidR="00000000" w:rsidDel="00000000" w:rsidP="00000000" w:rsidRDefault="00000000" w:rsidRPr="00000000" w14:paraId="00000029">
      <w:pPr>
        <w:spacing w:line="360" w:lineRule="auto"/>
        <w:jc w:val="both"/>
        <w:rPr>
          <w:b w:val="1"/>
          <w:sz w:val="24"/>
          <w:szCs w:val="24"/>
        </w:rPr>
      </w:pPr>
      <w:r w:rsidDel="00000000" w:rsidR="00000000" w:rsidRPr="00000000">
        <w:rPr/>
        <w:drawing>
          <wp:inline distB="0" distT="0" distL="0" distR="0">
            <wp:extent cx="4324350" cy="2276475"/>
            <wp:effectExtent b="0" l="0" r="0" t="0"/>
            <wp:docPr id="10" name="image17.png"/>
            <a:graphic>
              <a:graphicData uri="http://schemas.openxmlformats.org/drawingml/2006/picture">
                <pic:pic>
                  <pic:nvPicPr>
                    <pic:cNvPr id="0" name="image17.png"/>
                    <pic:cNvPicPr preferRelativeResize="0"/>
                  </pic:nvPicPr>
                  <pic:blipFill>
                    <a:blip r:embed="rId16"/>
                    <a:srcRect b="50096" l="0" r="4009" t="0"/>
                    <a:stretch>
                      <a:fillRect/>
                    </a:stretch>
                  </pic:blipFill>
                  <pic:spPr>
                    <a:xfrm>
                      <a:off x="0" y="0"/>
                      <a:ext cx="4324350" cy="2276475"/>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2B">
      <w:pPr>
        <w:spacing w:line="360" w:lineRule="auto"/>
        <w:jc w:val="both"/>
        <w:rPr>
          <w:sz w:val="24"/>
          <w:szCs w:val="24"/>
        </w:rPr>
      </w:pPr>
      <w:r w:rsidDel="00000000" w:rsidR="00000000" w:rsidRPr="00000000">
        <w:rPr>
          <w:b w:val="1"/>
          <w:sz w:val="24"/>
          <w:szCs w:val="24"/>
          <w:rtl w:val="0"/>
        </w:rPr>
        <w:t xml:space="preserve">Supplementary Figure 9.</w:t>
      </w:r>
      <w:r w:rsidDel="00000000" w:rsidR="00000000" w:rsidRPr="00000000">
        <w:rPr>
          <w:sz w:val="24"/>
          <w:szCs w:val="24"/>
          <w:rtl w:val="0"/>
        </w:rPr>
        <w:t xml:space="preserve"> Pielou's evenness across (A) the sampling sites (A) and (B) the different habitats of Sanabria Lake (excluding the surrounding freshwater habitats) (B) as calculated by the ASVs rarefied at 31361 reads . </w:t>
      </w:r>
    </w:p>
    <w:p w:rsidR="00000000" w:rsidDel="00000000" w:rsidP="00000000" w:rsidRDefault="00000000" w:rsidRPr="00000000" w14:paraId="0000002C">
      <w:pPr>
        <w:spacing w:line="360" w:lineRule="auto"/>
        <w:jc w:val="both"/>
        <w:rPr>
          <w:sz w:val="24"/>
          <w:szCs w:val="24"/>
        </w:rPr>
      </w:pPr>
      <w:r w:rsidDel="00000000" w:rsidR="00000000" w:rsidRPr="00000000">
        <w:rPr>
          <w:rtl w:val="0"/>
        </w:rPr>
      </w:r>
    </w:p>
    <w:p w:rsidR="00000000" w:rsidDel="00000000" w:rsidP="00000000" w:rsidRDefault="00000000" w:rsidRPr="00000000" w14:paraId="0000002D">
      <w:pPr>
        <w:spacing w:line="360" w:lineRule="auto"/>
        <w:jc w:val="both"/>
        <w:rPr>
          <w:sz w:val="24"/>
          <w:szCs w:val="24"/>
        </w:rPr>
      </w:pPr>
      <w:r w:rsidDel="00000000" w:rsidR="00000000" w:rsidRPr="00000000">
        <w:rPr>
          <w:rtl w:val="0"/>
        </w:rPr>
      </w:r>
    </w:p>
    <w:p w:rsidR="00000000" w:rsidDel="00000000" w:rsidP="00000000" w:rsidRDefault="00000000" w:rsidRPr="00000000" w14:paraId="0000002E">
      <w:pPr>
        <w:spacing w:line="360" w:lineRule="auto"/>
        <w:jc w:val="both"/>
        <w:rPr>
          <w:sz w:val="24"/>
          <w:szCs w:val="24"/>
        </w:rPr>
      </w:pPr>
      <w:r w:rsidDel="00000000" w:rsidR="00000000" w:rsidRPr="00000000">
        <w:rPr>
          <w:rtl w:val="0"/>
        </w:rPr>
      </w:r>
    </w:p>
    <w:p w:rsidR="00000000" w:rsidDel="00000000" w:rsidP="00000000" w:rsidRDefault="00000000" w:rsidRPr="00000000" w14:paraId="0000002F">
      <w:pPr>
        <w:spacing w:line="360" w:lineRule="auto"/>
        <w:jc w:val="both"/>
        <w:rPr>
          <w:sz w:val="24"/>
          <w:szCs w:val="24"/>
        </w:rPr>
      </w:pPr>
      <w:r w:rsidDel="00000000" w:rsidR="00000000" w:rsidRPr="00000000">
        <w:rPr>
          <w:rtl w:val="0"/>
        </w:rPr>
      </w:r>
    </w:p>
    <w:p w:rsidR="00000000" w:rsidDel="00000000" w:rsidP="00000000" w:rsidRDefault="00000000" w:rsidRPr="00000000" w14:paraId="00000030">
      <w:pPr>
        <w:spacing w:line="360" w:lineRule="auto"/>
        <w:jc w:val="both"/>
        <w:rPr>
          <w:sz w:val="24"/>
          <w:szCs w:val="24"/>
        </w:rPr>
      </w:pPr>
      <w:r w:rsidDel="00000000" w:rsidR="00000000" w:rsidRPr="00000000">
        <w:rPr>
          <w:rtl w:val="0"/>
        </w:rPr>
      </w:r>
    </w:p>
    <w:p w:rsidR="00000000" w:rsidDel="00000000" w:rsidP="00000000" w:rsidRDefault="00000000" w:rsidRPr="00000000" w14:paraId="00000031">
      <w:pPr>
        <w:spacing w:line="360" w:lineRule="auto"/>
        <w:jc w:val="both"/>
        <w:rPr>
          <w:sz w:val="24"/>
          <w:szCs w:val="24"/>
        </w:rPr>
      </w:pPr>
      <w:r w:rsidDel="00000000" w:rsidR="00000000" w:rsidRPr="00000000">
        <w:rPr>
          <w:rtl w:val="0"/>
        </w:rPr>
      </w:r>
    </w:p>
    <w:p w:rsidR="00000000" w:rsidDel="00000000" w:rsidP="00000000" w:rsidRDefault="00000000" w:rsidRPr="00000000" w14:paraId="00000032">
      <w:pPr>
        <w:spacing w:line="360" w:lineRule="auto"/>
        <w:jc w:val="both"/>
        <w:rPr>
          <w:sz w:val="24"/>
          <w:szCs w:val="24"/>
        </w:rPr>
      </w:pPr>
      <w:r w:rsidDel="00000000" w:rsidR="00000000" w:rsidRPr="00000000">
        <w:rPr>
          <w:rtl w:val="0"/>
        </w:rPr>
      </w:r>
    </w:p>
    <w:p w:rsidR="00000000" w:rsidDel="00000000" w:rsidP="00000000" w:rsidRDefault="00000000" w:rsidRPr="00000000" w14:paraId="00000033">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4">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5">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6">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7">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8">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9">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A">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B">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C">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D">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E">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3F">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40">
      <w:pPr>
        <w:spacing w:line="360" w:lineRule="auto"/>
        <w:jc w:val="both"/>
        <w:rPr>
          <w:b w:val="1"/>
          <w:sz w:val="24"/>
          <w:szCs w:val="24"/>
        </w:rPr>
      </w:pPr>
      <w:r w:rsidDel="00000000" w:rsidR="00000000" w:rsidRPr="00000000">
        <w:rPr>
          <w:b w:val="1"/>
          <w:sz w:val="24"/>
          <w:szCs w:val="24"/>
          <w:rtl w:val="0"/>
        </w:rPr>
        <w:t xml:space="preserve">Supplementary Tables</w:t>
      </w:r>
    </w:p>
    <w:p w:rsidR="00000000" w:rsidDel="00000000" w:rsidP="00000000" w:rsidRDefault="00000000" w:rsidRPr="00000000" w14:paraId="00000041">
      <w:pPr>
        <w:spacing w:line="360" w:lineRule="auto"/>
        <w:jc w:val="both"/>
        <w:rPr>
          <w:b w:val="1"/>
          <w:sz w:val="24"/>
          <w:szCs w:val="24"/>
        </w:rPr>
      </w:pPr>
      <w:r w:rsidDel="00000000" w:rsidR="00000000" w:rsidRPr="00000000">
        <w:rPr/>
        <w:drawing>
          <wp:inline distB="0" distT="0" distL="0" distR="0">
            <wp:extent cx="5362575" cy="7981950"/>
            <wp:effectExtent b="0" l="0" r="0" t="0"/>
            <wp:docPr id="7" name="image19.png"/>
            <a:graphic>
              <a:graphicData uri="http://schemas.openxmlformats.org/drawingml/2006/picture">
                <pic:pic>
                  <pic:nvPicPr>
                    <pic:cNvPr id="0" name="image19.png"/>
                    <pic:cNvPicPr preferRelativeResize="0"/>
                  </pic:nvPicPr>
                  <pic:blipFill>
                    <a:blip r:embed="rId17"/>
                    <a:srcRect b="0" l="0" r="0" t="0"/>
                    <a:stretch>
                      <a:fillRect/>
                    </a:stretch>
                  </pic:blipFill>
                  <pic:spPr>
                    <a:xfrm>
                      <a:off x="0" y="0"/>
                      <a:ext cx="5362575" cy="7981950"/>
                    </a:xfrm>
                    <a:prstGeom prst="rect"/>
                    <a:ln/>
                  </pic:spPr>
                </pic:pic>
              </a:graphicData>
            </a:graphic>
          </wp:inline>
        </w:drawing>
      </w:r>
      <w:r w:rsidDel="00000000" w:rsidR="00000000" w:rsidRPr="00000000">
        <w:rPr/>
        <w:drawing>
          <wp:inline distB="0" distT="0" distL="0" distR="0">
            <wp:extent cx="5362575" cy="7886700"/>
            <wp:effectExtent b="0" l="0" r="0" t="0"/>
            <wp:docPr id="19"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5362575" cy="78867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line="360" w:lineRule="auto"/>
        <w:jc w:val="both"/>
        <w:rPr>
          <w:b w:val="1"/>
          <w:sz w:val="24"/>
          <w:szCs w:val="24"/>
        </w:rPr>
      </w:pPr>
      <w:r w:rsidDel="00000000" w:rsidR="00000000" w:rsidRPr="00000000">
        <w:rPr>
          <w:b w:val="1"/>
          <w:sz w:val="24"/>
          <w:szCs w:val="24"/>
          <w:rtl w:val="0"/>
        </w:rPr>
        <w:t xml:space="preserve">Supplementary Table 1 </w:t>
      </w:r>
      <w:r w:rsidDel="00000000" w:rsidR="00000000" w:rsidRPr="00000000">
        <w:rPr>
          <w:sz w:val="24"/>
          <w:szCs w:val="24"/>
          <w:rtl w:val="0"/>
        </w:rPr>
        <w:t xml:space="preserve">Sampling metadata. The Sampling Site variable refers to the sites marked with orange triangles in Figure 1. Chl_max denotes whether the sample was collected in the chlorophyll maximum point or not. Size_fraction_μm variable refers to the filter size used to filter each sample (when applicable). Abbreviations : bf = biofilm, sed = sediment, wc = water column, sur = surface</w:t>
      </w:r>
      <w:r w:rsidDel="00000000" w:rsidR="00000000" w:rsidRPr="00000000">
        <w:rPr>
          <w:rtl w:val="0"/>
        </w:rPr>
      </w:r>
    </w:p>
    <w:p w:rsidR="00000000" w:rsidDel="00000000" w:rsidP="00000000" w:rsidRDefault="00000000" w:rsidRPr="00000000" w14:paraId="00000043">
      <w:pPr>
        <w:spacing w:line="360" w:lineRule="auto"/>
        <w:jc w:val="both"/>
        <w:rPr>
          <w:b w:val="1"/>
          <w:sz w:val="24"/>
          <w:szCs w:val="24"/>
        </w:rPr>
      </w:pPr>
      <w:r w:rsidDel="00000000" w:rsidR="00000000" w:rsidRPr="00000000">
        <w:rPr/>
        <w:drawing>
          <wp:inline distB="0" distT="0" distL="0" distR="0">
            <wp:extent cx="4276725" cy="8639175"/>
            <wp:effectExtent b="0" l="0" r="0" t="0"/>
            <wp:docPr id="8"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4276725" cy="8639175"/>
                    </a:xfrm>
                    <a:prstGeom prst="rect"/>
                    <a:ln/>
                  </pic:spPr>
                </pic:pic>
              </a:graphicData>
            </a:graphic>
          </wp:inline>
        </w:drawing>
      </w:r>
      <w:r w:rsidDel="00000000" w:rsidR="00000000" w:rsidRPr="00000000">
        <w:rPr/>
        <w:drawing>
          <wp:inline distB="0" distT="0" distL="0" distR="0">
            <wp:extent cx="4276725" cy="6943725"/>
            <wp:effectExtent b="0" l="0" r="0" t="0"/>
            <wp:docPr id="14" name="image18.png"/>
            <a:graphic>
              <a:graphicData uri="http://schemas.openxmlformats.org/drawingml/2006/picture">
                <pic:pic>
                  <pic:nvPicPr>
                    <pic:cNvPr id="0" name="image18.png"/>
                    <pic:cNvPicPr preferRelativeResize="0"/>
                  </pic:nvPicPr>
                  <pic:blipFill>
                    <a:blip r:embed="rId20"/>
                    <a:srcRect b="0" l="0" r="0" t="0"/>
                    <a:stretch>
                      <a:fillRect/>
                    </a:stretch>
                  </pic:blipFill>
                  <pic:spPr>
                    <a:xfrm>
                      <a:off x="0" y="0"/>
                      <a:ext cx="4276725" cy="6943725"/>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45">
      <w:pPr>
        <w:spacing w:line="360" w:lineRule="auto"/>
        <w:jc w:val="both"/>
        <w:rPr>
          <w:sz w:val="24"/>
          <w:szCs w:val="24"/>
        </w:rPr>
      </w:pPr>
      <w:r w:rsidDel="00000000" w:rsidR="00000000" w:rsidRPr="00000000">
        <w:rPr>
          <w:b w:val="1"/>
          <w:sz w:val="24"/>
          <w:szCs w:val="24"/>
          <w:rtl w:val="0"/>
        </w:rPr>
        <w:t xml:space="preserve">Supplementary Table 2 </w:t>
      </w:r>
      <w:r w:rsidDel="00000000" w:rsidR="00000000" w:rsidRPr="00000000">
        <w:rPr>
          <w:sz w:val="24"/>
          <w:szCs w:val="24"/>
          <w:rtl w:val="0"/>
        </w:rPr>
        <w:t xml:space="preserve">Read count in different steps of the pipeline. </w:t>
      </w:r>
    </w:p>
    <w:p w:rsidR="00000000" w:rsidDel="00000000" w:rsidP="00000000" w:rsidRDefault="00000000" w:rsidRPr="00000000" w14:paraId="00000046">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47">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48">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49">
      <w:pPr>
        <w:spacing w:line="360" w:lineRule="auto"/>
        <w:jc w:val="both"/>
        <w:rPr>
          <w:sz w:val="24"/>
          <w:szCs w:val="24"/>
        </w:rPr>
      </w:pPr>
      <w:r w:rsidDel="00000000" w:rsidR="00000000" w:rsidRPr="00000000">
        <w:rPr/>
        <w:drawing>
          <wp:inline distB="0" distT="0" distL="0" distR="0">
            <wp:extent cx="5731200" cy="3568700"/>
            <wp:effectExtent b="0" l="0" r="0" t="0"/>
            <wp:docPr id="5" name="image5.png"/>
            <a:graphic>
              <a:graphicData uri="http://schemas.openxmlformats.org/drawingml/2006/picture">
                <pic:pic>
                  <pic:nvPicPr>
                    <pic:cNvPr id="0" name="image5.png"/>
                    <pic:cNvPicPr preferRelativeResize="0"/>
                  </pic:nvPicPr>
                  <pic:blipFill>
                    <a:blip r:embed="rId21"/>
                    <a:srcRect b="0" l="0" r="0" t="0"/>
                    <a:stretch>
                      <a:fillRect/>
                    </a:stretch>
                  </pic:blipFill>
                  <pic:spPr>
                    <a:xfrm>
                      <a:off x="0" y="0"/>
                      <a:ext cx="57312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line="360" w:lineRule="auto"/>
        <w:jc w:val="both"/>
        <w:rPr>
          <w:sz w:val="24"/>
          <w:szCs w:val="24"/>
        </w:rPr>
      </w:pPr>
      <w:r w:rsidDel="00000000" w:rsidR="00000000" w:rsidRPr="00000000">
        <w:rPr>
          <w:b w:val="1"/>
          <w:sz w:val="24"/>
          <w:szCs w:val="24"/>
          <w:rtl w:val="0"/>
        </w:rPr>
        <w:t xml:space="preserve">Supplementary Table 3 </w:t>
      </w:r>
      <w:r w:rsidDel="00000000" w:rsidR="00000000" w:rsidRPr="00000000">
        <w:rPr>
          <w:sz w:val="24"/>
          <w:szCs w:val="24"/>
          <w:rtl w:val="0"/>
        </w:rPr>
        <w:t xml:space="preserve">Phyloseq datasets generated in this study. Taxa: the final number of ASVs in each dataset. Samples: the number of samples included in the dataset. Min sample depth: the number of reads in the sample with less total reads of the dataset, this is the number of reads to which we rarefy the dataset if needed. Min sample depth sampleID: the name of the sample with less total reads of the dataset. Max sample depth: the number of reads in the sample with more total reads of the dataset. Max sample depth sampleID: the name of the sample with more total reads of the dataset. Description: the phyloseq command for the generation of each dataset.</w:t>
      </w:r>
    </w:p>
    <w:p w:rsidR="00000000" w:rsidDel="00000000" w:rsidP="00000000" w:rsidRDefault="00000000" w:rsidRPr="00000000" w14:paraId="0000004B">
      <w:pPr>
        <w:spacing w:line="360" w:lineRule="auto"/>
        <w:jc w:val="both"/>
        <w:rPr>
          <w:sz w:val="24"/>
          <w:szCs w:val="24"/>
        </w:rPr>
      </w:pPr>
      <w:r w:rsidDel="00000000" w:rsidR="00000000" w:rsidRPr="00000000">
        <w:rPr>
          <w:rtl w:val="0"/>
        </w:rPr>
      </w:r>
    </w:p>
    <w:p w:rsidR="00000000" w:rsidDel="00000000" w:rsidP="00000000" w:rsidRDefault="00000000" w:rsidRPr="00000000" w14:paraId="0000004C">
      <w:pPr>
        <w:spacing w:line="360" w:lineRule="auto"/>
        <w:jc w:val="both"/>
        <w:rPr>
          <w:sz w:val="24"/>
          <w:szCs w:val="24"/>
        </w:rPr>
      </w:pPr>
      <w:r w:rsidDel="00000000" w:rsidR="00000000" w:rsidRPr="00000000">
        <w:rPr>
          <w:rtl w:val="0"/>
        </w:rPr>
      </w:r>
    </w:p>
    <w:p w:rsidR="00000000" w:rsidDel="00000000" w:rsidP="00000000" w:rsidRDefault="00000000" w:rsidRPr="00000000" w14:paraId="0000004D">
      <w:pPr>
        <w:spacing w:line="360" w:lineRule="auto"/>
        <w:jc w:val="both"/>
        <w:rPr>
          <w:sz w:val="24"/>
          <w:szCs w:val="24"/>
        </w:rPr>
      </w:pPr>
      <w:r w:rsidDel="00000000" w:rsidR="00000000" w:rsidRPr="00000000">
        <w:rPr>
          <w:rtl w:val="0"/>
        </w:rPr>
      </w:r>
    </w:p>
    <w:p w:rsidR="00000000" w:rsidDel="00000000" w:rsidP="00000000" w:rsidRDefault="00000000" w:rsidRPr="00000000" w14:paraId="0000004E">
      <w:pPr>
        <w:spacing w:line="360" w:lineRule="auto"/>
        <w:jc w:val="both"/>
        <w:rPr>
          <w:sz w:val="24"/>
          <w:szCs w:val="24"/>
        </w:rPr>
      </w:pPr>
      <w:r w:rsidDel="00000000" w:rsidR="00000000" w:rsidRPr="00000000">
        <w:rPr>
          <w:rtl w:val="0"/>
        </w:rPr>
      </w:r>
    </w:p>
    <w:p w:rsidR="00000000" w:rsidDel="00000000" w:rsidP="00000000" w:rsidRDefault="00000000" w:rsidRPr="00000000" w14:paraId="0000004F">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50">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51">
      <w:pPr>
        <w:spacing w:line="360" w:lineRule="auto"/>
        <w:jc w:val="both"/>
        <w:rPr>
          <w:sz w:val="24"/>
          <w:szCs w:val="24"/>
        </w:rPr>
      </w:pPr>
      <w:r w:rsidDel="00000000" w:rsidR="00000000" w:rsidRPr="00000000">
        <w:rPr>
          <w:rtl w:val="0"/>
        </w:rPr>
      </w:r>
    </w:p>
    <w:p w:rsidR="00000000" w:rsidDel="00000000" w:rsidP="00000000" w:rsidRDefault="00000000" w:rsidRPr="00000000" w14:paraId="00000052">
      <w:pPr>
        <w:spacing w:line="360" w:lineRule="auto"/>
        <w:jc w:val="both"/>
        <w:rPr>
          <w:sz w:val="24"/>
          <w:szCs w:val="24"/>
        </w:rPr>
      </w:pPr>
      <w:r w:rsidDel="00000000" w:rsidR="00000000" w:rsidRPr="00000000">
        <w:rPr/>
        <w:drawing>
          <wp:inline distB="0" distT="0" distL="0" distR="0">
            <wp:extent cx="5731200" cy="3695700"/>
            <wp:effectExtent b="0" l="0" r="0" t="0"/>
            <wp:docPr id="2" name="image2.png"/>
            <a:graphic>
              <a:graphicData uri="http://schemas.openxmlformats.org/drawingml/2006/picture">
                <pic:pic>
                  <pic:nvPicPr>
                    <pic:cNvPr id="0" name="image2.png"/>
                    <pic:cNvPicPr preferRelativeResize="0"/>
                  </pic:nvPicPr>
                  <pic:blipFill>
                    <a:blip r:embed="rId22"/>
                    <a:srcRect b="0" l="0" r="0" t="0"/>
                    <a:stretch>
                      <a:fillRect/>
                    </a:stretch>
                  </pic:blipFill>
                  <pic:spPr>
                    <a:xfrm rot="16200000">
                      <a:off x="0" y="0"/>
                      <a:ext cx="5731200" cy="36957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spacing w:line="360" w:lineRule="auto"/>
        <w:jc w:val="both"/>
        <w:rPr>
          <w:sz w:val="24"/>
          <w:szCs w:val="24"/>
        </w:rPr>
      </w:pPr>
      <w:r w:rsidDel="00000000" w:rsidR="00000000" w:rsidRPr="00000000">
        <w:rPr/>
        <w:drawing>
          <wp:inline distB="0" distT="0" distL="0" distR="0">
            <wp:extent cx="5731200" cy="3695700"/>
            <wp:effectExtent b="0" l="0" r="0" t="0"/>
            <wp:docPr id="13" name="image15.png"/>
            <a:graphic>
              <a:graphicData uri="http://schemas.openxmlformats.org/drawingml/2006/picture">
                <pic:pic>
                  <pic:nvPicPr>
                    <pic:cNvPr id="0" name="image15.png"/>
                    <pic:cNvPicPr preferRelativeResize="0"/>
                  </pic:nvPicPr>
                  <pic:blipFill>
                    <a:blip r:embed="rId23"/>
                    <a:srcRect b="0" l="0" r="0" t="0"/>
                    <a:stretch>
                      <a:fillRect/>
                    </a:stretch>
                  </pic:blipFill>
                  <pic:spPr>
                    <a:xfrm rot="16200000">
                      <a:off x="0" y="0"/>
                      <a:ext cx="5731200" cy="369570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line="360" w:lineRule="auto"/>
        <w:jc w:val="both"/>
        <w:rPr>
          <w:sz w:val="24"/>
          <w:szCs w:val="24"/>
        </w:rPr>
      </w:pPr>
      <w:r w:rsidDel="00000000" w:rsidR="00000000" w:rsidRPr="00000000">
        <w:rPr>
          <w:rtl w:val="0"/>
        </w:rPr>
      </w:r>
    </w:p>
    <w:p w:rsidR="00000000" w:rsidDel="00000000" w:rsidP="00000000" w:rsidRDefault="00000000" w:rsidRPr="00000000" w14:paraId="00000055">
      <w:pPr>
        <w:spacing w:line="360" w:lineRule="auto"/>
        <w:jc w:val="both"/>
        <w:rPr>
          <w:sz w:val="24"/>
          <w:szCs w:val="24"/>
        </w:rPr>
      </w:pPr>
      <w:r w:rsidDel="00000000" w:rsidR="00000000" w:rsidRPr="00000000">
        <w:rPr/>
        <w:drawing>
          <wp:inline distB="0" distT="0" distL="0" distR="0">
            <wp:extent cx="5731200" cy="2387600"/>
            <wp:effectExtent b="0" l="0" r="0" t="0"/>
            <wp:docPr id="15"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rot="16200000">
                      <a:off x="0" y="0"/>
                      <a:ext cx="57312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spacing w:line="360" w:lineRule="auto"/>
        <w:jc w:val="both"/>
        <w:rPr>
          <w:sz w:val="24"/>
          <w:szCs w:val="24"/>
        </w:rPr>
      </w:pPr>
      <w:r w:rsidDel="00000000" w:rsidR="00000000" w:rsidRPr="00000000">
        <w:rPr>
          <w:rtl w:val="0"/>
        </w:rPr>
      </w:r>
    </w:p>
    <w:p w:rsidR="00000000" w:rsidDel="00000000" w:rsidP="00000000" w:rsidRDefault="00000000" w:rsidRPr="00000000" w14:paraId="00000057">
      <w:pPr>
        <w:spacing w:line="360" w:lineRule="auto"/>
        <w:jc w:val="both"/>
        <w:rPr>
          <w:sz w:val="24"/>
          <w:szCs w:val="24"/>
        </w:rPr>
      </w:pPr>
      <w:r w:rsidDel="00000000" w:rsidR="00000000" w:rsidRPr="00000000">
        <w:rPr>
          <w:b w:val="1"/>
          <w:sz w:val="24"/>
          <w:szCs w:val="24"/>
          <w:rtl w:val="0"/>
        </w:rPr>
        <w:t xml:space="preserve">Supplementary Table 4.</w:t>
      </w:r>
      <w:r w:rsidDel="00000000" w:rsidR="00000000" w:rsidRPr="00000000">
        <w:rPr>
          <w:sz w:val="24"/>
          <w:szCs w:val="24"/>
          <w:rtl w:val="0"/>
        </w:rPr>
        <w:t xml:space="preserve"> Alpha diversity indices as calculated for each sample by the ASVs abundances. </w:t>
      </w:r>
    </w:p>
    <w:p w:rsidR="00000000" w:rsidDel="00000000" w:rsidP="00000000" w:rsidRDefault="00000000" w:rsidRPr="00000000" w14:paraId="00000058">
      <w:pPr>
        <w:spacing w:line="360" w:lineRule="auto"/>
        <w:jc w:val="both"/>
        <w:rPr>
          <w:sz w:val="24"/>
          <w:szCs w:val="24"/>
        </w:rPr>
      </w:pPr>
      <w:r w:rsidDel="00000000" w:rsidR="00000000" w:rsidRPr="00000000">
        <w:rPr>
          <w:rtl w:val="0"/>
        </w:rPr>
      </w:r>
    </w:p>
    <w:p w:rsidR="00000000" w:rsidDel="00000000" w:rsidP="00000000" w:rsidRDefault="00000000" w:rsidRPr="00000000" w14:paraId="00000059">
      <w:pPr>
        <w:spacing w:line="360" w:lineRule="auto"/>
        <w:jc w:val="both"/>
        <w:rPr>
          <w:sz w:val="24"/>
          <w:szCs w:val="24"/>
        </w:rPr>
      </w:pPr>
      <w:r w:rsidDel="00000000" w:rsidR="00000000" w:rsidRPr="00000000">
        <w:rPr/>
        <w:drawing>
          <wp:inline distB="0" distT="0" distL="0" distR="0">
            <wp:extent cx="3552190" cy="1855470"/>
            <wp:effectExtent b="0" l="0" r="0" t="0"/>
            <wp:docPr id="11" name="image13.png"/>
            <a:graphic>
              <a:graphicData uri="http://schemas.openxmlformats.org/drawingml/2006/picture">
                <pic:pic>
                  <pic:nvPicPr>
                    <pic:cNvPr id="0" name="image13.png"/>
                    <pic:cNvPicPr preferRelativeResize="0"/>
                  </pic:nvPicPr>
                  <pic:blipFill>
                    <a:blip r:embed="rId25"/>
                    <a:srcRect b="0" l="0" r="0" t="0"/>
                    <a:stretch>
                      <a:fillRect/>
                    </a:stretch>
                  </pic:blipFill>
                  <pic:spPr>
                    <a:xfrm>
                      <a:off x="0" y="0"/>
                      <a:ext cx="3552190" cy="185547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5B">
      <w:pPr>
        <w:spacing w:line="360" w:lineRule="auto"/>
        <w:jc w:val="both"/>
        <w:rPr>
          <w:sz w:val="24"/>
          <w:szCs w:val="24"/>
        </w:rPr>
      </w:pPr>
      <w:r w:rsidDel="00000000" w:rsidR="00000000" w:rsidRPr="00000000">
        <w:rPr>
          <w:b w:val="1"/>
          <w:sz w:val="24"/>
          <w:szCs w:val="24"/>
          <w:rtl w:val="0"/>
        </w:rPr>
        <w:t xml:space="preserve">Supplementary Table 5 </w:t>
      </w:r>
      <w:r w:rsidDel="00000000" w:rsidR="00000000" w:rsidRPr="00000000">
        <w:rPr>
          <w:sz w:val="24"/>
          <w:szCs w:val="24"/>
          <w:rtl w:val="0"/>
        </w:rPr>
        <w:t xml:space="preserve">Mean chlorophyll </w:t>
      </w:r>
      <w:r w:rsidDel="00000000" w:rsidR="00000000" w:rsidRPr="00000000">
        <w:rPr>
          <w:i w:val="1"/>
          <w:sz w:val="24"/>
          <w:szCs w:val="24"/>
          <w:rtl w:val="0"/>
        </w:rPr>
        <w:t xml:space="preserve">a</w:t>
      </w:r>
      <w:r w:rsidDel="00000000" w:rsidR="00000000" w:rsidRPr="00000000">
        <w:rPr>
          <w:sz w:val="24"/>
          <w:szCs w:val="24"/>
          <w:rtl w:val="0"/>
        </w:rPr>
        <w:t xml:space="preserve"> values in Sanabria Lake during the last 50 years.</w:t>
      </w:r>
    </w:p>
    <w:p w:rsidR="00000000" w:rsidDel="00000000" w:rsidP="00000000" w:rsidRDefault="00000000" w:rsidRPr="00000000" w14:paraId="0000005C">
      <w:pPr>
        <w:spacing w:line="360" w:lineRule="auto"/>
        <w:jc w:val="both"/>
        <w:rPr>
          <w:sz w:val="24"/>
          <w:szCs w:val="24"/>
        </w:rPr>
      </w:pPr>
      <w:r w:rsidDel="00000000" w:rsidR="00000000" w:rsidRPr="00000000">
        <w:rPr>
          <w:rtl w:val="0"/>
        </w:rPr>
      </w:r>
    </w:p>
    <w:p w:rsidR="00000000" w:rsidDel="00000000" w:rsidP="00000000" w:rsidRDefault="00000000" w:rsidRPr="00000000" w14:paraId="0000005D">
      <w:pPr>
        <w:spacing w:line="360" w:lineRule="auto"/>
        <w:jc w:val="both"/>
        <w:rPr/>
      </w:pPr>
      <w:r w:rsidDel="00000000" w:rsidR="00000000" w:rsidRPr="00000000">
        <w:rPr/>
        <w:drawing>
          <wp:inline distB="0" distT="0" distL="0" distR="0">
            <wp:extent cx="4505325" cy="1857375"/>
            <wp:effectExtent b="0" l="0" r="0" t="0"/>
            <wp:docPr id="1" name="image7.png"/>
            <a:graphic>
              <a:graphicData uri="http://schemas.openxmlformats.org/drawingml/2006/picture">
                <pic:pic>
                  <pic:nvPicPr>
                    <pic:cNvPr id="0" name="image7.png"/>
                    <pic:cNvPicPr preferRelativeResize="0"/>
                  </pic:nvPicPr>
                  <pic:blipFill>
                    <a:blip r:embed="rId26"/>
                    <a:srcRect b="47984" l="0" r="0" t="0"/>
                    <a:stretch>
                      <a:fillRect/>
                    </a:stretch>
                  </pic:blipFill>
                  <pic:spPr>
                    <a:xfrm>
                      <a:off x="0" y="0"/>
                      <a:ext cx="4505325" cy="1857375"/>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5F">
      <w:pPr>
        <w:spacing w:line="360" w:lineRule="auto"/>
        <w:jc w:val="both"/>
        <w:rPr>
          <w:sz w:val="24"/>
          <w:szCs w:val="24"/>
        </w:rPr>
      </w:pPr>
      <w:r w:rsidDel="00000000" w:rsidR="00000000" w:rsidRPr="00000000">
        <w:rPr>
          <w:b w:val="1"/>
          <w:sz w:val="24"/>
          <w:szCs w:val="24"/>
          <w:rtl w:val="0"/>
        </w:rPr>
        <w:t xml:space="preserve">Supplementary Table 6.</w:t>
      </w:r>
      <w:r w:rsidDel="00000000" w:rsidR="00000000" w:rsidRPr="00000000">
        <w:rPr>
          <w:sz w:val="24"/>
          <w:szCs w:val="24"/>
          <w:rtl w:val="0"/>
        </w:rPr>
        <w:t xml:space="preserve"> Permanova to test for spatial patterns in the protist community structure </w:t>
      </w:r>
      <w:r w:rsidDel="00000000" w:rsidR="00000000" w:rsidRPr="00000000">
        <w:rPr>
          <w:rFonts w:ascii="Arial Unicode MS" w:cs="Arial Unicode MS" w:eastAsia="Arial Unicode MS" w:hAnsi="Arial Unicode MS"/>
          <w:sz w:val="24"/>
          <w:szCs w:val="24"/>
          <w:rtl w:val="0"/>
        </w:rPr>
        <w:t xml:space="preserve">(p-value ≤0.05 * ; p-value ≤0.01 ** ; p-value &lt;0.001 ***).</w:t>
      </w:r>
      <w:r w:rsidDel="00000000" w:rsidR="00000000" w:rsidRPr="00000000">
        <w:rPr>
          <w:rtl w:val="0"/>
        </w:rPr>
      </w:r>
    </w:p>
    <w:p w:rsidR="00000000" w:rsidDel="00000000" w:rsidP="00000000" w:rsidRDefault="00000000" w:rsidRPr="00000000" w14:paraId="00000060">
      <w:pPr>
        <w:spacing w:line="360" w:lineRule="auto"/>
        <w:jc w:val="both"/>
        <w:rPr>
          <w:b w:val="1"/>
          <w:sz w:val="24"/>
          <w:szCs w:val="24"/>
        </w:rPr>
      </w:pPr>
      <w:r w:rsidDel="00000000" w:rsidR="00000000" w:rsidRPr="00000000">
        <w:rPr>
          <w:rtl w:val="0"/>
        </w:rPr>
      </w:r>
    </w:p>
    <w:tbl>
      <w:tblPr>
        <w:tblStyle w:val="Table1"/>
        <w:tblW w:w="7098.0" w:type="dxa"/>
        <w:jc w:val="left"/>
        <w:tblInd w:w="11.999999999999993" w:type="dxa"/>
        <w:tblBorders>
          <w:top w:color="000001" w:space="0" w:sz="8" w:val="single"/>
          <w:left w:color="000001" w:space="0" w:sz="8" w:val="single"/>
          <w:bottom w:color="000001" w:space="0" w:sz="8" w:val="single"/>
          <w:right w:color="000001" w:space="0" w:sz="8" w:val="single"/>
          <w:insideH w:color="000001" w:space="0" w:sz="8" w:val="single"/>
          <w:insideV w:color="000001" w:space="0" w:sz="8" w:val="single"/>
        </w:tblBorders>
        <w:tblLayout w:type="fixed"/>
        <w:tblLook w:val="0600"/>
      </w:tblPr>
      <w:tblGrid>
        <w:gridCol w:w="2366"/>
        <w:gridCol w:w="2366"/>
        <w:gridCol w:w="2366"/>
        <w:tblGridChange w:id="0">
          <w:tblGrid>
            <w:gridCol w:w="2366"/>
            <w:gridCol w:w="2366"/>
            <w:gridCol w:w="2366"/>
          </w:tblGrid>
        </w:tblGridChange>
      </w:tblGrid>
      <w:tr>
        <w:trPr>
          <w:cantSplit w:val="0"/>
          <w:tblHeader w:val="0"/>
        </w:trPr>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1">
            <w:pPr>
              <w:widowControl w:val="0"/>
              <w:spacing w:line="360" w:lineRule="auto"/>
              <w:jc w:val="both"/>
              <w:rPr>
                <w:b w:val="1"/>
                <w:sz w:val="24"/>
                <w:szCs w:val="24"/>
              </w:rPr>
            </w:pPr>
            <w:r w:rsidDel="00000000" w:rsidR="00000000" w:rsidRPr="00000000">
              <w:rPr>
                <w:b w:val="1"/>
                <w:sz w:val="24"/>
                <w:szCs w:val="24"/>
                <w:rtl w:val="0"/>
              </w:rPr>
              <w:t xml:space="preserve">Grouping</w:t>
            </w:r>
          </w:p>
        </w:tc>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2">
            <w:pPr>
              <w:widowControl w:val="0"/>
              <w:spacing w:line="360" w:lineRule="auto"/>
              <w:jc w:val="both"/>
              <w:rPr>
                <w:b w:val="1"/>
                <w:sz w:val="24"/>
                <w:szCs w:val="24"/>
              </w:rPr>
            </w:pPr>
            <w:r w:rsidDel="00000000" w:rsidR="00000000" w:rsidRPr="00000000">
              <w:rPr>
                <w:b w:val="1"/>
                <w:sz w:val="24"/>
                <w:szCs w:val="24"/>
                <w:rtl w:val="0"/>
              </w:rPr>
              <w:t xml:space="preserve">R</w:t>
            </w:r>
          </w:p>
        </w:tc>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3">
            <w:pPr>
              <w:widowControl w:val="0"/>
              <w:spacing w:line="360" w:lineRule="auto"/>
              <w:jc w:val="both"/>
              <w:rPr>
                <w:b w:val="1"/>
                <w:sz w:val="24"/>
                <w:szCs w:val="24"/>
              </w:rPr>
            </w:pPr>
            <w:r w:rsidDel="00000000" w:rsidR="00000000" w:rsidRPr="00000000">
              <w:rPr>
                <w:b w:val="1"/>
                <w:sz w:val="24"/>
                <w:szCs w:val="24"/>
                <w:rtl w:val="0"/>
              </w:rPr>
              <w:t xml:space="preserve">p-value</w:t>
            </w:r>
          </w:p>
        </w:tc>
      </w:tr>
      <w:tr>
        <w:trPr>
          <w:cantSplit w:val="0"/>
          <w:tblHeader w:val="0"/>
        </w:trPr>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4">
            <w:pPr>
              <w:widowControl w:val="0"/>
              <w:spacing w:line="360" w:lineRule="auto"/>
              <w:jc w:val="both"/>
              <w:rPr>
                <w:b w:val="1"/>
                <w:sz w:val="24"/>
                <w:szCs w:val="24"/>
              </w:rPr>
            </w:pPr>
            <w:r w:rsidDel="00000000" w:rsidR="00000000" w:rsidRPr="00000000">
              <w:rPr>
                <w:b w:val="1"/>
                <w:sz w:val="24"/>
                <w:szCs w:val="24"/>
                <w:rtl w:val="0"/>
              </w:rPr>
              <w:t xml:space="preserve">Site</w:t>
            </w:r>
          </w:p>
        </w:tc>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5">
            <w:pPr>
              <w:widowControl w:val="0"/>
              <w:spacing w:line="360" w:lineRule="auto"/>
              <w:jc w:val="both"/>
              <w:rPr>
                <w:sz w:val="24"/>
                <w:szCs w:val="24"/>
              </w:rPr>
            </w:pPr>
            <w:r w:rsidDel="00000000" w:rsidR="00000000" w:rsidRPr="00000000">
              <w:rPr>
                <w:sz w:val="24"/>
                <w:szCs w:val="24"/>
                <w:rtl w:val="0"/>
              </w:rPr>
              <w:t xml:space="preserve">0.6225854</w:t>
            </w:r>
          </w:p>
        </w:tc>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6">
            <w:pPr>
              <w:widowControl w:val="0"/>
              <w:spacing w:line="360" w:lineRule="auto"/>
              <w:jc w:val="both"/>
              <w:rPr>
                <w:sz w:val="24"/>
                <w:szCs w:val="24"/>
              </w:rPr>
            </w:pPr>
            <w:r w:rsidDel="00000000" w:rsidR="00000000" w:rsidRPr="00000000">
              <w:rPr>
                <w:sz w:val="24"/>
                <w:szCs w:val="24"/>
                <w:rtl w:val="0"/>
              </w:rPr>
              <w:t xml:space="preserve">0.001</w:t>
            </w:r>
          </w:p>
        </w:tc>
      </w:tr>
      <w:tr>
        <w:trPr>
          <w:cantSplit w:val="0"/>
          <w:tblHeader w:val="0"/>
        </w:trPr>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7">
            <w:pPr>
              <w:widowControl w:val="0"/>
              <w:spacing w:line="360" w:lineRule="auto"/>
              <w:jc w:val="both"/>
              <w:rPr>
                <w:b w:val="1"/>
                <w:sz w:val="24"/>
                <w:szCs w:val="24"/>
              </w:rPr>
            </w:pPr>
            <w:r w:rsidDel="00000000" w:rsidR="00000000" w:rsidRPr="00000000">
              <w:rPr>
                <w:b w:val="1"/>
                <w:sz w:val="24"/>
                <w:szCs w:val="24"/>
                <w:rtl w:val="0"/>
              </w:rPr>
              <w:t xml:space="preserve">Habitat</w:t>
            </w:r>
          </w:p>
        </w:tc>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8">
            <w:pPr>
              <w:widowControl w:val="0"/>
              <w:spacing w:line="360" w:lineRule="auto"/>
              <w:jc w:val="both"/>
              <w:rPr>
                <w:sz w:val="24"/>
                <w:szCs w:val="24"/>
              </w:rPr>
            </w:pPr>
            <w:r w:rsidDel="00000000" w:rsidR="00000000" w:rsidRPr="00000000">
              <w:rPr>
                <w:sz w:val="24"/>
                <w:szCs w:val="24"/>
                <w:rtl w:val="0"/>
              </w:rPr>
              <w:t xml:space="preserve">0.3950803</w:t>
            </w:r>
          </w:p>
        </w:tc>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9">
            <w:pPr>
              <w:widowControl w:val="0"/>
              <w:spacing w:line="360" w:lineRule="auto"/>
              <w:jc w:val="both"/>
              <w:rPr>
                <w:sz w:val="24"/>
                <w:szCs w:val="24"/>
              </w:rPr>
            </w:pPr>
            <w:r w:rsidDel="00000000" w:rsidR="00000000" w:rsidRPr="00000000">
              <w:rPr>
                <w:sz w:val="24"/>
                <w:szCs w:val="24"/>
                <w:rtl w:val="0"/>
              </w:rPr>
              <w:t xml:space="preserve">0.001</w:t>
            </w:r>
          </w:p>
        </w:tc>
      </w:tr>
      <w:tr>
        <w:trPr>
          <w:cantSplit w:val="0"/>
          <w:tblHeader w:val="0"/>
        </w:trPr>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A">
            <w:pPr>
              <w:widowControl w:val="0"/>
              <w:spacing w:line="360" w:lineRule="auto"/>
              <w:jc w:val="both"/>
              <w:rPr>
                <w:b w:val="1"/>
                <w:sz w:val="24"/>
                <w:szCs w:val="24"/>
              </w:rPr>
            </w:pPr>
            <w:r w:rsidDel="00000000" w:rsidR="00000000" w:rsidRPr="00000000">
              <w:rPr>
                <w:b w:val="1"/>
                <w:sz w:val="24"/>
                <w:szCs w:val="24"/>
                <w:rtl w:val="0"/>
              </w:rPr>
              <w:t xml:space="preserve">Depth</w:t>
            </w:r>
          </w:p>
        </w:tc>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B">
            <w:pPr>
              <w:widowControl w:val="0"/>
              <w:spacing w:line="360" w:lineRule="auto"/>
              <w:jc w:val="both"/>
              <w:rPr>
                <w:sz w:val="24"/>
                <w:szCs w:val="24"/>
              </w:rPr>
            </w:pPr>
            <w:r w:rsidDel="00000000" w:rsidR="00000000" w:rsidRPr="00000000">
              <w:rPr>
                <w:sz w:val="24"/>
                <w:szCs w:val="24"/>
                <w:rtl w:val="0"/>
              </w:rPr>
              <w:t xml:space="preserve">0.4736135</w:t>
            </w:r>
          </w:p>
        </w:tc>
        <w:tc>
          <w:tcPr>
            <w:tcBorders>
              <w:top w:color="000001" w:space="0" w:sz="8" w:val="single"/>
              <w:left w:color="000001" w:space="0" w:sz="8" w:val="single"/>
              <w:bottom w:color="000001" w:space="0" w:sz="8" w:val="single"/>
              <w:right w:color="000001" w:space="0" w:sz="8" w:val="single"/>
            </w:tcBorders>
            <w:shd w:fill="auto" w:val="clear"/>
            <w:tcMar>
              <w:left w:w="98.0" w:type="dxa"/>
            </w:tcMar>
          </w:tcPr>
          <w:p w:rsidR="00000000" w:rsidDel="00000000" w:rsidP="00000000" w:rsidRDefault="00000000" w:rsidRPr="00000000" w14:paraId="0000006C">
            <w:pPr>
              <w:widowControl w:val="0"/>
              <w:spacing w:line="360" w:lineRule="auto"/>
              <w:jc w:val="both"/>
              <w:rPr>
                <w:sz w:val="24"/>
                <w:szCs w:val="24"/>
              </w:rPr>
            </w:pPr>
            <w:r w:rsidDel="00000000" w:rsidR="00000000" w:rsidRPr="00000000">
              <w:rPr>
                <w:sz w:val="24"/>
                <w:szCs w:val="24"/>
                <w:rtl w:val="0"/>
              </w:rPr>
              <w:t xml:space="preserve">0.001</w:t>
            </w:r>
          </w:p>
        </w:tc>
      </w:tr>
    </w:tbl>
    <w:p w:rsidR="00000000" w:rsidDel="00000000" w:rsidP="00000000" w:rsidRDefault="00000000" w:rsidRPr="00000000" w14:paraId="0000006D">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6E">
      <w:pPr>
        <w:spacing w:line="360" w:lineRule="auto"/>
        <w:jc w:val="both"/>
        <w:rPr>
          <w:sz w:val="24"/>
          <w:szCs w:val="24"/>
        </w:rPr>
      </w:pPr>
      <w:r w:rsidDel="00000000" w:rsidR="00000000" w:rsidRPr="00000000">
        <w:rPr>
          <w:b w:val="1"/>
          <w:sz w:val="24"/>
          <w:szCs w:val="24"/>
          <w:rtl w:val="0"/>
        </w:rPr>
        <w:t xml:space="preserve">Supplementary</w:t>
      </w:r>
      <w:r w:rsidDel="00000000" w:rsidR="00000000" w:rsidRPr="00000000">
        <w:rPr>
          <w:sz w:val="24"/>
          <w:szCs w:val="24"/>
          <w:rtl w:val="0"/>
        </w:rPr>
        <w:t xml:space="preserve"> </w:t>
      </w:r>
      <w:r w:rsidDel="00000000" w:rsidR="00000000" w:rsidRPr="00000000">
        <w:rPr>
          <w:b w:val="1"/>
          <w:sz w:val="24"/>
          <w:szCs w:val="24"/>
          <w:rtl w:val="0"/>
        </w:rPr>
        <w:t xml:space="preserve">Table 7.</w:t>
      </w:r>
      <w:r w:rsidDel="00000000" w:rsidR="00000000" w:rsidRPr="00000000">
        <w:rPr>
          <w:sz w:val="24"/>
          <w:szCs w:val="24"/>
          <w:rtl w:val="0"/>
        </w:rPr>
        <w:t xml:space="preserve"> ANOSIM analysis calculated upon 999 permutations as a function of sampling site (Sanabria, Laguna, Stream), Habitat (water column, biofilms, sediments) and Depth (Deep, Swallow, Surface).</w:t>
      </w:r>
    </w:p>
    <w:p w:rsidR="00000000" w:rsidDel="00000000" w:rsidP="00000000" w:rsidRDefault="00000000" w:rsidRPr="00000000" w14:paraId="0000006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9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8.png"/><Relationship Id="rId22" Type="http://schemas.openxmlformats.org/officeDocument/2006/relationships/image" Target="media/image2.png"/><Relationship Id="rId21"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1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26" Type="http://schemas.openxmlformats.org/officeDocument/2006/relationships/image" Target="media/image7.png"/><Relationship Id="rId25" Type="http://schemas.openxmlformats.org/officeDocument/2006/relationships/image" Target="media/image13.png"/><Relationship Id="rId5" Type="http://schemas.openxmlformats.org/officeDocument/2006/relationships/styles" Target="styles.xml"/><Relationship Id="rId6" Type="http://schemas.openxmlformats.org/officeDocument/2006/relationships/hyperlink" Target="mailto:kcmitsi@gmail.com" TargetMode="External"/><Relationship Id="rId7" Type="http://schemas.openxmlformats.org/officeDocument/2006/relationships/hyperlink" Target="mailto:konstantina.mitsi@csic.es" TargetMode="External"/><Relationship Id="rId8" Type="http://schemas.openxmlformats.org/officeDocument/2006/relationships/image" Target="media/image14.png"/><Relationship Id="rId11" Type="http://schemas.openxmlformats.org/officeDocument/2006/relationships/image" Target="media/image3.png"/><Relationship Id="rId10" Type="http://schemas.openxmlformats.org/officeDocument/2006/relationships/image" Target="media/image8.png"/><Relationship Id="rId13" Type="http://schemas.openxmlformats.org/officeDocument/2006/relationships/image" Target="media/image11.png"/><Relationship Id="rId12" Type="http://schemas.openxmlformats.org/officeDocument/2006/relationships/image" Target="media/image12.png"/><Relationship Id="rId15" Type="http://schemas.openxmlformats.org/officeDocument/2006/relationships/image" Target="media/image6.png"/><Relationship Id="rId14" Type="http://schemas.openxmlformats.org/officeDocument/2006/relationships/image" Target="media/image1.png"/><Relationship Id="rId17" Type="http://schemas.openxmlformats.org/officeDocument/2006/relationships/image" Target="media/image19.png"/><Relationship Id="rId16" Type="http://schemas.openxmlformats.org/officeDocument/2006/relationships/image" Target="media/image17.png"/><Relationship Id="rId19" Type="http://schemas.openxmlformats.org/officeDocument/2006/relationships/image" Target="media/image10.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