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5224" w:rsidRDefault="00702E5B">
      <w:pPr>
        <w:spacing w:after="200" w:line="360" w:lineRule="auto"/>
        <w:jc w:val="center"/>
        <w:rPr>
          <w:rFonts w:ascii="Times New Roman" w:eastAsia="Times New Roman" w:hAnsi="Times New Roman" w:cs="Times New Roman"/>
          <w:b/>
          <w:sz w:val="28"/>
          <w:szCs w:val="28"/>
        </w:rPr>
      </w:pPr>
      <w:bookmarkStart w:id="0" w:name="_GoBack"/>
      <w:bookmarkEnd w:id="0"/>
      <w:r>
        <w:rPr>
          <w:rFonts w:ascii="Times New Roman" w:eastAsia="Times New Roman" w:hAnsi="Times New Roman" w:cs="Times New Roman"/>
          <w:b/>
          <w:sz w:val="28"/>
          <w:szCs w:val="28"/>
        </w:rPr>
        <w:t>Supplementary Information File 3.</w:t>
      </w:r>
    </w:p>
    <w:p w:rsidR="000D5224" w:rsidRDefault="00702E5B">
      <w:pPr>
        <w:spacing w:after="20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ReSources parameter and prior selections</w:t>
      </w:r>
    </w:p>
    <w:p w:rsidR="000D5224" w:rsidRDefault="000D5224">
      <w:pPr>
        <w:spacing w:after="200" w:line="360" w:lineRule="auto"/>
        <w:jc w:val="both"/>
        <w:rPr>
          <w:rFonts w:ascii="Times New Roman" w:eastAsia="Times New Roman" w:hAnsi="Times New Roman" w:cs="Times New Roman"/>
          <w:sz w:val="24"/>
          <w:szCs w:val="24"/>
        </w:rPr>
      </w:pPr>
    </w:p>
    <w:p w:rsidR="000D5224" w:rsidRDefault="000D5224">
      <w:pPr>
        <w:spacing w:after="200" w:line="360" w:lineRule="auto"/>
        <w:jc w:val="both"/>
        <w:rPr>
          <w:rFonts w:ascii="Times New Roman" w:eastAsia="Times New Roman" w:hAnsi="Times New Roman" w:cs="Times New Roman"/>
          <w:sz w:val="24"/>
          <w:szCs w:val="24"/>
        </w:rPr>
      </w:pPr>
    </w:p>
    <w:p w:rsidR="000D5224" w:rsidRDefault="00702E5B">
      <w:p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ReSources is an R </w:t>
      </w:r>
      <w:r w:rsidR="00010EB4">
        <w:rPr>
          <w:rFonts w:ascii="Times New Roman" w:eastAsia="Times New Roman" w:hAnsi="Times New Roman" w:cs="Times New Roman"/>
          <w:sz w:val="24"/>
          <w:szCs w:val="24"/>
        </w:rPr>
        <w:t>application</w:t>
      </w:r>
      <w:r>
        <w:rPr>
          <w:rFonts w:ascii="Times New Roman" w:eastAsia="Times New Roman" w:hAnsi="Times New Roman" w:cs="Times New Roman"/>
          <w:sz w:val="24"/>
          <w:szCs w:val="24"/>
        </w:rPr>
        <w:t xml:space="preserve"> used to implement Bayesian mixing models for isotope-based dietary reconstruction</w:t>
      </w:r>
      <w:r w:rsidR="009572FF">
        <w:rPr>
          <w:rFonts w:ascii="Times New Roman" w:eastAsia="Times New Roman" w:hAnsi="Times New Roman" w:cs="Times New Roman"/>
          <w:sz w:val="24"/>
          <w:szCs w:val="24"/>
        </w:rPr>
        <w:fldChar w:fldCharType="begin"/>
      </w:r>
      <w:r w:rsidR="009572FF">
        <w:rPr>
          <w:rFonts w:ascii="Times New Roman" w:eastAsia="Times New Roman" w:hAnsi="Times New Roman" w:cs="Times New Roman"/>
          <w:sz w:val="24"/>
          <w:szCs w:val="24"/>
        </w:rPr>
        <w:instrText xml:space="preserve"> ADDIN ZOTERO_ITEM CSL_CITATION {"citationID":"9xIWQNU8","properties":{"formattedCitation":"\\super 1\\nosupersub{}","plainCitation":"1","noteIndex":0},"citationItems":[{"id":10860,"uris":["http://zotero.org/users/8768602/items/AEIV2ZXW"],"itemData":{"id":10860,"type":"article-journal","abstract":", \nThe effects of the 4.2 kya climatic event on northern Mesopotamia have been the subject of significant scholarly debate, with the notion of a megadrought that forced local populations to migrate attracting particular attention. Here, the authors analyse stable carbon (δ13C) and nitrogen (δ15N) isotopes in human tooth and bone samples to assess trends in subsistence practice at three sites in Syria before, during and after the presumed megadrought event. Despite the proximity of the sites, isotopic differences between them are more significant than diachronic change. Combined with other archaeological evidence, these results indicate a continuity in subsistence patterns, with no indication of disruption associated with the 4.2 kya event.","container-title":"Antiquity","DOI":"10.15184/aqy.2021.117","ISSN":"0003-598X, 1745-1744","issue":"383","language":"en","note":"number: 383\npublisher: Cambridge University Press","page":"1145-1160","source":"Cambridge University Press","title":"Much ado about nothing: assessing the impact of the 4.2 kya event on human subsistence patterns in northern Mesopotamia using stable isotope analysis","title-short":"Much ado about nothing","volume":"95","author":[{"family":"Sołtysiak","given":"Arkadiusz"},{"family":"Fernandes","given":"Ricardo"}],"issued":{"date-parts":[["2021",10]]}}}],"schema":"https://github.com/citation-style-language/schema/raw/master/csl-citation.json"} </w:instrText>
      </w:r>
      <w:r w:rsidR="009572FF">
        <w:rPr>
          <w:rFonts w:ascii="Times New Roman" w:eastAsia="Times New Roman" w:hAnsi="Times New Roman" w:cs="Times New Roman"/>
          <w:sz w:val="24"/>
          <w:szCs w:val="24"/>
        </w:rPr>
        <w:fldChar w:fldCharType="separate"/>
      </w:r>
      <w:r w:rsidR="009572FF" w:rsidRPr="009572FF">
        <w:rPr>
          <w:rFonts w:ascii="Times New Roman" w:hAnsi="Times New Roman" w:cs="Times New Roman"/>
          <w:sz w:val="24"/>
          <w:szCs w:val="24"/>
          <w:vertAlign w:val="superscript"/>
        </w:rPr>
        <w:t>1</w:t>
      </w:r>
      <w:r w:rsidR="009572FF">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It is an upgraded version of the Bayesian software FRUITS</w:t>
      </w:r>
      <w:r w:rsidR="009572FF">
        <w:rPr>
          <w:rFonts w:ascii="Times New Roman" w:eastAsia="Times New Roman" w:hAnsi="Times New Roman" w:cs="Times New Roman"/>
          <w:sz w:val="24"/>
          <w:szCs w:val="24"/>
        </w:rPr>
        <w:fldChar w:fldCharType="begin"/>
      </w:r>
      <w:r w:rsidR="009572FF">
        <w:rPr>
          <w:rFonts w:ascii="Times New Roman" w:eastAsia="Times New Roman" w:hAnsi="Times New Roman" w:cs="Times New Roman"/>
          <w:sz w:val="24"/>
          <w:szCs w:val="24"/>
        </w:rPr>
        <w:instrText xml:space="preserve"> ADDIN ZOTERO_ITEM CSL_CITATION {"citationID":"LIgOiNEx","properties":{"formattedCitation":"\\super 2\\nosupersub{}","plainCitation":"2","noteIndex":0},"citationItems":[{"id":1501,"uris":["http://zotero.org/users/8768602/items/WVT73LFP"],"itemData":{"id":1501,"type":"article-journal","abstract":"Human and animal diet reconstruction studies that rely on tissue chemical signatures aim at providing estimates on the relative intake of potential food groups. However, several sources of uncertainty need to be considered when handling data. Bayesian mixing models provide a natural platform to handle diverse sources of uncertainty while allowing the user to contribute with prior expert information. The Bayesian mixing model FRUITS (Food Reconstruction Using Isotopic Transferred Signals) was developed for use in diet reconstruction studies. FRUITS incorporates the capability to account for dietary routing, that is, the contribution of different food fractions (e.g. macronutrients) towards a dietary proxy signal measured in the consumer. FRUITS also provides relatively straightforward means for the introduction of prior information on the relative dietary contributions of food groups or food fractions. This type of prior may originate, for instance, from physiological or metabolic studies. FRUITS performance was tested using simulated data and data from a published controlled animal feeding experiment. The feeding experiment data was selected to exemplify the application of the novel capabilities incorporated into FRUITS but also to illustrate some of the aspects that need to be considered when handling data within diet reconstruction studies. FRUITS accurately predicted dietary intakes, and more precise estimates were obtained for dietary scenarios in which expert prior information was included. FRUITS represents a useful tool to achieve accurate and precise food intake estimates in diet reconstruction studies within different scientific fields (e.g. ecology, forensics, archaeology, and dietary physiology).","container-title":"PLoS ONE","DOI":"10.1371/journal.pone.0087436","ISSN":"1932-6203","issue":"2","journalAbbreviation":"PLoS ONE","language":"en","page":"e87436","source":"DOI.org (Crossref)","title":"Food Reconstruction Using Isotopic Transferred Signals (FRUITS): A Bayesian Model for Diet Reconstruction","title-short":"Food Reconstruction Using Isotopic Transferred Signals (FRUITS)","volume":"9","author":[{"family":"Fernandes","given":"Ricardo"},{"family":"Millard","given":"Andrew R."},{"family":"Brabec","given":"Marek"},{"family":"Nadeau","given":"Marie-Josée"},{"family":"Grootes","given":"Pieter"}],"issued":{"date-parts":[["2014",2,13]]}}}],"schema":"https://github.com/citation-style-language/schema/raw/master/csl-citation.json"} </w:instrText>
      </w:r>
      <w:r w:rsidR="009572FF">
        <w:rPr>
          <w:rFonts w:ascii="Times New Roman" w:eastAsia="Times New Roman" w:hAnsi="Times New Roman" w:cs="Times New Roman"/>
          <w:sz w:val="24"/>
          <w:szCs w:val="24"/>
        </w:rPr>
        <w:fldChar w:fldCharType="separate"/>
      </w:r>
      <w:r w:rsidR="009572FF" w:rsidRPr="009572FF">
        <w:rPr>
          <w:rFonts w:ascii="Times New Roman" w:hAnsi="Times New Roman" w:cs="Times New Roman"/>
          <w:sz w:val="24"/>
          <w:szCs w:val="24"/>
          <w:vertAlign w:val="superscript"/>
        </w:rPr>
        <w:t>2</w:t>
      </w:r>
      <w:r w:rsidR="009572FF">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To improve the precision of dietary estimates, ReSources can also implement prior constraints, based on non-isotopic historical and archaeological dietary evidence (e.g. study of archaeobotanical or zooarchaeological remains, written documents, etc.). The app code is available at GitHub (</w:t>
      </w:r>
      <w:hyperlink r:id="rId4">
        <w:r>
          <w:rPr>
            <w:rFonts w:ascii="Times New Roman" w:eastAsia="Times New Roman" w:hAnsi="Times New Roman" w:cs="Times New Roman"/>
            <w:color w:val="1A73E8"/>
            <w:sz w:val="24"/>
            <w:szCs w:val="24"/>
          </w:rPr>
          <w:t>https://github.com/Pandora-IsoMemo/resources</w:t>
        </w:r>
      </w:hyperlink>
      <w:r>
        <w:rPr>
          <w:rFonts w:ascii="Times New Roman" w:eastAsia="Times New Roman" w:hAnsi="Times New Roman" w:cs="Times New Roman"/>
          <w:sz w:val="24"/>
          <w:szCs w:val="24"/>
        </w:rPr>
        <w:t xml:space="preserve">) and it can also be run online at  https://isomemoapp.com/app/resources. ReSources was used to reconstruct human diets for the late medieval sites of Tertiveri, Montecorvino and San Lorenzo in Carminiano (Apulia, southern Italy). </w:t>
      </w:r>
    </w:p>
    <w:p w:rsidR="000D5224" w:rsidRDefault="00702E5B">
      <w:p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dietary modelling we considered </w:t>
      </w:r>
      <w:r w:rsidR="00250437">
        <w:rPr>
          <w:rFonts w:ascii="Times New Roman" w:eastAsia="Times New Roman" w:hAnsi="Times New Roman" w:cs="Times New Roman"/>
          <w:sz w:val="24"/>
          <w:szCs w:val="24"/>
        </w:rPr>
        <w:t>seven</w:t>
      </w:r>
      <w:r>
        <w:rPr>
          <w:rFonts w:ascii="Times New Roman" w:eastAsia="Times New Roman" w:hAnsi="Times New Roman" w:cs="Times New Roman"/>
          <w:sz w:val="24"/>
          <w:szCs w:val="24"/>
        </w:rPr>
        <w:t xml:space="preserve"> main food groups which were common in late medieval southern Italy</w:t>
      </w:r>
      <w:r w:rsidR="009572FF">
        <w:rPr>
          <w:rFonts w:ascii="Times New Roman" w:eastAsia="Times New Roman" w:hAnsi="Times New Roman" w:cs="Times New Roman"/>
          <w:sz w:val="24"/>
          <w:szCs w:val="24"/>
        </w:rPr>
        <w:fldChar w:fldCharType="begin"/>
      </w:r>
      <w:r w:rsidR="009572FF">
        <w:rPr>
          <w:rFonts w:ascii="Times New Roman" w:eastAsia="Times New Roman" w:hAnsi="Times New Roman" w:cs="Times New Roman"/>
          <w:sz w:val="24"/>
          <w:szCs w:val="24"/>
        </w:rPr>
        <w:instrText xml:space="preserve"> ADDIN ZOTERO_ITEM CSL_CITATION {"citationID":"PElFAsEN","properties":{"formattedCitation":"\\super 3\\nosupersub{}","plainCitation":"3","noteIndex":0},"citationItems":[{"id":123,"uris":["http://zotero.org/users/8768602/items/KCLV7K73"],"itemData":{"id":123,"type":"book","collection-title":"Arts and Traditions of the Table: Perspectives on Culinary History","event-place":"New York","publisher":"Columbia Univ Press","publisher-place":"New York","title":"Medieval Tastes. Food, Cooking, and the Table","author":[{"family":"Montanari","given":"Massimo"}],"translator":[{"family":"Brombert","given":"Beth A."}],"issued":{"date-parts":[["2012"]]}}}],"schema":"https://github.com/citation-style-language/schema/raw/master/csl-citation.json"} </w:instrText>
      </w:r>
      <w:r w:rsidR="009572FF">
        <w:rPr>
          <w:rFonts w:ascii="Times New Roman" w:eastAsia="Times New Roman" w:hAnsi="Times New Roman" w:cs="Times New Roman"/>
          <w:sz w:val="24"/>
          <w:szCs w:val="24"/>
        </w:rPr>
        <w:fldChar w:fldCharType="separate"/>
      </w:r>
      <w:r w:rsidR="009572FF" w:rsidRPr="009572FF">
        <w:rPr>
          <w:rFonts w:ascii="Times New Roman" w:hAnsi="Times New Roman" w:cs="Times New Roman"/>
          <w:sz w:val="24"/>
          <w:szCs w:val="24"/>
          <w:vertAlign w:val="superscript"/>
        </w:rPr>
        <w:t>3</w:t>
      </w:r>
      <w:r w:rsidR="009572FF">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C</w:t>
      </w:r>
      <w:r>
        <w:rPr>
          <w:rFonts w:ascii="Times New Roman" w:eastAsia="Times New Roman" w:hAnsi="Times New Roman" w:cs="Times New Roman"/>
          <w:sz w:val="24"/>
          <w:szCs w:val="24"/>
          <w:vertAlign w:val="subscript"/>
        </w:rPr>
        <w:t>3</w:t>
      </w:r>
      <w:r>
        <w:rPr>
          <w:rFonts w:ascii="Times New Roman" w:eastAsia="Times New Roman" w:hAnsi="Times New Roman" w:cs="Times New Roman"/>
          <w:sz w:val="24"/>
          <w:szCs w:val="24"/>
        </w:rPr>
        <w:t xml:space="preserve"> plants, C</w:t>
      </w:r>
      <w:r>
        <w:rPr>
          <w:rFonts w:ascii="Times New Roman" w:eastAsia="Times New Roman" w:hAnsi="Times New Roman" w:cs="Times New Roman"/>
          <w:sz w:val="24"/>
          <w:szCs w:val="24"/>
          <w:vertAlign w:val="subscript"/>
        </w:rPr>
        <w:t>4</w:t>
      </w:r>
      <w:r>
        <w:rPr>
          <w:rFonts w:ascii="Times New Roman" w:eastAsia="Times New Roman" w:hAnsi="Times New Roman" w:cs="Times New Roman"/>
          <w:sz w:val="24"/>
          <w:szCs w:val="24"/>
        </w:rPr>
        <w:t xml:space="preserve"> cereals, Cattle, Sheep/Goat, Pig, Poultry, and Marine Resources. </w:t>
      </w:r>
      <w:r w:rsidR="00B72050">
        <w:rPr>
          <w:rFonts w:ascii="Times New Roman" w:eastAsia="Times New Roman" w:hAnsi="Times New Roman" w:cs="Times New Roman"/>
          <w:sz w:val="24"/>
          <w:szCs w:val="24"/>
        </w:rPr>
        <w:t>Freshwater resources were not considered for the model, given that there are no archaeological or historical indications that local freshwater streams could provide for significant amount of foodstuff</w:t>
      </w:r>
      <w:r w:rsidR="009572FF">
        <w:rPr>
          <w:rFonts w:ascii="Times New Roman" w:eastAsia="Times New Roman" w:hAnsi="Times New Roman" w:cs="Times New Roman"/>
          <w:sz w:val="24"/>
          <w:szCs w:val="24"/>
        </w:rPr>
        <w:fldChar w:fldCharType="begin"/>
      </w:r>
      <w:r w:rsidR="009572FF">
        <w:rPr>
          <w:rFonts w:ascii="Times New Roman" w:eastAsia="Times New Roman" w:hAnsi="Times New Roman" w:cs="Times New Roman"/>
          <w:sz w:val="24"/>
          <w:szCs w:val="24"/>
        </w:rPr>
        <w:instrText xml:space="preserve"> ADDIN ZOTERO_ITEM CSL_CITATION {"citationID":"jeLUnbbS","properties":{"formattedCitation":"\\super 4\\nosupersub{}","plainCitation":"4","noteIndex":0},"citationItems":[{"id":13282,"uris":["http://zotero.org/users/8768602/items/68GFPFVC"],"itemData":{"id":13282,"type":"paper-conference","container-title":"Atti del 5° Convegno Nazionale di Archeozoologia, Rovereto, 10-12 Novembre 2006","event-place":"Rovereto","page":"289-292","publisher":"Pubblicazione del Museo Civico di Rovereto","publisher-place":"Rovereto","title":"Analisi dei resti itici da alcuni contesti archeologici della Puglia di età tardoantica e medievale","author":[{"family":"Battafarano","given":"Maria"},{"family":"De Grossi Mazzorin","given":"Jacopo"}],"issued":{"date-parts":[["2010"]]}}}],"schema":"https://github.com/citation-style-language/schema/raw/master/csl-citation.json"} </w:instrText>
      </w:r>
      <w:r w:rsidR="009572FF">
        <w:rPr>
          <w:rFonts w:ascii="Times New Roman" w:eastAsia="Times New Roman" w:hAnsi="Times New Roman" w:cs="Times New Roman"/>
          <w:sz w:val="24"/>
          <w:szCs w:val="24"/>
        </w:rPr>
        <w:fldChar w:fldCharType="separate"/>
      </w:r>
      <w:r w:rsidR="009572FF" w:rsidRPr="009572FF">
        <w:rPr>
          <w:rFonts w:ascii="Times New Roman" w:hAnsi="Times New Roman" w:cs="Times New Roman"/>
          <w:sz w:val="24"/>
          <w:szCs w:val="24"/>
          <w:vertAlign w:val="superscript"/>
        </w:rPr>
        <w:t>4</w:t>
      </w:r>
      <w:r w:rsidR="009572FF">
        <w:rPr>
          <w:rFonts w:ascii="Times New Roman" w:eastAsia="Times New Roman" w:hAnsi="Times New Roman" w:cs="Times New Roman"/>
          <w:sz w:val="24"/>
          <w:szCs w:val="24"/>
        </w:rPr>
        <w:fldChar w:fldCharType="end"/>
      </w:r>
      <w:r w:rsidR="00B72050">
        <w:rPr>
          <w:rFonts w:ascii="Times New Roman" w:eastAsia="Times New Roman" w:hAnsi="Times New Roman" w:cs="Times New Roman"/>
          <w:sz w:val="24"/>
          <w:szCs w:val="24"/>
        </w:rPr>
        <w:t xml:space="preserve">. Moreover, freshwater resources typically present </w:t>
      </w:r>
      <w:r w:rsidR="00B72050" w:rsidRPr="00DA3625">
        <w:rPr>
          <w:rFonts w:ascii="Times New Roman" w:eastAsia="Times New Roman" w:hAnsi="Times New Roman" w:cs="Times New Roman"/>
          <w:sz w:val="24"/>
          <w:szCs w:val="24"/>
          <w:vertAlign w:val="superscript"/>
        </w:rPr>
        <w:t>13</w:t>
      </w:r>
      <w:r w:rsidR="00B72050">
        <w:rPr>
          <w:rFonts w:ascii="Times New Roman" w:eastAsia="Times New Roman" w:hAnsi="Times New Roman" w:cs="Times New Roman"/>
          <w:sz w:val="24"/>
          <w:szCs w:val="24"/>
        </w:rPr>
        <w:t>C-depleted values</w:t>
      </w:r>
      <w:r w:rsidR="009572FF">
        <w:rPr>
          <w:rFonts w:ascii="Times New Roman" w:hAnsi="Times New Roman" w:cs="Times New Roman"/>
          <w:sz w:val="24"/>
          <w:szCs w:val="24"/>
          <w:vertAlign w:val="superscript"/>
        </w:rPr>
        <w:fldChar w:fldCharType="begin"/>
      </w:r>
      <w:r w:rsidR="009572FF">
        <w:rPr>
          <w:rFonts w:ascii="Times New Roman" w:hAnsi="Times New Roman" w:cs="Times New Roman"/>
          <w:sz w:val="24"/>
          <w:szCs w:val="24"/>
          <w:vertAlign w:val="superscript"/>
        </w:rPr>
        <w:instrText xml:space="preserve"> ADDIN ZOTERO_ITEM CSL_CITATION {"citationID":"QhbUXn29","properties":{"formattedCitation":"\\super 5\\nosupersub{}","plainCitation":"5","noteIndex":0},"citationItems":[{"id":397,"uris":["http://zotero.org/users/8768602/items/IR4K8GJX"],"itemData":{"id":397,"type":"article-journal","abstract":"Objectives The island cemetery site of Ostorf (Germany) consists of individual human graves containing Funnel Beaker ceramics dating to the Early or Middle Neolithic. However, previous isotope and radiocarbon analysis demonstrated that the Ostorf individuals had a diet rich in freshwater fish. The present study was undertaken to quantitatively reconstruct the diet of the Ostorf population and establish if dietary habits are consistent with the traditional characterization of a Neolithic diet. Methods Quantitative diet reconstruction was achieved through a novel approach consisting of the use of the Bayesian mixing model Food Reconstruction Using Isotopic Transferred Signals (FRUITS) to model isotope measurements from multiple dietary proxies (δ13Ccollagen, δ15Ncollagen, δ13Cbioapatite, δ34Smethione, 14Ccollagen). The accuracy of model estimates was verified by comparing the agreement between observed and estimated human dietary radiocarbon reservoir effects. Results Quantitative diet reconstruction estimates confirm that the Ostorf individuals had a high protein intake due to the consumption of fish and terrestrial animal products. However, FRUITS estimates also show that plant foods represented a significant source of calories. Observed and estimated human dietary radiocarbon reservoir effects are in good agreement provided that the aquatic reservoir effect at Lake Ostorf is taken as reference. Conclusions The Ostorf population apparently adopted elements associated with a Neolithic culture but adapted to available local food resources and implemented a subsistence strategy that involved a large proportion of fish and terrestrial meat consumption. This case study exemplifies the diversity of subsistence strategies followed during the Neolithic. Am J Phys Anthropol 158:325–340, 2015. © 2015 Wiley Periodicals, Inc.","container-title":"American Journal of Physical Anthropology","DOI":"10.1002/ajpa.22788","ISSN":"1096-8644","issue":"2","language":"en","note":"_eprint: https://onlinelibrary.wiley.com/doi/pdf/10.1002/ajpa.22788","page":"325-340","source":"Wiley Online Library","title":"Quantitative diet reconstruction of a Neolithic population using a Bayesian mixing model (FRUITS): The case study of Ostorf (Germany)","title-short":"Quantitative diet reconstruction of a Neolithic population using a Bayesian mixing model (FRUITS)","volume":"158","author":[{"family":"Fernandes","given":"Ricardo"},{"family":"Grootes","given":"Pieter"},{"family":"Nadeau","given":"Marie-Josée"},{"family":"Nehlich","given":"Olaf"}],"issued":{"date-parts":[["2015"]]}}}],"schema":"https://github.com/citation-style-language/schema/raw/master/csl-citation.json"} </w:instrText>
      </w:r>
      <w:r w:rsidR="009572FF">
        <w:rPr>
          <w:rFonts w:ascii="Times New Roman" w:hAnsi="Times New Roman" w:cs="Times New Roman"/>
          <w:sz w:val="24"/>
          <w:szCs w:val="24"/>
          <w:vertAlign w:val="superscript"/>
        </w:rPr>
        <w:fldChar w:fldCharType="separate"/>
      </w:r>
      <w:r w:rsidR="009572FF" w:rsidRPr="009572FF">
        <w:rPr>
          <w:rFonts w:ascii="Times New Roman" w:hAnsi="Times New Roman" w:cs="Times New Roman"/>
          <w:sz w:val="24"/>
          <w:szCs w:val="24"/>
          <w:vertAlign w:val="superscript"/>
        </w:rPr>
        <w:t>5</w:t>
      </w:r>
      <w:r w:rsidR="009572FF">
        <w:rPr>
          <w:rFonts w:ascii="Times New Roman" w:hAnsi="Times New Roman" w:cs="Times New Roman"/>
          <w:sz w:val="24"/>
          <w:szCs w:val="24"/>
          <w:vertAlign w:val="superscript"/>
        </w:rPr>
        <w:fldChar w:fldCharType="end"/>
      </w:r>
      <w:r w:rsidR="00B72050">
        <w:rPr>
          <w:rFonts w:ascii="Times New Roman" w:eastAsia="Times New Roman" w:hAnsi="Times New Roman" w:cs="Times New Roman"/>
          <w:sz w:val="24"/>
          <w:szCs w:val="24"/>
          <w:vertAlign w:val="superscript"/>
        </w:rPr>
        <w:t xml:space="preserve"> </w:t>
      </w:r>
      <w:r w:rsidR="00B72050">
        <w:rPr>
          <w:rFonts w:ascii="Times New Roman" w:eastAsia="Times New Roman" w:hAnsi="Times New Roman" w:cs="Times New Roman"/>
          <w:sz w:val="24"/>
          <w:szCs w:val="24"/>
        </w:rPr>
        <w:t xml:space="preserve">that are not observed in our isotopic results.  </w:t>
      </w:r>
      <w:r>
        <w:rPr>
          <w:rFonts w:ascii="Times New Roman" w:eastAsia="Times New Roman" w:hAnsi="Times New Roman" w:cs="Times New Roman"/>
          <w:sz w:val="24"/>
          <w:szCs w:val="24"/>
        </w:rPr>
        <w:t>Estimates of the caloric contributions from these food groups were generated independently for adult population isotopic means (δ</w:t>
      </w:r>
      <w:r>
        <w:rPr>
          <w:rFonts w:ascii="Times New Roman" w:eastAsia="Times New Roman" w:hAnsi="Times New Roman" w:cs="Times New Roman"/>
          <w:sz w:val="24"/>
          <w:szCs w:val="24"/>
          <w:vertAlign w:val="superscript"/>
        </w:rPr>
        <w:t>13</w:t>
      </w:r>
      <w:r>
        <w:rPr>
          <w:rFonts w:ascii="Times New Roman" w:eastAsia="Times New Roman" w:hAnsi="Times New Roman" w:cs="Times New Roman"/>
          <w:sz w:val="24"/>
          <w:szCs w:val="24"/>
        </w:rPr>
        <w:t>C</w:t>
      </w:r>
      <w:r>
        <w:rPr>
          <w:rFonts w:ascii="Times New Roman" w:eastAsia="Times New Roman" w:hAnsi="Times New Roman" w:cs="Times New Roman"/>
          <w:sz w:val="24"/>
          <w:szCs w:val="24"/>
          <w:vertAlign w:val="subscript"/>
        </w:rPr>
        <w:t>Collagen</w:t>
      </w:r>
      <w:r>
        <w:rPr>
          <w:rFonts w:ascii="Times New Roman" w:eastAsia="Times New Roman" w:hAnsi="Times New Roman" w:cs="Times New Roman"/>
          <w:sz w:val="24"/>
          <w:szCs w:val="24"/>
        </w:rPr>
        <w:t>, δ</w:t>
      </w:r>
      <w:r>
        <w:rPr>
          <w:rFonts w:ascii="Times New Roman" w:eastAsia="Times New Roman" w:hAnsi="Times New Roman" w:cs="Times New Roman"/>
          <w:sz w:val="24"/>
          <w:szCs w:val="24"/>
          <w:vertAlign w:val="superscript"/>
        </w:rPr>
        <w:t>15</w:t>
      </w:r>
      <w:r>
        <w:rPr>
          <w:rFonts w:ascii="Times New Roman" w:eastAsia="Times New Roman" w:hAnsi="Times New Roman" w:cs="Times New Roman"/>
          <w:sz w:val="24"/>
          <w:szCs w:val="24"/>
        </w:rPr>
        <w:t>N</w:t>
      </w:r>
      <w:r>
        <w:rPr>
          <w:rFonts w:ascii="Times New Roman" w:eastAsia="Times New Roman" w:hAnsi="Times New Roman" w:cs="Times New Roman"/>
          <w:sz w:val="24"/>
          <w:szCs w:val="24"/>
          <w:vertAlign w:val="subscript"/>
        </w:rPr>
        <w:t>Collagen</w:t>
      </w:r>
      <w:r>
        <w:rPr>
          <w:rFonts w:ascii="Times New Roman" w:eastAsia="Times New Roman" w:hAnsi="Times New Roman" w:cs="Times New Roman"/>
          <w:sz w:val="24"/>
          <w:szCs w:val="24"/>
        </w:rPr>
        <w:t>, and δ</w:t>
      </w:r>
      <w:r>
        <w:rPr>
          <w:rFonts w:ascii="Times New Roman" w:eastAsia="Times New Roman" w:hAnsi="Times New Roman" w:cs="Times New Roman"/>
          <w:sz w:val="24"/>
          <w:szCs w:val="24"/>
          <w:vertAlign w:val="superscript"/>
        </w:rPr>
        <w:t>13</w:t>
      </w:r>
      <w:r>
        <w:rPr>
          <w:rFonts w:ascii="Times New Roman" w:eastAsia="Times New Roman" w:hAnsi="Times New Roman" w:cs="Times New Roman"/>
          <w:sz w:val="24"/>
          <w:szCs w:val="24"/>
        </w:rPr>
        <w:t>C</w:t>
      </w:r>
      <w:r>
        <w:rPr>
          <w:rFonts w:ascii="Times New Roman" w:eastAsia="Times New Roman" w:hAnsi="Times New Roman" w:cs="Times New Roman"/>
          <w:sz w:val="24"/>
          <w:szCs w:val="24"/>
          <w:vertAlign w:val="subscript"/>
        </w:rPr>
        <w:t>Carbonate</w:t>
      </w:r>
      <w:r>
        <w:rPr>
          <w:rFonts w:ascii="Times New Roman" w:eastAsia="Times New Roman" w:hAnsi="Times New Roman" w:cs="Times New Roman"/>
          <w:sz w:val="24"/>
          <w:szCs w:val="24"/>
        </w:rPr>
        <w:t>) for Tertiveri (clusters 1 and 2 separately), San Lorenzo in Carminiano, and Montecorvino.</w:t>
      </w:r>
    </w:p>
    <w:p w:rsidR="000D5224" w:rsidRDefault="00702E5B">
      <w:p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food isotopic references for terrestrial fauna relied on available data from Tertiveri and Montecorvino. For other food sources, we relied on previously published values. For marine foods, we relied on isotopic data for Mediterranean fish from the medieval period published by Gismondi </w:t>
      </w:r>
      <w:r>
        <w:rPr>
          <w:rFonts w:ascii="Times New Roman" w:eastAsia="Times New Roman" w:hAnsi="Times New Roman" w:cs="Times New Roman"/>
          <w:i/>
          <w:sz w:val="24"/>
          <w:szCs w:val="24"/>
        </w:rPr>
        <w:t>et al.</w:t>
      </w:r>
      <w:r>
        <w:rPr>
          <w:rFonts w:ascii="Times New Roman" w:eastAsia="Times New Roman" w:hAnsi="Times New Roman" w:cs="Times New Roman"/>
          <w:sz w:val="24"/>
          <w:szCs w:val="24"/>
        </w:rPr>
        <w:t xml:space="preserve"> (2020)</w:t>
      </w:r>
      <w:r w:rsidR="009572FF">
        <w:rPr>
          <w:rFonts w:ascii="Times New Roman" w:eastAsia="Times New Roman" w:hAnsi="Times New Roman" w:cs="Times New Roman"/>
          <w:sz w:val="24"/>
          <w:szCs w:val="24"/>
        </w:rPr>
        <w:fldChar w:fldCharType="begin"/>
      </w:r>
      <w:r w:rsidR="009572FF">
        <w:rPr>
          <w:rFonts w:ascii="Times New Roman" w:eastAsia="Times New Roman" w:hAnsi="Times New Roman" w:cs="Times New Roman"/>
          <w:sz w:val="24"/>
          <w:szCs w:val="24"/>
        </w:rPr>
        <w:instrText xml:space="preserve"> ADDIN ZOTERO_ITEM CSL_CITATION {"citationID":"vaOtJQ3I","properties":{"formattedCitation":"\\super 6\\nosupersub{}","plainCitation":"6","noteIndex":0},"citationItems":[{"id":220,"uris":["http://zotero.org/users/8768602/items/GT5CJXGI"],"itemData":{"id":220,"type":"article-journal","abstract":"A multidisciplinary approach, combining stable isotope analysis from bone proteins and investigations on dental calculus using DNA analysis, light microscopy, and gas chromatography coupled with mass spectrometry, was applied to reconstruct dietary and medicinal habits of the individuals recovered in the cemetery of the Castle of Santa Severa (7th-15th centuries CE; Rome, Italy). Stable isotope analysis was performed on 120 humans, 41 faunal specimens and 8 charred seeds. Dental calculus analyses were carried out on 94 samples. Overall, isotope data indicated an omnivorous diet based on C3-terrestrial protein, although some individuals possessed carbon values indicative of C4 plant consumption. In terms of animal protein, the diet was probably based on cattle, sheep, pig and chicken products, as witnessed by the archaeozoological findings. Evidence from calculus suggested the consumption of C3 cereals, Fabaceae, Fagaceae, milk and dairy products. Secondary metabolites of herbs and wine were also detected. The detection of marine fish ancient DNA, as well as of ω3 fatty acids in calculus, hypothesized the consumption of marine foodstuffs for this coastal population, despite the lack of a clear marine isotopic signal and the presence of polyunsaturated fatty acids in plant tissues. Moreover, the knowledge of ethnopharmacological tradition and the application of medicinal plants (e.g. Punica granatum L., Ephedra sp. L.) were also identified. The detection of artemisinin, known to have antimalarial properties, led to hypothesize the presence of malaria in the area. Altogether, the combined application of microscopy and biomolecular techniques provided an innovative reconstruction of Medieval lifeways in Central Italy.","container-title":"PLOS ONE","DOI":"10.1371/journal.pone.0227433","ISSN":"1932-6203","issue":"1","journalAbbreviation":"PLoS ONE","language":"en","page":"e0227433","source":"DOI.org (Crossref)","title":"A multidisciplinary approach for investigating dietary and medicinal habits of the Medieval population of Santa Severa (7th-15th centuries, Rome, Italy)","volume":"15","author":[{"family":"Gismondi","given":"Angelo"},{"family":"Baldoni","given":"Marica"},{"family":"Gnes","given":"Micaela"},{"family":"Scorrano","given":"Gabriele"},{"family":"D’Agostino","given":"Alessia"},{"family":"Di Marco","given":"Gabriele"},{"family":"Calabria","given":"Giulietta"},{"family":"Petrucci","given":"Michela"},{"family":"Müldner","given":"Gundula"},{"family":"Von Tersch","given":"Matthew"},{"family":"Nardi","given":"Alessandra"},{"family":"Enei","given":"Flavio"},{"family":"Canini","given":"Antonella"},{"family":"Rickards","given":"Olga"},{"family":"Alexander","given":"Michelle"},{"family":"Martínez-Labarga","given":"Cristina"}],"issued":{"date-parts":[["2020",1,28]]}}}],"schema":"https://github.com/citation-style-language/schema/raw/master/csl-citation.json"} </w:instrText>
      </w:r>
      <w:r w:rsidR="009572FF">
        <w:rPr>
          <w:rFonts w:ascii="Times New Roman" w:eastAsia="Times New Roman" w:hAnsi="Times New Roman" w:cs="Times New Roman"/>
          <w:sz w:val="24"/>
          <w:szCs w:val="24"/>
        </w:rPr>
        <w:fldChar w:fldCharType="separate"/>
      </w:r>
      <w:r w:rsidR="009572FF" w:rsidRPr="009572FF">
        <w:rPr>
          <w:rFonts w:ascii="Times New Roman" w:hAnsi="Times New Roman" w:cs="Times New Roman"/>
          <w:sz w:val="24"/>
          <w:szCs w:val="24"/>
          <w:vertAlign w:val="superscript"/>
        </w:rPr>
        <w:t>6</w:t>
      </w:r>
      <w:r w:rsidR="009572FF">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Reference isotopic values for C</w:t>
      </w:r>
      <w:r>
        <w:rPr>
          <w:rFonts w:ascii="Times New Roman" w:eastAsia="Times New Roman" w:hAnsi="Times New Roman" w:cs="Times New Roman"/>
          <w:sz w:val="24"/>
          <w:szCs w:val="24"/>
          <w:vertAlign w:val="subscript"/>
        </w:rPr>
        <w:t>3</w:t>
      </w:r>
      <w:r>
        <w:rPr>
          <w:rFonts w:ascii="Times New Roman" w:eastAsia="Times New Roman" w:hAnsi="Times New Roman" w:cs="Times New Roman"/>
          <w:sz w:val="24"/>
          <w:szCs w:val="24"/>
        </w:rPr>
        <w:t xml:space="preserve"> plants were obtained from the same publication, as these are the geographically closest available measurements for medieval southern Italy. There was no available isotopic data for medieval C</w:t>
      </w:r>
      <w:r>
        <w:rPr>
          <w:rFonts w:ascii="Times New Roman" w:eastAsia="Times New Roman" w:hAnsi="Times New Roman" w:cs="Times New Roman"/>
          <w:sz w:val="24"/>
          <w:szCs w:val="24"/>
          <w:vertAlign w:val="subscript"/>
        </w:rPr>
        <w:t>4</w:t>
      </w:r>
      <w:r>
        <w:rPr>
          <w:rFonts w:ascii="Times New Roman" w:eastAsia="Times New Roman" w:hAnsi="Times New Roman" w:cs="Times New Roman"/>
          <w:sz w:val="24"/>
          <w:szCs w:val="24"/>
        </w:rPr>
        <w:t xml:space="preserve"> cereals and we relied on values reported for Bronze Age Greece by Nitsch </w:t>
      </w:r>
      <w:r>
        <w:rPr>
          <w:rFonts w:ascii="Times New Roman" w:eastAsia="Times New Roman" w:hAnsi="Times New Roman" w:cs="Times New Roman"/>
          <w:i/>
          <w:sz w:val="24"/>
          <w:szCs w:val="24"/>
        </w:rPr>
        <w:t xml:space="preserve">et al. </w:t>
      </w:r>
      <w:r>
        <w:rPr>
          <w:rFonts w:ascii="Times New Roman" w:eastAsia="Times New Roman" w:hAnsi="Times New Roman" w:cs="Times New Roman"/>
          <w:sz w:val="24"/>
          <w:szCs w:val="24"/>
        </w:rPr>
        <w:t>(2017)</w:t>
      </w:r>
      <w:r w:rsidR="009572FF">
        <w:rPr>
          <w:rFonts w:ascii="Times New Roman" w:eastAsia="Times New Roman" w:hAnsi="Times New Roman" w:cs="Times New Roman"/>
          <w:sz w:val="24"/>
          <w:szCs w:val="24"/>
        </w:rPr>
        <w:fldChar w:fldCharType="begin"/>
      </w:r>
      <w:r w:rsidR="009572FF">
        <w:rPr>
          <w:rFonts w:ascii="Times New Roman" w:eastAsia="Times New Roman" w:hAnsi="Times New Roman" w:cs="Times New Roman"/>
          <w:sz w:val="24"/>
          <w:szCs w:val="24"/>
        </w:rPr>
        <w:instrText xml:space="preserve"> ADDIN ZOTERO_ITEM CSL_CITATION {"citationID":"j4eF5pi2","properties":{"formattedCitation":"\\super 7\\nosupersub{}","plainCitation":"7","noteIndex":0},"citationItems":[{"id":1644,"uris":["http://zotero.org/users/8768602/items/9TA3E79W"],"itemData":{"id":1644,"type":"article-journal","abstract":"We use stable isotope analysis of crop, faunal and human remains to investigate agricultural strategies and diet at EBA-LBA Archontiko and MBA-LBA Thessaloniki Toumba. Crop production strategies varied between settlements, phases and species; flexibility is also apparent within the crop stores of individual houses. Escalating manuring intensity at LBA Thessaloniki Toumba coincides with large co-residential ‘blocks’ geared towards hoarding of agricultural surpluses, spectacularly preserved by fire at nearby LBA Assiros Toumba. Faunal isotope values reflect a range of feeding strategies, including probable herding of cattle on C4-rich coastal salt marshes, evident at Archontiko through to the LBA alongside bulk cockle harvesting. Palaeodietary analysis of LBA humans at Thessaloniki Toumba indicates that C3 crops represent the only plausible staples. Millet was a minor food but may have played a particular role in the sub-adult diet. Meat probably featured in supra-household food sharing and hospitality, associated with Mycenaean-style tableware in the LBA.","container-title":"World Archaeology","DOI":"10.1080/00438243.2016.1271745","ISSN":"0043-8243","issue":"1","note":"publisher: Routledge\n_eprint: https://doi.org/10.1080/00438243.2016.1271745","page":"105-137","source":"Taylor and Francis+NEJM","title":"A bottom-up view of food surplus: using stable carbon and nitrogen isotope analysis to investigate agricultural strategies and diet at Bronze Age Archontiko and Thessaloniki Toumba, northern Greece","title-short":"A bottom-up view of food surplus","volume":"49","author":[{"family":"Nitsch","given":"Erika"},{"family":"Andreou","given":"Stelios"},{"family":"Creuzieux","given":"Aurélien"},{"family":"Gardeisen","given":"Armelle"},{"family":"Halstead","given":"Paul"},{"family":"Isaakidou","given":"Valasia"},{"family":"Karathanou","given":"Angeliki"},{"family":"Kotsachristou","given":"Dimitra"},{"family":"Nikolaidou","given":"Daphne"},{"family":"Papanthimou","given":"Aikaterini"},{"family":"Petridou","given":"Chryssa"},{"family":"Triantaphyllou","given":"Sevi"},{"family":"Valamoti","given":"Soultana M."},{"family":"Vasileiadou","given":"Anastasia"},{"family":"Bogaard","given":"Amy"}],"issued":{"date-parts":[["2017",1,1]]}}}],"schema":"https://github.com/citation-style-language/schema/raw/master/csl-citation.json"} </w:instrText>
      </w:r>
      <w:r w:rsidR="009572FF">
        <w:rPr>
          <w:rFonts w:ascii="Times New Roman" w:eastAsia="Times New Roman" w:hAnsi="Times New Roman" w:cs="Times New Roman"/>
          <w:sz w:val="24"/>
          <w:szCs w:val="24"/>
        </w:rPr>
        <w:fldChar w:fldCharType="separate"/>
      </w:r>
      <w:r w:rsidR="009572FF" w:rsidRPr="009572FF">
        <w:rPr>
          <w:rFonts w:ascii="Times New Roman" w:hAnsi="Times New Roman" w:cs="Times New Roman"/>
          <w:sz w:val="24"/>
          <w:szCs w:val="24"/>
          <w:vertAlign w:val="superscript"/>
        </w:rPr>
        <w:t>7</w:t>
      </w:r>
      <w:r w:rsidR="009572FF">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Albeit these belong to a different chronological horizon, Greece presents a temperate Mediterranean climate and a </w:t>
      </w:r>
      <w:r>
        <w:rPr>
          <w:rFonts w:ascii="Times New Roman" w:eastAsia="Times New Roman" w:hAnsi="Times New Roman" w:cs="Times New Roman"/>
          <w:sz w:val="24"/>
          <w:szCs w:val="24"/>
        </w:rPr>
        <w:lastRenderedPageBreak/>
        <w:t>similar environment to southern Italy. δ</w:t>
      </w:r>
      <w:r>
        <w:rPr>
          <w:rFonts w:ascii="Times New Roman" w:eastAsia="Times New Roman" w:hAnsi="Times New Roman" w:cs="Times New Roman"/>
          <w:sz w:val="24"/>
          <w:szCs w:val="24"/>
          <w:vertAlign w:val="superscript"/>
        </w:rPr>
        <w:t>13</w:t>
      </w:r>
      <w:r>
        <w:rPr>
          <w:rFonts w:ascii="Times New Roman" w:eastAsia="Times New Roman" w:hAnsi="Times New Roman" w:cs="Times New Roman"/>
          <w:sz w:val="24"/>
          <w:szCs w:val="24"/>
        </w:rPr>
        <w:t>C and δ</w:t>
      </w:r>
      <w:r>
        <w:rPr>
          <w:rFonts w:ascii="Times New Roman" w:eastAsia="Times New Roman" w:hAnsi="Times New Roman" w:cs="Times New Roman"/>
          <w:sz w:val="24"/>
          <w:szCs w:val="24"/>
          <w:vertAlign w:val="superscript"/>
        </w:rPr>
        <w:t>15</w:t>
      </w:r>
      <w:r>
        <w:rPr>
          <w:rFonts w:ascii="Times New Roman" w:eastAsia="Times New Roman" w:hAnsi="Times New Roman" w:cs="Times New Roman"/>
          <w:sz w:val="24"/>
          <w:szCs w:val="24"/>
        </w:rPr>
        <w:t>N values for food remains are listed below in table S3.1.</w:t>
      </w:r>
    </w:p>
    <w:p w:rsidR="000D5224" w:rsidRDefault="000D5224">
      <w:pPr>
        <w:spacing w:after="200" w:line="360" w:lineRule="auto"/>
        <w:jc w:val="both"/>
        <w:rPr>
          <w:rFonts w:ascii="Times New Roman" w:eastAsia="Times New Roman" w:hAnsi="Times New Roman" w:cs="Times New Roman"/>
          <w:sz w:val="24"/>
          <w:szCs w:val="24"/>
        </w:rPr>
      </w:pPr>
    </w:p>
    <w:tbl>
      <w:tblPr>
        <w:tblStyle w:val="a"/>
        <w:tblW w:w="831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770"/>
        <w:gridCol w:w="2770"/>
        <w:gridCol w:w="2770"/>
      </w:tblGrid>
      <w:tr w:rsidR="000D5224" w:rsidTr="00702E5B">
        <w:trPr>
          <w:trHeight w:val="946"/>
        </w:trPr>
        <w:tc>
          <w:tcPr>
            <w:tcW w:w="2770" w:type="dxa"/>
            <w:tcMar>
              <w:top w:w="100" w:type="dxa"/>
              <w:left w:w="100" w:type="dxa"/>
              <w:bottom w:w="100" w:type="dxa"/>
              <w:right w:w="100" w:type="dxa"/>
            </w:tcMar>
          </w:tcPr>
          <w:p w:rsidR="000D5224" w:rsidRDefault="000D5224">
            <w:pPr>
              <w:widowControl w:val="0"/>
              <w:spacing w:after="200"/>
              <w:rPr>
                <w:rFonts w:ascii="Times New Roman" w:eastAsia="Times New Roman" w:hAnsi="Times New Roman" w:cs="Times New Roman"/>
                <w:sz w:val="24"/>
                <w:szCs w:val="24"/>
              </w:rPr>
            </w:pPr>
          </w:p>
        </w:tc>
        <w:tc>
          <w:tcPr>
            <w:tcW w:w="2770"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vertAlign w:val="subscript"/>
              </w:rPr>
            </w:pPr>
            <w:r>
              <w:rPr>
                <w:rFonts w:ascii="Times New Roman" w:eastAsia="Times New Roman" w:hAnsi="Times New Roman" w:cs="Times New Roman"/>
                <w:sz w:val="24"/>
                <w:szCs w:val="24"/>
              </w:rPr>
              <w:t>δ</w:t>
            </w:r>
            <w:r>
              <w:rPr>
                <w:rFonts w:ascii="Times New Roman" w:eastAsia="Times New Roman" w:hAnsi="Times New Roman" w:cs="Times New Roman"/>
                <w:sz w:val="24"/>
                <w:szCs w:val="24"/>
                <w:vertAlign w:val="superscript"/>
              </w:rPr>
              <w:t>13</w:t>
            </w:r>
            <w:r>
              <w:rPr>
                <w:rFonts w:ascii="Times New Roman" w:eastAsia="Times New Roman" w:hAnsi="Times New Roman" w:cs="Times New Roman"/>
                <w:sz w:val="24"/>
                <w:szCs w:val="24"/>
              </w:rPr>
              <w:t>C</w:t>
            </w:r>
          </w:p>
        </w:tc>
        <w:tc>
          <w:tcPr>
            <w:tcW w:w="2770"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δ</w:t>
            </w:r>
            <w:r>
              <w:rPr>
                <w:rFonts w:ascii="Times New Roman" w:eastAsia="Times New Roman" w:hAnsi="Times New Roman" w:cs="Times New Roman"/>
                <w:sz w:val="24"/>
                <w:szCs w:val="24"/>
                <w:vertAlign w:val="superscript"/>
              </w:rPr>
              <w:t xml:space="preserve"> δ15</w:t>
            </w:r>
            <w:r>
              <w:rPr>
                <w:rFonts w:ascii="Times New Roman" w:eastAsia="Times New Roman" w:hAnsi="Times New Roman" w:cs="Times New Roman"/>
                <w:sz w:val="24"/>
                <w:szCs w:val="24"/>
              </w:rPr>
              <w:t>N</w:t>
            </w:r>
          </w:p>
        </w:tc>
      </w:tr>
      <w:tr w:rsidR="000D5224" w:rsidTr="00702E5B">
        <w:trPr>
          <w:trHeight w:val="946"/>
        </w:trPr>
        <w:tc>
          <w:tcPr>
            <w:tcW w:w="2770"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Charred C</w:t>
            </w:r>
            <w:r>
              <w:rPr>
                <w:rFonts w:ascii="Times New Roman" w:eastAsia="Times New Roman" w:hAnsi="Times New Roman" w:cs="Times New Roman"/>
                <w:sz w:val="24"/>
                <w:szCs w:val="24"/>
                <w:vertAlign w:val="subscript"/>
              </w:rPr>
              <w:t>3</w:t>
            </w:r>
            <w:r>
              <w:rPr>
                <w:rFonts w:ascii="Times New Roman" w:eastAsia="Times New Roman" w:hAnsi="Times New Roman" w:cs="Times New Roman"/>
                <w:sz w:val="24"/>
                <w:szCs w:val="24"/>
              </w:rPr>
              <w:t xml:space="preserve"> Plant remains</w:t>
            </w:r>
          </w:p>
        </w:tc>
        <w:tc>
          <w:tcPr>
            <w:tcW w:w="2770"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-22.6±0.9‰</w:t>
            </w:r>
          </w:p>
        </w:tc>
        <w:tc>
          <w:tcPr>
            <w:tcW w:w="2770"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4.1±1.6‰</w:t>
            </w:r>
          </w:p>
        </w:tc>
      </w:tr>
      <w:tr w:rsidR="000D5224" w:rsidTr="00702E5B">
        <w:trPr>
          <w:trHeight w:val="946"/>
        </w:trPr>
        <w:tc>
          <w:tcPr>
            <w:tcW w:w="2770"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Charred C</w:t>
            </w:r>
            <w:r>
              <w:rPr>
                <w:rFonts w:ascii="Times New Roman" w:eastAsia="Times New Roman" w:hAnsi="Times New Roman" w:cs="Times New Roman"/>
                <w:sz w:val="24"/>
                <w:szCs w:val="24"/>
                <w:vertAlign w:val="subscript"/>
              </w:rPr>
              <w:t>4</w:t>
            </w:r>
            <w:r>
              <w:rPr>
                <w:rFonts w:ascii="Times New Roman" w:eastAsia="Times New Roman" w:hAnsi="Times New Roman" w:cs="Times New Roman"/>
                <w:sz w:val="24"/>
                <w:szCs w:val="24"/>
              </w:rPr>
              <w:t xml:space="preserve"> Cereals remains</w:t>
            </w:r>
          </w:p>
        </w:tc>
        <w:tc>
          <w:tcPr>
            <w:tcW w:w="2770"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-10.4±0.3‰</w:t>
            </w:r>
          </w:p>
        </w:tc>
        <w:tc>
          <w:tcPr>
            <w:tcW w:w="2770"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6.8±2.7‰</w:t>
            </w:r>
          </w:p>
        </w:tc>
      </w:tr>
      <w:tr w:rsidR="000D5224" w:rsidTr="00702E5B">
        <w:trPr>
          <w:trHeight w:val="946"/>
        </w:trPr>
        <w:tc>
          <w:tcPr>
            <w:tcW w:w="2770"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Cattle bone collagen</w:t>
            </w:r>
          </w:p>
        </w:tc>
        <w:tc>
          <w:tcPr>
            <w:tcW w:w="2770"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-20.7±1.2‰</w:t>
            </w:r>
          </w:p>
        </w:tc>
        <w:tc>
          <w:tcPr>
            <w:tcW w:w="2770"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6.3±1.6‰</w:t>
            </w:r>
          </w:p>
        </w:tc>
      </w:tr>
      <w:tr w:rsidR="000D5224" w:rsidTr="00702E5B">
        <w:trPr>
          <w:trHeight w:val="946"/>
        </w:trPr>
        <w:tc>
          <w:tcPr>
            <w:tcW w:w="2770"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Ovicaprid bone collagen</w:t>
            </w:r>
          </w:p>
        </w:tc>
        <w:tc>
          <w:tcPr>
            <w:tcW w:w="2770"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-21.6±0.9‰</w:t>
            </w:r>
          </w:p>
        </w:tc>
        <w:tc>
          <w:tcPr>
            <w:tcW w:w="2770"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5.7±2.0‰</w:t>
            </w:r>
          </w:p>
        </w:tc>
      </w:tr>
      <w:tr w:rsidR="000D5224" w:rsidTr="00702E5B">
        <w:trPr>
          <w:trHeight w:val="946"/>
        </w:trPr>
        <w:tc>
          <w:tcPr>
            <w:tcW w:w="2770"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Pig bone/dentine collagen</w:t>
            </w:r>
          </w:p>
        </w:tc>
        <w:tc>
          <w:tcPr>
            <w:tcW w:w="2770"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-21.9±0.9‰</w:t>
            </w:r>
          </w:p>
        </w:tc>
        <w:tc>
          <w:tcPr>
            <w:tcW w:w="2770"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7.1±1.4‰</w:t>
            </w:r>
          </w:p>
        </w:tc>
      </w:tr>
      <w:tr w:rsidR="000D5224" w:rsidTr="00702E5B">
        <w:trPr>
          <w:trHeight w:val="946"/>
        </w:trPr>
        <w:tc>
          <w:tcPr>
            <w:tcW w:w="2770"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Poultry bone collagen</w:t>
            </w:r>
          </w:p>
        </w:tc>
        <w:tc>
          <w:tcPr>
            <w:tcW w:w="2770"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-21.1±0.7‰</w:t>
            </w:r>
          </w:p>
        </w:tc>
        <w:tc>
          <w:tcPr>
            <w:tcW w:w="2770"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9.5±0.9‰</w:t>
            </w:r>
          </w:p>
        </w:tc>
      </w:tr>
      <w:tr w:rsidR="000D5224" w:rsidTr="00702E5B">
        <w:trPr>
          <w:trHeight w:val="946"/>
        </w:trPr>
        <w:tc>
          <w:tcPr>
            <w:tcW w:w="2770"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Marine resources bone collagen</w:t>
            </w:r>
          </w:p>
        </w:tc>
        <w:tc>
          <w:tcPr>
            <w:tcW w:w="2770"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-10.7±3.3‰</w:t>
            </w:r>
          </w:p>
        </w:tc>
        <w:tc>
          <w:tcPr>
            <w:tcW w:w="2770"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11±1.7‰</w:t>
            </w:r>
          </w:p>
        </w:tc>
      </w:tr>
    </w:tbl>
    <w:p w:rsidR="000D5224" w:rsidRDefault="00702E5B">
      <w:p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Tab. S3.1. Isotopic values for food remains employed in Bayesian dietary modelling. These do not include corrections for offsets between edible tissues and food remains (e.g. muscle meat protein or lipids vs. bone collagen collagen). Corrected values are given in table S3.2.</w:t>
      </w:r>
    </w:p>
    <w:p w:rsidR="000D5224" w:rsidRDefault="000D5224">
      <w:pPr>
        <w:spacing w:after="200" w:line="360" w:lineRule="auto"/>
        <w:jc w:val="both"/>
        <w:rPr>
          <w:rFonts w:ascii="Times New Roman" w:eastAsia="Times New Roman" w:hAnsi="Times New Roman" w:cs="Times New Roman"/>
          <w:sz w:val="24"/>
          <w:szCs w:val="24"/>
        </w:rPr>
      </w:pPr>
    </w:p>
    <w:p w:rsidR="00702E5B" w:rsidRDefault="00702E5B">
      <w:pPr>
        <w:spacing w:after="200" w:line="360" w:lineRule="auto"/>
        <w:jc w:val="both"/>
        <w:rPr>
          <w:rFonts w:ascii="Times New Roman" w:eastAsia="Times New Roman" w:hAnsi="Times New Roman" w:cs="Times New Roman"/>
          <w:sz w:val="24"/>
          <w:szCs w:val="24"/>
        </w:rPr>
      </w:pPr>
    </w:p>
    <w:p w:rsidR="000D5224" w:rsidRDefault="00702E5B">
      <w:p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It is necessary to account for potential differences between the isotopic values measured on food remains and the actual edible food component. For this we employed known offsets to calculate the isotopic values of food macronutrients (protein </w:t>
      </w:r>
      <w:r>
        <w:rPr>
          <w:rFonts w:ascii="Times New Roman" w:eastAsia="Times New Roman" w:hAnsi="Times New Roman" w:cs="Times New Roman"/>
          <w:i/>
          <w:sz w:val="24"/>
          <w:szCs w:val="24"/>
        </w:rPr>
        <w:t>versus</w:t>
      </w:r>
      <w:r>
        <w:rPr>
          <w:rFonts w:ascii="Times New Roman" w:eastAsia="Times New Roman" w:hAnsi="Times New Roman" w:cs="Times New Roman"/>
          <w:sz w:val="24"/>
          <w:szCs w:val="24"/>
        </w:rPr>
        <w:t xml:space="preserve"> lipids/carbohydrates) from food remains. The following offset corrections were then applied, with uncertainties  for macronutrient isotopic values rounded up to multiples of 0.5‰ (these are based on Fernandes et al. 2015</w:t>
      </w:r>
      <w:r w:rsidR="009572FF">
        <w:rPr>
          <w:rFonts w:ascii="Times New Roman" w:eastAsia="Times New Roman" w:hAnsi="Times New Roman" w:cs="Times New Roman"/>
          <w:sz w:val="24"/>
          <w:szCs w:val="24"/>
        </w:rPr>
        <w:fldChar w:fldCharType="begin"/>
      </w:r>
      <w:r w:rsidR="009572FF">
        <w:rPr>
          <w:rFonts w:ascii="Times New Roman" w:eastAsia="Times New Roman" w:hAnsi="Times New Roman" w:cs="Times New Roman"/>
          <w:sz w:val="24"/>
          <w:szCs w:val="24"/>
        </w:rPr>
        <w:instrText xml:space="preserve"> ADDIN ZOTERO_ITEM CSL_CITATION {"citationID":"UUqfUaHZ","properties":{"formattedCitation":"\\super 5\\nosupersub{}","plainCitation":"5","noteIndex":0},"citationItems":[{"id":397,"uris":["http://zotero.org/users/8768602/items/IR4K8GJX"],"itemData":{"id":397,"type":"article-journal","abstract":"Objectives The island cemetery site of Ostorf (Germany) consists of individual human graves containing Funnel Beaker ceramics dating to the Early or Middle Neolithic. However, previous isotope and radiocarbon analysis demonstrated that the Ostorf individuals had a diet rich in freshwater fish. The present study was undertaken to quantitatively reconstruct the diet of the Ostorf population and establish if dietary habits are consistent with the traditional characterization of a Neolithic diet. Methods Quantitative diet reconstruction was achieved through a novel approach consisting of the use of the Bayesian mixing model Food Reconstruction Using Isotopic Transferred Signals (FRUITS) to model isotope measurements from multiple dietary proxies (δ13Ccollagen, δ15Ncollagen, δ13Cbioapatite, δ34Smethione, 14Ccollagen). The accuracy of model estimates was verified by comparing the agreement between observed and estimated human dietary radiocarbon reservoir effects. Results Quantitative diet reconstruction estimates confirm that the Ostorf individuals had a high protein intake due to the consumption of fish and terrestrial animal products. However, FRUITS estimates also show that plant foods represented a significant source of calories. Observed and estimated human dietary radiocarbon reservoir effects are in good agreement provided that the aquatic reservoir effect at Lake Ostorf is taken as reference. Conclusions The Ostorf population apparently adopted elements associated with a Neolithic culture but adapted to available local food resources and implemented a subsistence strategy that involved a large proportion of fish and terrestrial meat consumption. This case study exemplifies the diversity of subsistence strategies followed during the Neolithic. Am J Phys Anthropol 158:325–340, 2015. © 2015 Wiley Periodicals, Inc.","container-title":"American Journal of Physical Anthropology","DOI":"10.1002/ajpa.22788","ISSN":"1096-8644","issue":"2","language":"en","note":"_eprint: https://onlinelibrary.wiley.com/doi/pdf/10.1002/ajpa.22788","page":"325-340","source":"Wiley Online Library","title":"Quantitative diet reconstruction of a Neolithic population using a Bayesian mixing model (FRUITS): The case study of Ostorf (Germany)","title-short":"Quantitative diet reconstruction of a Neolithic population using a Bayesian mixing model (FRUITS)","volume":"158","author":[{"family":"Fernandes","given":"Ricardo"},{"family":"Grootes","given":"Pieter"},{"family":"Nadeau","given":"Marie-Josée"},{"family":"Nehlich","given":"Olaf"}],"issued":{"date-parts":[["2015"]]}}}],"schema":"https://github.com/citation-style-language/schema/raw/master/csl-citation.json"} </w:instrText>
      </w:r>
      <w:r w:rsidR="009572FF">
        <w:rPr>
          <w:rFonts w:ascii="Times New Roman" w:eastAsia="Times New Roman" w:hAnsi="Times New Roman" w:cs="Times New Roman"/>
          <w:sz w:val="24"/>
          <w:szCs w:val="24"/>
        </w:rPr>
        <w:fldChar w:fldCharType="separate"/>
      </w:r>
      <w:r w:rsidR="009572FF" w:rsidRPr="009572FF">
        <w:rPr>
          <w:rFonts w:ascii="Times New Roman" w:hAnsi="Times New Roman" w:cs="Times New Roman"/>
          <w:sz w:val="24"/>
          <w:szCs w:val="24"/>
          <w:vertAlign w:val="superscript"/>
        </w:rPr>
        <w:t>5</w:t>
      </w:r>
      <w:r w:rsidR="009572FF">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and include on update by Soncin </w:t>
      </w:r>
      <w:r>
        <w:rPr>
          <w:rFonts w:ascii="Times New Roman" w:eastAsia="Times New Roman" w:hAnsi="Times New Roman" w:cs="Times New Roman"/>
          <w:i/>
          <w:sz w:val="24"/>
          <w:szCs w:val="24"/>
        </w:rPr>
        <w:t>et al.</w:t>
      </w:r>
      <w:r>
        <w:rPr>
          <w:rFonts w:ascii="Times New Roman" w:eastAsia="Times New Roman" w:hAnsi="Times New Roman" w:cs="Times New Roman"/>
          <w:sz w:val="24"/>
          <w:szCs w:val="24"/>
        </w:rPr>
        <w:t xml:space="preserve"> 2021</w:t>
      </w:r>
      <w:r w:rsidR="009572FF">
        <w:rPr>
          <w:rFonts w:ascii="Times New Roman" w:eastAsia="Times New Roman" w:hAnsi="Times New Roman" w:cs="Times New Roman"/>
          <w:sz w:val="24"/>
          <w:szCs w:val="24"/>
        </w:rPr>
        <w:fldChar w:fldCharType="begin"/>
      </w:r>
      <w:r w:rsidR="009572FF">
        <w:rPr>
          <w:rFonts w:ascii="Times New Roman" w:eastAsia="Times New Roman" w:hAnsi="Times New Roman" w:cs="Times New Roman"/>
          <w:sz w:val="24"/>
          <w:szCs w:val="24"/>
        </w:rPr>
        <w:instrText xml:space="preserve"> ADDIN ZOTERO_ITEM CSL_CITATION {"citationID":"Mxig05oT","properties":{"formattedCitation":"\\super 8\\nosupersub{}","plainCitation":"8","noteIndex":0},"citationItems":[{"id":1643,"uris":["http://zotero.org/users/8768602/items/LGM7G5F6"],"itemData":{"id":1643,"type":"article-journal","abstract":"Compound-specific isotope analysis of human bone collagen provides a snapshot of dietary variability at Roman Herculaneum.","archive_location":"world","container-title":"Science Advances","DOI":"10.1126/sciadv.abg5791","language":"EN","license":"Copyright © 2021 The Authors, some rights reserved; exclusive licensee American Association for the Advancement of Science. No claim to original U.S. Government Works. Distributed under a Creative Commons Attribution License 4.0 (CC BY).","note":"publisher: American Association for the Advancement of Science","source":"www.science.org","title":"High-resolution dietary reconstruction of victims of the 79 CE Vesuvius eruption at Herculaneum by compound-specific isotope analysis","URL":"https://www.science.org/doi/abs/10.1126/sciadv.abg5791","author":[{"family":"Soncin","given":"Silvia"},{"family":"Talbot","given":"Helen M."},{"family":"Fernandes","given":"Ricardo"},{"family":"Harris","given":"Alison"},{"family":"Tersch","given":"Matthew","dropping-particle":"von"},{"family":"Robson","given":"Harry K."},{"family":"Bakker","given":"Jan K."},{"family":"Richter","given":"Kristine K."},{"family":"Alexander","given":"Michelle"},{"family":"Ellis","given":"Steven"},{"family":"Thompson","given":"Gill"},{"family":"Amoretti","given":"Valeria"},{"family":"Osanna","given":"Massimo"},{"family":"Caso","given":"Marina"},{"family":"Sirano","given":"Francesco"},{"family":"Fattore","given":"Luciano"},{"family":"Colonese","given":"Andre C."},{"family":"Garnsey","given":"Peter"},{"family":"Bondioli","given":"Luca"},{"family":"Craig","given":"Oliver E."}],"accessed":{"date-parts":[["2021",12,28]]},"issued":{"date-parts":[["2021",8]]}}}],"schema":"https://github.com/citation-style-language/schema/raw/master/csl-citation.json"} </w:instrText>
      </w:r>
      <w:r w:rsidR="009572FF">
        <w:rPr>
          <w:rFonts w:ascii="Times New Roman" w:eastAsia="Times New Roman" w:hAnsi="Times New Roman" w:cs="Times New Roman"/>
          <w:sz w:val="24"/>
          <w:szCs w:val="24"/>
        </w:rPr>
        <w:fldChar w:fldCharType="separate"/>
      </w:r>
      <w:r w:rsidR="009572FF" w:rsidRPr="009572FF">
        <w:rPr>
          <w:rFonts w:ascii="Times New Roman" w:hAnsi="Times New Roman" w:cs="Times New Roman"/>
          <w:sz w:val="24"/>
          <w:szCs w:val="24"/>
          <w:vertAlign w:val="superscript"/>
        </w:rPr>
        <w:t>8</w:t>
      </w:r>
      <w:r w:rsidR="009572FF">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Plants: Δ</w:t>
      </w:r>
      <w:r>
        <w:rPr>
          <w:rFonts w:ascii="Times New Roman" w:eastAsia="Times New Roman" w:hAnsi="Times New Roman" w:cs="Times New Roman"/>
          <w:sz w:val="24"/>
          <w:szCs w:val="24"/>
          <w:vertAlign w:val="superscript"/>
        </w:rPr>
        <w:t>13</w:t>
      </w:r>
      <w:r>
        <w:rPr>
          <w:rFonts w:ascii="Times New Roman" w:eastAsia="Times New Roman" w:hAnsi="Times New Roman" w:cs="Times New Roman"/>
          <w:sz w:val="24"/>
          <w:szCs w:val="24"/>
        </w:rPr>
        <w:t>C</w:t>
      </w:r>
      <w:r>
        <w:rPr>
          <w:rFonts w:ascii="Times New Roman" w:eastAsia="Times New Roman" w:hAnsi="Times New Roman" w:cs="Times New Roman"/>
          <w:sz w:val="24"/>
          <w:szCs w:val="24"/>
          <w:vertAlign w:val="subscript"/>
        </w:rPr>
        <w:t>protein-bulk</w:t>
      </w:r>
      <w:r>
        <w:rPr>
          <w:rFonts w:ascii="Times New Roman" w:eastAsia="Times New Roman" w:hAnsi="Times New Roman" w:cs="Times New Roman"/>
          <w:sz w:val="24"/>
          <w:szCs w:val="24"/>
        </w:rPr>
        <w:t>=-2‰, Δ</w:t>
      </w:r>
      <w:r>
        <w:rPr>
          <w:rFonts w:ascii="Times New Roman" w:eastAsia="Times New Roman" w:hAnsi="Times New Roman" w:cs="Times New Roman"/>
          <w:sz w:val="24"/>
          <w:szCs w:val="24"/>
          <w:vertAlign w:val="superscript"/>
        </w:rPr>
        <w:t>13</w:t>
      </w:r>
      <w:r>
        <w:rPr>
          <w:rFonts w:ascii="Times New Roman" w:eastAsia="Times New Roman" w:hAnsi="Times New Roman" w:cs="Times New Roman"/>
          <w:sz w:val="24"/>
          <w:szCs w:val="24"/>
        </w:rPr>
        <w:t>C</w:t>
      </w:r>
      <w:r>
        <w:rPr>
          <w:rFonts w:ascii="Times New Roman" w:eastAsia="Times New Roman" w:hAnsi="Times New Roman" w:cs="Times New Roman"/>
          <w:sz w:val="24"/>
          <w:szCs w:val="24"/>
          <w:vertAlign w:val="subscript"/>
        </w:rPr>
        <w:t>carbohydrates-bulk</w:t>
      </w:r>
      <w:r>
        <w:rPr>
          <w:rFonts w:ascii="Times New Roman" w:eastAsia="Times New Roman" w:hAnsi="Times New Roman" w:cs="Times New Roman"/>
          <w:sz w:val="24"/>
          <w:szCs w:val="24"/>
        </w:rPr>
        <w:t>=+0.5‰, Δ</w:t>
      </w:r>
      <w:r>
        <w:rPr>
          <w:rFonts w:ascii="Times New Roman" w:eastAsia="Times New Roman" w:hAnsi="Times New Roman" w:cs="Times New Roman"/>
          <w:sz w:val="24"/>
          <w:szCs w:val="24"/>
          <w:vertAlign w:val="superscript"/>
        </w:rPr>
        <w:t>15</w:t>
      </w:r>
      <w:r>
        <w:rPr>
          <w:rFonts w:ascii="Times New Roman" w:eastAsia="Times New Roman" w:hAnsi="Times New Roman" w:cs="Times New Roman"/>
          <w:sz w:val="24"/>
          <w:szCs w:val="24"/>
        </w:rPr>
        <w:t>N</w:t>
      </w:r>
      <w:r>
        <w:rPr>
          <w:rFonts w:ascii="Times New Roman" w:eastAsia="Times New Roman" w:hAnsi="Times New Roman" w:cs="Times New Roman"/>
          <w:sz w:val="24"/>
          <w:szCs w:val="24"/>
          <w:vertAlign w:val="subscript"/>
        </w:rPr>
        <w:t>protein-bulk</w:t>
      </w:r>
      <w:r>
        <w:rPr>
          <w:rFonts w:ascii="Times New Roman" w:eastAsia="Times New Roman" w:hAnsi="Times New Roman" w:cs="Times New Roman"/>
          <w:sz w:val="24"/>
          <w:szCs w:val="24"/>
        </w:rPr>
        <w:t>=0‰; terrestrial animals: Δ</w:t>
      </w:r>
      <w:r>
        <w:rPr>
          <w:rFonts w:ascii="Times New Roman" w:eastAsia="Times New Roman" w:hAnsi="Times New Roman" w:cs="Times New Roman"/>
          <w:sz w:val="24"/>
          <w:szCs w:val="24"/>
          <w:vertAlign w:val="superscript"/>
        </w:rPr>
        <w:t>13</w:t>
      </w:r>
      <w:r>
        <w:rPr>
          <w:rFonts w:ascii="Times New Roman" w:eastAsia="Times New Roman" w:hAnsi="Times New Roman" w:cs="Times New Roman"/>
          <w:sz w:val="24"/>
          <w:szCs w:val="24"/>
        </w:rPr>
        <w:t>C</w:t>
      </w:r>
      <w:r>
        <w:rPr>
          <w:rFonts w:ascii="Times New Roman" w:eastAsia="Times New Roman" w:hAnsi="Times New Roman" w:cs="Times New Roman"/>
          <w:sz w:val="24"/>
          <w:szCs w:val="24"/>
          <w:vertAlign w:val="subscript"/>
        </w:rPr>
        <w:t>protein-collagen</w:t>
      </w:r>
      <w:r>
        <w:rPr>
          <w:rFonts w:ascii="Times New Roman" w:eastAsia="Times New Roman" w:hAnsi="Times New Roman" w:cs="Times New Roman"/>
          <w:sz w:val="24"/>
          <w:szCs w:val="24"/>
        </w:rPr>
        <w:t>= -2‰, Δ</w:t>
      </w:r>
      <w:r>
        <w:rPr>
          <w:rFonts w:ascii="Times New Roman" w:eastAsia="Times New Roman" w:hAnsi="Times New Roman" w:cs="Times New Roman"/>
          <w:sz w:val="24"/>
          <w:szCs w:val="24"/>
          <w:vertAlign w:val="superscript"/>
        </w:rPr>
        <w:t>13</w:t>
      </w:r>
      <w:r>
        <w:rPr>
          <w:rFonts w:ascii="Times New Roman" w:eastAsia="Times New Roman" w:hAnsi="Times New Roman" w:cs="Times New Roman"/>
          <w:sz w:val="24"/>
          <w:szCs w:val="24"/>
        </w:rPr>
        <w:t>C</w:t>
      </w:r>
      <w:r>
        <w:rPr>
          <w:rFonts w:ascii="Times New Roman" w:eastAsia="Times New Roman" w:hAnsi="Times New Roman" w:cs="Times New Roman"/>
          <w:sz w:val="24"/>
          <w:szCs w:val="24"/>
          <w:vertAlign w:val="subscript"/>
        </w:rPr>
        <w:t>lipids-collagen</w:t>
      </w:r>
      <w:r>
        <w:rPr>
          <w:rFonts w:ascii="Times New Roman" w:eastAsia="Times New Roman" w:hAnsi="Times New Roman" w:cs="Times New Roman"/>
          <w:sz w:val="24"/>
          <w:szCs w:val="24"/>
        </w:rPr>
        <w:t>= -8‰, Δ</w:t>
      </w:r>
      <w:r>
        <w:rPr>
          <w:rFonts w:ascii="Times New Roman" w:eastAsia="Times New Roman" w:hAnsi="Times New Roman" w:cs="Times New Roman"/>
          <w:sz w:val="24"/>
          <w:szCs w:val="24"/>
          <w:vertAlign w:val="superscript"/>
        </w:rPr>
        <w:t>15</w:t>
      </w:r>
      <w:r>
        <w:rPr>
          <w:rFonts w:ascii="Times New Roman" w:eastAsia="Times New Roman" w:hAnsi="Times New Roman" w:cs="Times New Roman"/>
          <w:sz w:val="24"/>
          <w:szCs w:val="24"/>
        </w:rPr>
        <w:t>N</w:t>
      </w:r>
      <w:r>
        <w:rPr>
          <w:rFonts w:ascii="Times New Roman" w:eastAsia="Times New Roman" w:hAnsi="Times New Roman" w:cs="Times New Roman"/>
          <w:sz w:val="24"/>
          <w:szCs w:val="24"/>
          <w:vertAlign w:val="subscript"/>
        </w:rPr>
        <w:t>protein-collagen</w:t>
      </w:r>
      <w:r>
        <w:rPr>
          <w:rFonts w:ascii="Times New Roman" w:eastAsia="Times New Roman" w:hAnsi="Times New Roman" w:cs="Times New Roman"/>
          <w:sz w:val="24"/>
          <w:szCs w:val="24"/>
        </w:rPr>
        <w:t>=0‰; aquatic animals: Δ</w:t>
      </w:r>
      <w:r>
        <w:rPr>
          <w:rFonts w:ascii="Times New Roman" w:eastAsia="Times New Roman" w:hAnsi="Times New Roman" w:cs="Times New Roman"/>
          <w:sz w:val="24"/>
          <w:szCs w:val="24"/>
          <w:vertAlign w:val="superscript"/>
        </w:rPr>
        <w:t>13</w:t>
      </w:r>
      <w:r>
        <w:rPr>
          <w:rFonts w:ascii="Times New Roman" w:eastAsia="Times New Roman" w:hAnsi="Times New Roman" w:cs="Times New Roman"/>
          <w:sz w:val="24"/>
          <w:szCs w:val="24"/>
        </w:rPr>
        <w:t>C</w:t>
      </w:r>
      <w:r>
        <w:rPr>
          <w:rFonts w:ascii="Times New Roman" w:eastAsia="Times New Roman" w:hAnsi="Times New Roman" w:cs="Times New Roman"/>
          <w:sz w:val="24"/>
          <w:szCs w:val="24"/>
          <w:vertAlign w:val="subscript"/>
        </w:rPr>
        <w:t>protein-collagen</w:t>
      </w:r>
      <w:r>
        <w:rPr>
          <w:rFonts w:ascii="Times New Roman" w:eastAsia="Times New Roman" w:hAnsi="Times New Roman" w:cs="Times New Roman"/>
          <w:sz w:val="24"/>
          <w:szCs w:val="24"/>
        </w:rPr>
        <w:t>=-1‰, Δ</w:t>
      </w:r>
      <w:r>
        <w:rPr>
          <w:rFonts w:ascii="Times New Roman" w:eastAsia="Times New Roman" w:hAnsi="Times New Roman" w:cs="Times New Roman"/>
          <w:sz w:val="24"/>
          <w:szCs w:val="24"/>
          <w:vertAlign w:val="superscript"/>
        </w:rPr>
        <w:t>13</w:t>
      </w:r>
      <w:r>
        <w:rPr>
          <w:rFonts w:ascii="Times New Roman" w:eastAsia="Times New Roman" w:hAnsi="Times New Roman" w:cs="Times New Roman"/>
          <w:sz w:val="24"/>
          <w:szCs w:val="24"/>
        </w:rPr>
        <w:t>C</w:t>
      </w:r>
      <w:r>
        <w:rPr>
          <w:rFonts w:ascii="Times New Roman" w:eastAsia="Times New Roman" w:hAnsi="Times New Roman" w:cs="Times New Roman"/>
          <w:sz w:val="24"/>
          <w:szCs w:val="24"/>
          <w:vertAlign w:val="subscript"/>
        </w:rPr>
        <w:t>lipids-collagen</w:t>
      </w:r>
      <w:r>
        <w:rPr>
          <w:rFonts w:ascii="Times New Roman" w:eastAsia="Times New Roman" w:hAnsi="Times New Roman" w:cs="Times New Roman"/>
          <w:sz w:val="24"/>
          <w:szCs w:val="24"/>
        </w:rPr>
        <w:t>=-7‰, Δ</w:t>
      </w:r>
      <w:r>
        <w:rPr>
          <w:rFonts w:ascii="Times New Roman" w:eastAsia="Times New Roman" w:hAnsi="Times New Roman" w:cs="Times New Roman"/>
          <w:sz w:val="24"/>
          <w:szCs w:val="24"/>
          <w:vertAlign w:val="superscript"/>
        </w:rPr>
        <w:t>15</w:t>
      </w:r>
      <w:r>
        <w:rPr>
          <w:rFonts w:ascii="Times New Roman" w:eastAsia="Times New Roman" w:hAnsi="Times New Roman" w:cs="Times New Roman"/>
          <w:sz w:val="24"/>
          <w:szCs w:val="24"/>
        </w:rPr>
        <w:t>N</w:t>
      </w:r>
      <w:r>
        <w:rPr>
          <w:rFonts w:ascii="Times New Roman" w:eastAsia="Times New Roman" w:hAnsi="Times New Roman" w:cs="Times New Roman"/>
          <w:sz w:val="24"/>
          <w:szCs w:val="24"/>
          <w:vertAlign w:val="subscript"/>
        </w:rPr>
        <w:t>protein-collagen</w:t>
      </w:r>
      <w:r>
        <w:rPr>
          <w:rFonts w:ascii="Times New Roman" w:eastAsia="Times New Roman" w:hAnsi="Times New Roman" w:cs="Times New Roman"/>
          <w:sz w:val="24"/>
          <w:szCs w:val="24"/>
        </w:rPr>
        <w:t>=+1.5‰). Corrected values for each food source are reported below in table S3.2.</w:t>
      </w:r>
    </w:p>
    <w:p w:rsidR="00702E5B" w:rsidRDefault="00702E5B">
      <w:pPr>
        <w:spacing w:after="200" w:line="360" w:lineRule="auto"/>
        <w:jc w:val="both"/>
        <w:rPr>
          <w:rFonts w:ascii="Times New Roman" w:eastAsia="Times New Roman" w:hAnsi="Times New Roman" w:cs="Times New Roman"/>
          <w:sz w:val="24"/>
          <w:szCs w:val="24"/>
        </w:rPr>
      </w:pPr>
    </w:p>
    <w:tbl>
      <w:tblPr>
        <w:tblStyle w:val="a0"/>
        <w:tblW w:w="901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803"/>
        <w:gridCol w:w="1803"/>
        <w:gridCol w:w="1803"/>
        <w:gridCol w:w="1803"/>
        <w:gridCol w:w="1803"/>
      </w:tblGrid>
      <w:tr w:rsidR="000D5224" w:rsidTr="00702E5B">
        <w:trPr>
          <w:trHeight w:val="844"/>
        </w:trPr>
        <w:tc>
          <w:tcPr>
            <w:tcW w:w="1803" w:type="dxa"/>
            <w:tcMar>
              <w:top w:w="100" w:type="dxa"/>
              <w:left w:w="100" w:type="dxa"/>
              <w:bottom w:w="100" w:type="dxa"/>
              <w:right w:w="100" w:type="dxa"/>
            </w:tcMar>
          </w:tcPr>
          <w:p w:rsidR="000D5224" w:rsidRDefault="000D5224">
            <w:pPr>
              <w:widowControl w:val="0"/>
              <w:spacing w:after="200"/>
              <w:rPr>
                <w:rFonts w:ascii="Times New Roman" w:eastAsia="Times New Roman" w:hAnsi="Times New Roman" w:cs="Times New Roman"/>
                <w:sz w:val="24"/>
                <w:szCs w:val="24"/>
              </w:rPr>
            </w:pPr>
          </w:p>
        </w:tc>
        <w:tc>
          <w:tcPr>
            <w:tcW w:w="1803"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δ</w:t>
            </w:r>
            <w:r>
              <w:rPr>
                <w:rFonts w:ascii="Times New Roman" w:eastAsia="Times New Roman" w:hAnsi="Times New Roman" w:cs="Times New Roman"/>
                <w:sz w:val="24"/>
                <w:szCs w:val="24"/>
                <w:vertAlign w:val="subscript"/>
              </w:rPr>
              <w:t>13</w:t>
            </w:r>
            <w:r>
              <w:rPr>
                <w:rFonts w:ascii="Times New Roman" w:eastAsia="Times New Roman" w:hAnsi="Times New Roman" w:cs="Times New Roman"/>
                <w:sz w:val="24"/>
                <w:szCs w:val="24"/>
              </w:rPr>
              <w:t>C</w:t>
            </w:r>
            <w:r>
              <w:rPr>
                <w:rFonts w:ascii="Times New Roman" w:eastAsia="Times New Roman" w:hAnsi="Times New Roman" w:cs="Times New Roman"/>
                <w:sz w:val="24"/>
                <w:szCs w:val="24"/>
                <w:vertAlign w:val="subscript"/>
              </w:rPr>
              <w:t>collagen</w:t>
            </w:r>
            <w:r>
              <w:rPr>
                <w:rFonts w:ascii="Times New Roman" w:eastAsia="Times New Roman" w:hAnsi="Times New Roman" w:cs="Times New Roman"/>
                <w:sz w:val="24"/>
                <w:szCs w:val="24"/>
              </w:rPr>
              <w:t xml:space="preserve"> Protein</w:t>
            </w:r>
          </w:p>
        </w:tc>
        <w:tc>
          <w:tcPr>
            <w:tcW w:w="1803"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δ</w:t>
            </w:r>
            <w:r>
              <w:rPr>
                <w:rFonts w:ascii="Times New Roman" w:eastAsia="Times New Roman" w:hAnsi="Times New Roman" w:cs="Times New Roman"/>
                <w:sz w:val="24"/>
                <w:szCs w:val="24"/>
                <w:vertAlign w:val="subscript"/>
              </w:rPr>
              <w:t>13</w:t>
            </w:r>
            <w:r>
              <w:rPr>
                <w:rFonts w:ascii="Times New Roman" w:eastAsia="Times New Roman" w:hAnsi="Times New Roman" w:cs="Times New Roman"/>
                <w:sz w:val="24"/>
                <w:szCs w:val="24"/>
              </w:rPr>
              <w:t>C</w:t>
            </w:r>
            <w:r>
              <w:rPr>
                <w:rFonts w:ascii="Times New Roman" w:eastAsia="Times New Roman" w:hAnsi="Times New Roman" w:cs="Times New Roman"/>
                <w:sz w:val="24"/>
                <w:szCs w:val="24"/>
                <w:vertAlign w:val="subscript"/>
              </w:rPr>
              <w:t>collagen</w:t>
            </w:r>
            <w:r>
              <w:rPr>
                <w:rFonts w:ascii="Times New Roman" w:eastAsia="Times New Roman" w:hAnsi="Times New Roman" w:cs="Times New Roman"/>
                <w:sz w:val="24"/>
                <w:szCs w:val="24"/>
              </w:rPr>
              <w:t xml:space="preserve"> Lipids/Carbohydrates</w:t>
            </w:r>
          </w:p>
        </w:tc>
        <w:tc>
          <w:tcPr>
            <w:tcW w:w="1803"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δ</w:t>
            </w:r>
            <w:r>
              <w:rPr>
                <w:rFonts w:ascii="Times New Roman" w:eastAsia="Times New Roman" w:hAnsi="Times New Roman" w:cs="Times New Roman"/>
                <w:sz w:val="24"/>
                <w:szCs w:val="24"/>
                <w:vertAlign w:val="subscript"/>
              </w:rPr>
              <w:t>15</w:t>
            </w:r>
            <w:r>
              <w:rPr>
                <w:rFonts w:ascii="Times New Roman" w:eastAsia="Times New Roman" w:hAnsi="Times New Roman" w:cs="Times New Roman"/>
                <w:sz w:val="24"/>
                <w:szCs w:val="24"/>
              </w:rPr>
              <w:t>N</w:t>
            </w:r>
          </w:p>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Protein </w:t>
            </w:r>
          </w:p>
        </w:tc>
        <w:tc>
          <w:tcPr>
            <w:tcW w:w="1803"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vertAlign w:val="subscript"/>
              </w:rPr>
            </w:pPr>
            <w:r>
              <w:rPr>
                <w:rFonts w:ascii="Times New Roman" w:eastAsia="Times New Roman" w:hAnsi="Times New Roman" w:cs="Times New Roman"/>
                <w:sz w:val="24"/>
                <w:szCs w:val="24"/>
              </w:rPr>
              <w:t>δ</w:t>
            </w:r>
            <w:r>
              <w:rPr>
                <w:rFonts w:ascii="Times New Roman" w:eastAsia="Times New Roman" w:hAnsi="Times New Roman" w:cs="Times New Roman"/>
                <w:sz w:val="24"/>
                <w:szCs w:val="24"/>
                <w:vertAlign w:val="subscript"/>
              </w:rPr>
              <w:t>13</w:t>
            </w:r>
            <w:r>
              <w:rPr>
                <w:rFonts w:ascii="Times New Roman" w:eastAsia="Times New Roman" w:hAnsi="Times New Roman" w:cs="Times New Roman"/>
                <w:sz w:val="24"/>
                <w:szCs w:val="24"/>
              </w:rPr>
              <w:t>C</w:t>
            </w:r>
            <w:r>
              <w:rPr>
                <w:rFonts w:ascii="Times New Roman" w:eastAsia="Times New Roman" w:hAnsi="Times New Roman" w:cs="Times New Roman"/>
                <w:sz w:val="24"/>
                <w:szCs w:val="24"/>
                <w:vertAlign w:val="subscript"/>
              </w:rPr>
              <w:t>carbonate</w:t>
            </w:r>
          </w:p>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‘Bulk’</w:t>
            </w:r>
          </w:p>
        </w:tc>
      </w:tr>
      <w:tr w:rsidR="000D5224" w:rsidTr="00702E5B">
        <w:trPr>
          <w:trHeight w:val="844"/>
        </w:trPr>
        <w:tc>
          <w:tcPr>
            <w:tcW w:w="1803"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Pr>
                <w:rFonts w:ascii="Times New Roman" w:eastAsia="Times New Roman" w:hAnsi="Times New Roman" w:cs="Times New Roman"/>
                <w:sz w:val="24"/>
                <w:szCs w:val="24"/>
                <w:vertAlign w:val="subscript"/>
              </w:rPr>
              <w:t>3</w:t>
            </w:r>
            <w:r>
              <w:rPr>
                <w:rFonts w:ascii="Times New Roman" w:eastAsia="Times New Roman" w:hAnsi="Times New Roman" w:cs="Times New Roman"/>
                <w:sz w:val="24"/>
                <w:szCs w:val="24"/>
              </w:rPr>
              <w:t xml:space="preserve"> Plants</w:t>
            </w:r>
          </w:p>
        </w:tc>
        <w:tc>
          <w:tcPr>
            <w:tcW w:w="1803"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-24.6±2‰</w:t>
            </w:r>
          </w:p>
        </w:tc>
        <w:tc>
          <w:tcPr>
            <w:tcW w:w="1803"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-22.1±2‰</w:t>
            </w:r>
          </w:p>
        </w:tc>
        <w:tc>
          <w:tcPr>
            <w:tcW w:w="1803"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4.1±3‰</w:t>
            </w:r>
          </w:p>
        </w:tc>
        <w:tc>
          <w:tcPr>
            <w:tcW w:w="1803"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-22.5±3‰</w:t>
            </w:r>
          </w:p>
        </w:tc>
      </w:tr>
      <w:tr w:rsidR="000D5224" w:rsidTr="00702E5B">
        <w:trPr>
          <w:trHeight w:val="844"/>
        </w:trPr>
        <w:tc>
          <w:tcPr>
            <w:tcW w:w="1803"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Pr>
                <w:rFonts w:ascii="Times New Roman" w:eastAsia="Times New Roman" w:hAnsi="Times New Roman" w:cs="Times New Roman"/>
                <w:sz w:val="24"/>
                <w:szCs w:val="24"/>
                <w:vertAlign w:val="subscript"/>
              </w:rPr>
              <w:t>4</w:t>
            </w:r>
            <w:r>
              <w:rPr>
                <w:rFonts w:ascii="Times New Roman" w:eastAsia="Times New Roman" w:hAnsi="Times New Roman" w:cs="Times New Roman"/>
                <w:sz w:val="24"/>
                <w:szCs w:val="24"/>
              </w:rPr>
              <w:t xml:space="preserve"> Cereals</w:t>
            </w:r>
          </w:p>
        </w:tc>
        <w:tc>
          <w:tcPr>
            <w:tcW w:w="1803"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-12.4±1.5‰</w:t>
            </w:r>
          </w:p>
        </w:tc>
        <w:tc>
          <w:tcPr>
            <w:tcW w:w="1803"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-9.9±1.5‰</w:t>
            </w:r>
          </w:p>
        </w:tc>
        <w:tc>
          <w:tcPr>
            <w:tcW w:w="1803"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6.8±4.0‰</w:t>
            </w:r>
          </w:p>
        </w:tc>
        <w:tc>
          <w:tcPr>
            <w:tcW w:w="1803"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-10.2±2.5‰</w:t>
            </w:r>
          </w:p>
        </w:tc>
      </w:tr>
      <w:tr w:rsidR="000D5224" w:rsidTr="00702E5B">
        <w:trPr>
          <w:trHeight w:val="844"/>
        </w:trPr>
        <w:tc>
          <w:tcPr>
            <w:tcW w:w="1803"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Cattle</w:t>
            </w:r>
          </w:p>
        </w:tc>
        <w:tc>
          <w:tcPr>
            <w:tcW w:w="1803"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-22.7±2.5‰</w:t>
            </w:r>
          </w:p>
        </w:tc>
        <w:tc>
          <w:tcPr>
            <w:tcW w:w="1803"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-28.7±2.5‰</w:t>
            </w:r>
          </w:p>
        </w:tc>
        <w:tc>
          <w:tcPr>
            <w:tcW w:w="1803"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6.3±3‰</w:t>
            </w:r>
          </w:p>
        </w:tc>
        <w:tc>
          <w:tcPr>
            <w:tcW w:w="1803"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-26.9±3.5‰</w:t>
            </w:r>
          </w:p>
        </w:tc>
      </w:tr>
      <w:tr w:rsidR="000D5224" w:rsidTr="00702E5B">
        <w:trPr>
          <w:trHeight w:val="844"/>
        </w:trPr>
        <w:tc>
          <w:tcPr>
            <w:tcW w:w="1803"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Ovicaprid</w:t>
            </w:r>
          </w:p>
        </w:tc>
        <w:tc>
          <w:tcPr>
            <w:tcW w:w="1803"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-23.6±2‰</w:t>
            </w:r>
          </w:p>
        </w:tc>
        <w:tc>
          <w:tcPr>
            <w:tcW w:w="1803"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-29.6±2‰</w:t>
            </w:r>
          </w:p>
        </w:tc>
        <w:tc>
          <w:tcPr>
            <w:tcW w:w="1803"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5.7±3‰</w:t>
            </w:r>
          </w:p>
        </w:tc>
        <w:tc>
          <w:tcPr>
            <w:tcW w:w="1803"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-27.8±3‰</w:t>
            </w:r>
          </w:p>
        </w:tc>
      </w:tr>
      <w:tr w:rsidR="000D5224" w:rsidTr="00702E5B">
        <w:trPr>
          <w:trHeight w:val="844"/>
        </w:trPr>
        <w:tc>
          <w:tcPr>
            <w:tcW w:w="1803"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Pig</w:t>
            </w:r>
          </w:p>
        </w:tc>
        <w:tc>
          <w:tcPr>
            <w:tcW w:w="1803"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-23.9±2‰</w:t>
            </w:r>
          </w:p>
        </w:tc>
        <w:tc>
          <w:tcPr>
            <w:tcW w:w="1803"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-29.9±2‰</w:t>
            </w:r>
          </w:p>
        </w:tc>
        <w:tc>
          <w:tcPr>
            <w:tcW w:w="1803"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7.1±2.5‰</w:t>
            </w:r>
          </w:p>
        </w:tc>
        <w:tc>
          <w:tcPr>
            <w:tcW w:w="1803"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-28.1±3‰</w:t>
            </w:r>
          </w:p>
        </w:tc>
      </w:tr>
      <w:tr w:rsidR="000D5224" w:rsidTr="00702E5B">
        <w:trPr>
          <w:trHeight w:val="844"/>
        </w:trPr>
        <w:tc>
          <w:tcPr>
            <w:tcW w:w="1803"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Poultry</w:t>
            </w:r>
          </w:p>
        </w:tc>
        <w:tc>
          <w:tcPr>
            <w:tcW w:w="1803"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-23.1±2‰</w:t>
            </w:r>
          </w:p>
        </w:tc>
        <w:tc>
          <w:tcPr>
            <w:tcW w:w="1803"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-29.1±2‰</w:t>
            </w:r>
          </w:p>
        </w:tc>
        <w:tc>
          <w:tcPr>
            <w:tcW w:w="1803"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9.5±2‰</w:t>
            </w:r>
          </w:p>
        </w:tc>
        <w:tc>
          <w:tcPr>
            <w:tcW w:w="1803"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-27.3±3‰</w:t>
            </w:r>
          </w:p>
        </w:tc>
      </w:tr>
      <w:tr w:rsidR="000D5224" w:rsidTr="00702E5B">
        <w:trPr>
          <w:trHeight w:val="844"/>
        </w:trPr>
        <w:tc>
          <w:tcPr>
            <w:tcW w:w="1803"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Marine Sources</w:t>
            </w:r>
          </w:p>
        </w:tc>
        <w:tc>
          <w:tcPr>
            <w:tcW w:w="1803"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-11.7±4.5‰</w:t>
            </w:r>
          </w:p>
        </w:tc>
        <w:tc>
          <w:tcPr>
            <w:tcW w:w="1803"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-17.7±4.5‰</w:t>
            </w:r>
          </w:p>
        </w:tc>
        <w:tc>
          <w:tcPr>
            <w:tcW w:w="1803"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12.5±3‰</w:t>
            </w:r>
          </w:p>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803" w:type="dxa"/>
            <w:tcMar>
              <w:top w:w="100" w:type="dxa"/>
              <w:left w:w="100" w:type="dxa"/>
              <w:bottom w:w="100" w:type="dxa"/>
              <w:right w:w="100" w:type="dxa"/>
            </w:tcMar>
          </w:tcPr>
          <w:p w:rsidR="000D5224" w:rsidRDefault="00702E5B">
            <w:pPr>
              <w:widowControl w:val="0"/>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-13.8±5.5‰</w:t>
            </w:r>
          </w:p>
        </w:tc>
      </w:tr>
    </w:tbl>
    <w:p w:rsidR="000D5224" w:rsidRDefault="00702E5B">
      <w:p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Tab.S3.2. Corrected isotopic food macronutrients values as employed in dietary modelling.</w:t>
      </w:r>
    </w:p>
    <w:p w:rsidR="00702E5B" w:rsidRDefault="00702E5B">
      <w:pPr>
        <w:spacing w:after="200" w:line="360" w:lineRule="auto"/>
        <w:jc w:val="both"/>
        <w:rPr>
          <w:rFonts w:ascii="Times New Roman" w:eastAsia="Times New Roman" w:hAnsi="Times New Roman" w:cs="Times New Roman"/>
          <w:sz w:val="24"/>
          <w:szCs w:val="24"/>
        </w:rPr>
      </w:pPr>
    </w:p>
    <w:p w:rsidR="00702E5B" w:rsidRDefault="00702E5B">
      <w:pPr>
        <w:spacing w:after="200" w:line="360" w:lineRule="auto"/>
        <w:jc w:val="both"/>
        <w:rPr>
          <w:rFonts w:ascii="Times New Roman" w:eastAsia="Times New Roman" w:hAnsi="Times New Roman" w:cs="Times New Roman"/>
          <w:sz w:val="24"/>
          <w:szCs w:val="24"/>
        </w:rPr>
      </w:pPr>
    </w:p>
    <w:p w:rsidR="000D5224" w:rsidRDefault="00702E5B">
      <w:p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Macronutrient caloric concentration values were reported in Fernandes </w:t>
      </w:r>
      <w:r>
        <w:rPr>
          <w:rFonts w:ascii="Times New Roman" w:eastAsia="Times New Roman" w:hAnsi="Times New Roman" w:cs="Times New Roman"/>
          <w:i/>
          <w:sz w:val="24"/>
          <w:szCs w:val="24"/>
        </w:rPr>
        <w:t xml:space="preserve">et al. </w:t>
      </w:r>
      <w:r>
        <w:rPr>
          <w:rFonts w:ascii="Times New Roman" w:eastAsia="Times New Roman" w:hAnsi="Times New Roman" w:cs="Times New Roman"/>
          <w:sz w:val="24"/>
          <w:szCs w:val="24"/>
        </w:rPr>
        <w:t>(2015)</w:t>
      </w:r>
      <w:r w:rsidR="009572FF">
        <w:rPr>
          <w:rFonts w:ascii="Times New Roman" w:eastAsia="Times New Roman" w:hAnsi="Times New Roman" w:cs="Times New Roman"/>
          <w:sz w:val="24"/>
          <w:szCs w:val="24"/>
        </w:rPr>
        <w:fldChar w:fldCharType="begin"/>
      </w:r>
      <w:r w:rsidR="009572FF">
        <w:rPr>
          <w:rFonts w:ascii="Times New Roman" w:eastAsia="Times New Roman" w:hAnsi="Times New Roman" w:cs="Times New Roman"/>
          <w:sz w:val="24"/>
          <w:szCs w:val="24"/>
        </w:rPr>
        <w:instrText xml:space="preserve"> ADDIN ZOTERO_ITEM CSL_CITATION {"citationID":"25ri1s9F","properties":{"formattedCitation":"\\super 5\\nosupersub{}","plainCitation":"5","noteIndex":0},"citationItems":[{"id":397,"uris":["http://zotero.org/users/8768602/items/IR4K8GJX"],"itemData":{"id":397,"type":"article-journal","abstract":"Objectives The island cemetery site of Ostorf (Germany) consists of individual human graves containing Funnel Beaker ceramics dating to the Early or Middle Neolithic. However, previous isotope and radiocarbon analysis demonstrated that the Ostorf individuals had a diet rich in freshwater fish. The present study was undertaken to quantitatively reconstruct the diet of the Ostorf population and establish if dietary habits are consistent with the traditional characterization of a Neolithic diet. Methods Quantitative diet reconstruction was achieved through a novel approach consisting of the use of the Bayesian mixing model Food Reconstruction Using Isotopic Transferred Signals (FRUITS) to model isotope measurements from multiple dietary proxies (δ13Ccollagen, δ15Ncollagen, δ13Cbioapatite, δ34Smethione, 14Ccollagen). The accuracy of model estimates was verified by comparing the agreement between observed and estimated human dietary radiocarbon reservoir effects. Results Quantitative diet reconstruction estimates confirm that the Ostorf individuals had a high protein intake due to the consumption of fish and terrestrial animal products. However, FRUITS estimates also show that plant foods represented a significant source of calories. Observed and estimated human dietary radiocarbon reservoir effects are in good agreement provided that the aquatic reservoir effect at Lake Ostorf is taken as reference. Conclusions The Ostorf population apparently adopted elements associated with a Neolithic culture but adapted to available local food resources and implemented a subsistence strategy that involved a large proportion of fish and terrestrial meat consumption. This case study exemplifies the diversity of subsistence strategies followed during the Neolithic. Am J Phys Anthropol 158:325–340, 2015. © 2015 Wiley Periodicals, Inc.","container-title":"American Journal of Physical Anthropology","DOI":"10.1002/ajpa.22788","ISSN":"1096-8644","issue":"2","language":"en","note":"_eprint: https://onlinelibrary.wiley.com/doi/pdf/10.1002/ajpa.22788","page":"325-340","source":"Wiley Online Library","title":"Quantitative diet reconstruction of a Neolithic population using a Bayesian mixing model (FRUITS): The case study of Ostorf (Germany)","title-short":"Quantitative diet reconstruction of a Neolithic population using a Bayesian mixing model (FRUITS)","volume":"158","author":[{"family":"Fernandes","given":"Ricardo"},{"family":"Grootes","given":"Pieter"},{"family":"Nadeau","given":"Marie-Josée"},{"family":"Nehlich","given":"Olaf"}],"issued":{"date-parts":[["2015"]]}}}],"schema":"https://github.com/citation-style-language/schema/raw/master/csl-citation.json"} </w:instrText>
      </w:r>
      <w:r w:rsidR="009572FF">
        <w:rPr>
          <w:rFonts w:ascii="Times New Roman" w:eastAsia="Times New Roman" w:hAnsi="Times New Roman" w:cs="Times New Roman"/>
          <w:sz w:val="24"/>
          <w:szCs w:val="24"/>
        </w:rPr>
        <w:fldChar w:fldCharType="separate"/>
      </w:r>
      <w:r w:rsidR="009572FF" w:rsidRPr="009572FF">
        <w:rPr>
          <w:rFonts w:ascii="Times New Roman" w:hAnsi="Times New Roman" w:cs="Times New Roman"/>
          <w:sz w:val="24"/>
          <w:szCs w:val="24"/>
          <w:vertAlign w:val="superscript"/>
        </w:rPr>
        <w:t>5</w:t>
      </w:r>
      <w:r w:rsidR="009572FF">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but with doubled uncertainty values: Plants (C</w:t>
      </w:r>
      <w:r>
        <w:rPr>
          <w:rFonts w:ascii="Times New Roman" w:eastAsia="Times New Roman" w:hAnsi="Times New Roman" w:cs="Times New Roman"/>
          <w:sz w:val="24"/>
          <w:szCs w:val="24"/>
          <w:vertAlign w:val="subscript"/>
        </w:rPr>
        <w:t>4</w:t>
      </w:r>
      <w:r>
        <w:rPr>
          <w:rFonts w:ascii="Times New Roman" w:eastAsia="Times New Roman" w:hAnsi="Times New Roman" w:cs="Times New Roman"/>
          <w:sz w:val="24"/>
          <w:szCs w:val="24"/>
        </w:rPr>
        <w:t xml:space="preserve"> cereals): protein: 10±5%; Lipids/Carbohydrates 90±5%, terrestrial animals: protein: 30±5%; Lipids/Carbohydrates 70±5%, and marine resources: protein: 65±10%; Lipids/Carbohydrates 35±10%. In the case of C</w:t>
      </w:r>
      <w:r>
        <w:rPr>
          <w:rFonts w:ascii="Times New Roman" w:eastAsia="Times New Roman" w:hAnsi="Times New Roman" w:cs="Times New Roman"/>
          <w:sz w:val="24"/>
          <w:szCs w:val="24"/>
          <w:vertAlign w:val="subscript"/>
        </w:rPr>
        <w:t>3</w:t>
      </w:r>
      <w:r>
        <w:rPr>
          <w:rFonts w:ascii="Times New Roman" w:eastAsia="Times New Roman" w:hAnsi="Times New Roman" w:cs="Times New Roman"/>
          <w:sz w:val="24"/>
          <w:szCs w:val="24"/>
        </w:rPr>
        <w:t xml:space="preserve"> plants, we considered the inclusion of pulses and set a higher protein concentration (protein: 15±10%; Lipids/Carbohydrates: 85±10%). The use of human δ</w:t>
      </w:r>
      <w:r>
        <w:rPr>
          <w:rFonts w:ascii="Times New Roman" w:eastAsia="Times New Roman" w:hAnsi="Times New Roman" w:cs="Times New Roman"/>
          <w:sz w:val="24"/>
          <w:szCs w:val="24"/>
          <w:vertAlign w:val="superscript"/>
        </w:rPr>
        <w:t>13</w:t>
      </w:r>
      <w:r>
        <w:rPr>
          <w:rFonts w:ascii="Times New Roman" w:eastAsia="Times New Roman" w:hAnsi="Times New Roman" w:cs="Times New Roman"/>
          <w:sz w:val="24"/>
          <w:szCs w:val="24"/>
        </w:rPr>
        <w:t>C</w:t>
      </w:r>
      <w:r>
        <w:rPr>
          <w:rFonts w:ascii="Times New Roman" w:eastAsia="Times New Roman" w:hAnsi="Times New Roman" w:cs="Times New Roman"/>
          <w:sz w:val="24"/>
          <w:szCs w:val="24"/>
          <w:vertAlign w:val="subscript"/>
        </w:rPr>
        <w:t>carbonate</w:t>
      </w:r>
      <w:r>
        <w:rPr>
          <w:rFonts w:ascii="Times New Roman" w:eastAsia="Times New Roman" w:hAnsi="Times New Roman" w:cs="Times New Roman"/>
          <w:sz w:val="24"/>
          <w:szCs w:val="24"/>
        </w:rPr>
        <w:t xml:space="preserve"> values for dietary modelling required the inclusion of a fictitious ‘Bulk’ food fraction since that δ</w:t>
      </w:r>
      <w:r>
        <w:rPr>
          <w:rFonts w:ascii="Times New Roman" w:eastAsia="Times New Roman" w:hAnsi="Times New Roman" w:cs="Times New Roman"/>
          <w:sz w:val="24"/>
          <w:szCs w:val="24"/>
          <w:vertAlign w:val="superscript"/>
        </w:rPr>
        <w:t>13</w:t>
      </w:r>
      <w:r>
        <w:rPr>
          <w:rFonts w:ascii="Times New Roman" w:eastAsia="Times New Roman" w:hAnsi="Times New Roman" w:cs="Times New Roman"/>
          <w:sz w:val="24"/>
          <w:szCs w:val="24"/>
        </w:rPr>
        <w:t>C</w:t>
      </w:r>
      <w:r>
        <w:rPr>
          <w:rFonts w:ascii="Times New Roman" w:eastAsia="Times New Roman" w:hAnsi="Times New Roman" w:cs="Times New Roman"/>
          <w:sz w:val="24"/>
          <w:szCs w:val="24"/>
          <w:vertAlign w:val="subscript"/>
        </w:rPr>
        <w:t xml:space="preserve">carbonate </w:t>
      </w:r>
      <w:r>
        <w:rPr>
          <w:rFonts w:ascii="Times New Roman" w:eastAsia="Times New Roman" w:hAnsi="Times New Roman" w:cs="Times New Roman"/>
          <w:sz w:val="24"/>
          <w:szCs w:val="24"/>
        </w:rPr>
        <w:t>reflects a dietary carbon mix</w:t>
      </w:r>
      <w:r w:rsidR="009572FF">
        <w:rPr>
          <w:rFonts w:ascii="Times New Roman" w:eastAsia="Times New Roman" w:hAnsi="Times New Roman" w:cs="Times New Roman"/>
          <w:sz w:val="24"/>
          <w:szCs w:val="24"/>
        </w:rPr>
        <w:fldChar w:fldCharType="begin"/>
      </w:r>
      <w:r w:rsidR="009572FF">
        <w:rPr>
          <w:rFonts w:ascii="Times New Roman" w:eastAsia="Times New Roman" w:hAnsi="Times New Roman" w:cs="Times New Roman"/>
          <w:sz w:val="24"/>
          <w:szCs w:val="24"/>
        </w:rPr>
        <w:instrText xml:space="preserve"> ADDIN ZOTERO_ITEM CSL_CITATION {"citationID":"EBzVgc91","properties":{"formattedCitation":"\\super 9\\nosupersub{}","plainCitation":"9","noteIndex":0},"citationItems":[{"id":1502,"uris":["http://zotero.org/users/8768602/items/KD9YLB5R"],"itemData":{"id":1502,"type":"article-journal","abstract":"Carbon stable isotope ratios (δ13C), measured in human bone collagen (δ13Ccollagen) and bioapatite (δ13Cbioapatite), are commonly used indicators in ancient human diet reconstruction. The underlying assumption is that human tissues broadly reflect the δ13C signal of dietary food sources (δ13Cdiet) plus an isotopic offset. However, interpretation of results may be confounded by the differentiated routing of macronutrients (energy, that is carbohydrates and lipids, and protein) having associated different isotopic signals (δ13Cenergy, δ13Cprotein). Multiple regression analyses were conducted on data from controlled animal feeding experiments compiled by Froehle et al. (J Archaeol Sci 37:2662–2670, 2010). We derived a simple algebraic macronutrient-based model with δ13Cbioapatite010.1+ δ13Cdiet (‰) and δ13Ccollagen 04.8 + 0.74 δ13Cprotein + 0.26 δ13Cenergy (‰). While the established relationship for δ13Cbioapatite is similar to previously known results, the model also suggests that δ13Ccollagen signal contributions originate from surprisingly consistent proportions of protein and energy macronutrients. Given that feeding experiments explore extreme variations in the proportion of diet macronutrients, the applicability of the proposed model and its predictions were tested in a variety of well-known, wild animal and human, natural contexts. Possible biochemical mechanisms explaining these empirical results are discussed.","container-title":"Archaeological and Anthropological Sciences","DOI":"10.1007/s12520-012-0102-7","ISSN":"1866-9557, 1866-9565","issue":"4","journalAbbreviation":"Archaeol Anthropol Sci","language":"en","page":"291-301","source":"DOI.org (Crossref)","title":"Macronutrient-based model for dietary carbon routing in bone collagen and bioapatite","volume":"4","author":[{"family":"Fernandes","given":"Ricardo"},{"family":"Nadeau","given":"Marie-Josée"},{"family":"Grootes","given":"Pieter M."}],"issued":{"date-parts":[["2012",12]]}}}],"schema":"https://github.com/citation-style-language/schema/raw/master/csl-citation.json"} </w:instrText>
      </w:r>
      <w:r w:rsidR="009572FF">
        <w:rPr>
          <w:rFonts w:ascii="Times New Roman" w:eastAsia="Times New Roman" w:hAnsi="Times New Roman" w:cs="Times New Roman"/>
          <w:sz w:val="24"/>
          <w:szCs w:val="24"/>
        </w:rPr>
        <w:fldChar w:fldCharType="separate"/>
      </w:r>
      <w:r w:rsidR="009572FF" w:rsidRPr="009572FF">
        <w:rPr>
          <w:rFonts w:ascii="Times New Roman" w:hAnsi="Times New Roman" w:cs="Times New Roman"/>
          <w:sz w:val="24"/>
          <w:szCs w:val="24"/>
          <w:vertAlign w:val="superscript"/>
        </w:rPr>
        <w:t>9</w:t>
      </w:r>
      <w:r w:rsidR="009572FF">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In the case of plant remains the bulk value is measured directly. However, for animal food groups a mass balance calculation was done to estimate the bulk values from the mean concentration values for macronutrients (Table. S3.2) and respective isotopic values (Table. S3.1).</w:t>
      </w:r>
    </w:p>
    <w:p w:rsidR="000D5224" w:rsidRDefault="00702E5B">
      <w:p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Isotopic offsets between diet and human tissues plus dietary routing mechanisms were included in the Bayesian mixing model. Bone collagen δ</w:t>
      </w:r>
      <w:r>
        <w:rPr>
          <w:rFonts w:ascii="Times New Roman" w:eastAsia="Times New Roman" w:hAnsi="Times New Roman" w:cs="Times New Roman"/>
          <w:sz w:val="24"/>
          <w:szCs w:val="24"/>
          <w:vertAlign w:val="superscript"/>
        </w:rPr>
        <w:t>15</w:t>
      </w:r>
      <w:r>
        <w:rPr>
          <w:rFonts w:ascii="Times New Roman" w:eastAsia="Times New Roman" w:hAnsi="Times New Roman" w:cs="Times New Roman"/>
          <w:sz w:val="24"/>
          <w:szCs w:val="24"/>
        </w:rPr>
        <w:t>N was assumed to derive entirely from dietary protein with an isotopic offset of 5.5±0.5‰</w:t>
      </w:r>
      <w:r w:rsidR="009572FF">
        <w:rPr>
          <w:rFonts w:ascii="Times New Roman" w:eastAsia="Times New Roman" w:hAnsi="Times New Roman" w:cs="Times New Roman"/>
          <w:sz w:val="24"/>
          <w:szCs w:val="24"/>
        </w:rPr>
        <w:fldChar w:fldCharType="begin"/>
      </w:r>
      <w:r w:rsidR="009572FF">
        <w:rPr>
          <w:rFonts w:ascii="Times New Roman" w:eastAsia="Times New Roman" w:hAnsi="Times New Roman" w:cs="Times New Roman"/>
          <w:sz w:val="24"/>
          <w:szCs w:val="24"/>
        </w:rPr>
        <w:instrText xml:space="preserve"> ADDIN ZOTERO_ITEM CSL_CITATION {"citationID":"ss4Ll0cL","properties":{"formattedCitation":"\\super 5\\nosupersub{}","plainCitation":"5","noteIndex":0},"citationItems":[{"id":397,"uris":["http://zotero.org/users/8768602/items/IR4K8GJX"],"itemData":{"id":397,"type":"article-journal","abstract":"Objectives The island cemetery site of Ostorf (Germany) consists of individual human graves containing Funnel Beaker ceramics dating to the Early or Middle Neolithic. However, previous isotope and radiocarbon analysis demonstrated that the Ostorf individuals had a diet rich in freshwater fish. The present study was undertaken to quantitatively reconstruct the diet of the Ostorf population and establish if dietary habits are consistent with the traditional characterization of a Neolithic diet. Methods Quantitative diet reconstruction was achieved through a novel approach consisting of the use of the Bayesian mixing model Food Reconstruction Using Isotopic Transferred Signals (FRUITS) to model isotope measurements from multiple dietary proxies (δ13Ccollagen, δ15Ncollagen, δ13Cbioapatite, δ34Smethione, 14Ccollagen). The accuracy of model estimates was verified by comparing the agreement between observed and estimated human dietary radiocarbon reservoir effects. Results Quantitative diet reconstruction estimates confirm that the Ostorf individuals had a high protein intake due to the consumption of fish and terrestrial animal products. However, FRUITS estimates also show that plant foods represented a significant source of calories. Observed and estimated human dietary radiocarbon reservoir effects are in good agreement provided that the aquatic reservoir effect at Lake Ostorf is taken as reference. Conclusions The Ostorf population apparently adopted elements associated with a Neolithic culture but adapted to available local food resources and implemented a subsistence strategy that involved a large proportion of fish and terrestrial meat consumption. This case study exemplifies the diversity of subsistence strategies followed during the Neolithic. Am J Phys Anthropol 158:325–340, 2015. © 2015 Wiley Periodicals, Inc.","container-title":"American Journal of Physical Anthropology","DOI":"10.1002/ajpa.22788","ISSN":"1096-8644","issue":"2","language":"en","note":"_eprint: https://onlinelibrary.wiley.com/doi/pdf/10.1002/ajpa.22788","page":"325-340","source":"Wiley Online Library","title":"Quantitative diet reconstruction of a Neolithic population using a Bayesian mixing model (FRUITS): The case study of Ostorf (Germany)","title-short":"Quantitative diet reconstruction of a Neolithic population using a Bayesian mixing model (FRUITS)","volume":"158","author":[{"family":"Fernandes","given":"Ricardo"},{"family":"Grootes","given":"Pieter"},{"family":"Nadeau","given":"Marie-Josée"},{"family":"Nehlich","given":"Olaf"}],"issued":{"date-parts":[["2015"]]}}}],"schema":"https://github.com/citation-style-language/schema/raw/master/csl-citation.json"} </w:instrText>
      </w:r>
      <w:r w:rsidR="009572FF">
        <w:rPr>
          <w:rFonts w:ascii="Times New Roman" w:eastAsia="Times New Roman" w:hAnsi="Times New Roman" w:cs="Times New Roman"/>
          <w:sz w:val="24"/>
          <w:szCs w:val="24"/>
        </w:rPr>
        <w:fldChar w:fldCharType="separate"/>
      </w:r>
      <w:r w:rsidR="009572FF" w:rsidRPr="009572FF">
        <w:rPr>
          <w:rFonts w:ascii="Times New Roman" w:hAnsi="Times New Roman" w:cs="Times New Roman"/>
          <w:sz w:val="24"/>
          <w:szCs w:val="24"/>
          <w:vertAlign w:val="superscript"/>
        </w:rPr>
        <w:t>5</w:t>
      </w:r>
      <w:r w:rsidR="009572FF">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For bone collagen δ</w:t>
      </w:r>
      <w:r>
        <w:rPr>
          <w:rFonts w:ascii="Times New Roman" w:eastAsia="Times New Roman" w:hAnsi="Times New Roman" w:cs="Times New Roman"/>
          <w:sz w:val="24"/>
          <w:szCs w:val="24"/>
          <w:vertAlign w:val="superscript"/>
        </w:rPr>
        <w:t>13</w:t>
      </w:r>
      <w:r>
        <w:rPr>
          <w:rFonts w:ascii="Times New Roman" w:eastAsia="Times New Roman" w:hAnsi="Times New Roman" w:cs="Times New Roman"/>
          <w:sz w:val="24"/>
          <w:szCs w:val="24"/>
        </w:rPr>
        <w:t xml:space="preserve">C we set an offset </w:t>
      </w:r>
      <w:r w:rsidR="00E24BFD">
        <w:rPr>
          <w:rFonts w:ascii="Times New Roman" w:eastAsia="Times New Roman" w:hAnsi="Times New Roman" w:cs="Times New Roman"/>
          <w:sz w:val="24"/>
          <w:szCs w:val="24"/>
        </w:rPr>
        <w:t>of 4</w:t>
      </w:r>
      <w:r>
        <w:rPr>
          <w:rFonts w:ascii="Times New Roman" w:eastAsia="Times New Roman" w:hAnsi="Times New Roman" w:cs="Times New Roman"/>
          <w:sz w:val="24"/>
          <w:szCs w:val="24"/>
        </w:rPr>
        <w:t>.8±0.5‰ towards food values</w:t>
      </w:r>
      <w:r w:rsidR="009572FF">
        <w:rPr>
          <w:rFonts w:ascii="Times New Roman" w:eastAsia="Times New Roman" w:hAnsi="Times New Roman" w:cs="Times New Roman"/>
          <w:sz w:val="24"/>
          <w:szCs w:val="24"/>
        </w:rPr>
        <w:fldChar w:fldCharType="begin"/>
      </w:r>
      <w:r w:rsidR="009572FF">
        <w:rPr>
          <w:rFonts w:ascii="Times New Roman" w:eastAsia="Times New Roman" w:hAnsi="Times New Roman" w:cs="Times New Roman"/>
          <w:sz w:val="24"/>
          <w:szCs w:val="24"/>
        </w:rPr>
        <w:instrText xml:space="preserve"> ADDIN ZOTERO_ITEM CSL_CITATION {"citationID":"SpOr4CKx","properties":{"formattedCitation":"\\super 9\\nosupersub{}","plainCitation":"9","noteIndex":0},"citationItems":[{"id":1502,"uris":["http://zotero.org/users/8768602/items/KD9YLB5R"],"itemData":{"id":1502,"type":"article-journal","abstract":"Carbon stable isotope ratios (δ13C), measured in human bone collagen (δ13Ccollagen) and bioapatite (δ13Cbioapatite), are commonly used indicators in ancient human diet reconstruction. The underlying assumption is that human tissues broadly reflect the δ13C signal of dietary food sources (δ13Cdiet) plus an isotopic offset. However, interpretation of results may be confounded by the differentiated routing of macronutrients (energy, that is carbohydrates and lipids, and protein) having associated different isotopic signals (δ13Cenergy, δ13Cprotein). Multiple regression analyses were conducted on data from controlled animal feeding experiments compiled by Froehle et al. (J Archaeol Sci 37:2662–2670, 2010). We derived a simple algebraic macronutrient-based model with δ13Cbioapatite010.1+ δ13Cdiet (‰) and δ13Ccollagen 04.8 + 0.74 δ13Cprotein + 0.26 δ13Cenergy (‰). While the established relationship for δ13Cbioapatite is similar to previously known results, the model also suggests that δ13Ccollagen signal contributions originate from surprisingly consistent proportions of protein and energy macronutrients. Given that feeding experiments explore extreme variations in the proportion of diet macronutrients, the applicability of the proposed model and its predictions were tested in a variety of well-known, wild animal and human, natural contexts. Possible biochemical mechanisms explaining these empirical results are discussed.","container-title":"Archaeological and Anthropological Sciences","DOI":"10.1007/s12520-012-0102-7","ISSN":"1866-9557, 1866-9565","issue":"4","journalAbbreviation":"Archaeol Anthropol Sci","language":"en","page":"291-301","source":"DOI.org (Crossref)","title":"Macronutrient-based model for dietary carbon routing in bone collagen and bioapatite","volume":"4","author":[{"family":"Fernandes","given":"Ricardo"},{"family":"Nadeau","given":"Marie-Josée"},{"family":"Grootes","given":"Pieter M."}],"issued":{"date-parts":[["2012",12]]}}}],"schema":"https://github.com/citation-style-language/schema/raw/master/csl-citation.json"} </w:instrText>
      </w:r>
      <w:r w:rsidR="009572FF">
        <w:rPr>
          <w:rFonts w:ascii="Times New Roman" w:eastAsia="Times New Roman" w:hAnsi="Times New Roman" w:cs="Times New Roman"/>
          <w:sz w:val="24"/>
          <w:szCs w:val="24"/>
        </w:rPr>
        <w:fldChar w:fldCharType="separate"/>
      </w:r>
      <w:r w:rsidR="009572FF" w:rsidRPr="009572FF">
        <w:rPr>
          <w:rFonts w:ascii="Times New Roman" w:hAnsi="Times New Roman" w:cs="Times New Roman"/>
          <w:sz w:val="24"/>
          <w:szCs w:val="24"/>
          <w:vertAlign w:val="superscript"/>
        </w:rPr>
        <w:t>9</w:t>
      </w:r>
      <w:r w:rsidR="009572FF">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Moreover, we considered that the isotopic signal was routed: 74±4% from dietary protein and 26±4% from lipids/carbohydrates</w:t>
      </w:r>
      <w:r w:rsidR="009572FF">
        <w:rPr>
          <w:rFonts w:ascii="Times New Roman" w:eastAsia="Times New Roman" w:hAnsi="Times New Roman" w:cs="Times New Roman"/>
          <w:sz w:val="24"/>
          <w:szCs w:val="24"/>
        </w:rPr>
        <w:fldChar w:fldCharType="begin"/>
      </w:r>
      <w:r w:rsidR="009572FF">
        <w:rPr>
          <w:rFonts w:ascii="Times New Roman" w:eastAsia="Times New Roman" w:hAnsi="Times New Roman" w:cs="Times New Roman"/>
          <w:sz w:val="24"/>
          <w:szCs w:val="24"/>
        </w:rPr>
        <w:instrText xml:space="preserve"> ADDIN ZOTERO_ITEM CSL_CITATION {"citationID":"cdo3PTFH","properties":{"formattedCitation":"\\super 9\\nosupersub{}","plainCitation":"9","noteIndex":0},"citationItems":[{"id":1502,"uris":["http://zotero.org/users/8768602/items/KD9YLB5R"],"itemData":{"id":1502,"type":"article-journal","abstract":"Carbon stable isotope ratios (δ13C), measured in human bone collagen (δ13Ccollagen) and bioapatite (δ13Cbioapatite), are commonly used indicators in ancient human diet reconstruction. The underlying assumption is that human tissues broadly reflect the δ13C signal of dietary food sources (δ13Cdiet) plus an isotopic offset. However, interpretation of results may be confounded by the differentiated routing of macronutrients (energy, that is carbohydrates and lipids, and protein) having associated different isotopic signals (δ13Cenergy, δ13Cprotein). Multiple regression analyses were conducted on data from controlled animal feeding experiments compiled by Froehle et al. (J Archaeol Sci 37:2662–2670, 2010). We derived a simple algebraic macronutrient-based model with δ13Cbioapatite010.1+ δ13Cdiet (‰) and δ13Ccollagen 04.8 + 0.74 δ13Cprotein + 0.26 δ13Cenergy (‰). While the established relationship for δ13Cbioapatite is similar to previously known results, the model also suggests that δ13Ccollagen signal contributions originate from surprisingly consistent proportions of protein and energy macronutrients. Given that feeding experiments explore extreme variations in the proportion of diet macronutrients, the applicability of the proposed model and its predictions were tested in a variety of well-known, wild animal and human, natural contexts. Possible biochemical mechanisms explaining these empirical results are discussed.","container-title":"Archaeological and Anthropological Sciences","DOI":"10.1007/s12520-012-0102-7","ISSN":"1866-9557, 1866-9565","issue":"4","journalAbbreviation":"Archaeol Anthropol Sci","language":"en","page":"291-301","source":"DOI.org (Crossref)","title":"Macronutrient-based model for dietary carbon routing in bone collagen and bioapatite","volume":"4","author":[{"family":"Fernandes","given":"Ricardo"},{"family":"Nadeau","given":"Marie-Josée"},{"family":"Grootes","given":"Pieter M."}],"issued":{"date-parts":[["2012",12]]}}}],"schema":"https://github.com/citation-style-language/schema/raw/master/csl-citation.json"} </w:instrText>
      </w:r>
      <w:r w:rsidR="009572FF">
        <w:rPr>
          <w:rFonts w:ascii="Times New Roman" w:eastAsia="Times New Roman" w:hAnsi="Times New Roman" w:cs="Times New Roman"/>
          <w:sz w:val="24"/>
          <w:szCs w:val="24"/>
        </w:rPr>
        <w:fldChar w:fldCharType="separate"/>
      </w:r>
      <w:r w:rsidR="009572FF" w:rsidRPr="009572FF">
        <w:rPr>
          <w:rFonts w:ascii="Times New Roman" w:hAnsi="Times New Roman" w:cs="Times New Roman"/>
          <w:sz w:val="24"/>
          <w:szCs w:val="24"/>
          <w:vertAlign w:val="superscript"/>
        </w:rPr>
        <w:t>9</w:t>
      </w:r>
      <w:r w:rsidR="009572FF">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For bone δ</w:t>
      </w:r>
      <w:r>
        <w:rPr>
          <w:rFonts w:ascii="Times New Roman" w:eastAsia="Times New Roman" w:hAnsi="Times New Roman" w:cs="Times New Roman"/>
          <w:sz w:val="24"/>
          <w:szCs w:val="24"/>
          <w:vertAlign w:val="superscript"/>
        </w:rPr>
        <w:t>13</w:t>
      </w:r>
      <w:r>
        <w:rPr>
          <w:rFonts w:ascii="Times New Roman" w:eastAsia="Times New Roman" w:hAnsi="Times New Roman" w:cs="Times New Roman"/>
          <w:sz w:val="24"/>
          <w:szCs w:val="24"/>
        </w:rPr>
        <w:t>C</w:t>
      </w:r>
      <w:r w:rsidRPr="00702E5B">
        <w:rPr>
          <w:rFonts w:ascii="Times New Roman" w:eastAsia="Times New Roman" w:hAnsi="Times New Roman" w:cs="Times New Roman"/>
          <w:sz w:val="24"/>
          <w:szCs w:val="24"/>
          <w:vertAlign w:val="subscript"/>
        </w:rPr>
        <w:t>carbonate</w:t>
      </w:r>
      <w:r>
        <w:rPr>
          <w:rFonts w:ascii="Times New Roman" w:eastAsia="Times New Roman" w:hAnsi="Times New Roman" w:cs="Times New Roman"/>
          <w:sz w:val="24"/>
          <w:szCs w:val="24"/>
        </w:rPr>
        <w:t>, we employed an offset of 10.1±0.5‰ and the signal was considered to derive entirely from the ‘Bulk’ component</w:t>
      </w:r>
      <w:r w:rsidR="009572FF">
        <w:rPr>
          <w:rFonts w:ascii="Times New Roman" w:eastAsia="Times New Roman" w:hAnsi="Times New Roman" w:cs="Times New Roman"/>
          <w:sz w:val="24"/>
          <w:szCs w:val="24"/>
        </w:rPr>
        <w:fldChar w:fldCharType="begin"/>
      </w:r>
      <w:r w:rsidR="009572FF">
        <w:rPr>
          <w:rFonts w:ascii="Times New Roman" w:eastAsia="Times New Roman" w:hAnsi="Times New Roman" w:cs="Times New Roman"/>
          <w:sz w:val="24"/>
          <w:szCs w:val="24"/>
        </w:rPr>
        <w:instrText xml:space="preserve"> ADDIN ZOTERO_ITEM CSL_CITATION {"citationID":"mQEMXVUX","properties":{"formattedCitation":"\\super 9\\nosupersub{}","plainCitation":"9","noteIndex":0},"citationItems":[{"id":1502,"uris":["http://zotero.org/users/8768602/items/KD9YLB5R"],"itemData":{"id":1502,"type":"article-journal","abstract":"Carbon stable isotope ratios (δ13C), measured in human bone collagen (δ13Ccollagen) and bioapatite (δ13Cbioapatite), are commonly used indicators in ancient human diet reconstruction. The underlying assumption is that human tissues broadly reflect the δ13C signal of dietary food sources (δ13Cdiet) plus an isotopic offset. However, interpretation of results may be confounded by the differentiated routing of macronutrients (energy, that is carbohydrates and lipids, and protein) having associated different isotopic signals (δ13Cenergy, δ13Cprotein). Multiple regression analyses were conducted on data from controlled animal feeding experiments compiled by Froehle et al. (J Archaeol Sci 37:2662–2670, 2010). We derived a simple algebraic macronutrient-based model with δ13Cbioapatite010.1+ δ13Cdiet (‰) and δ13Ccollagen 04.8 + 0.74 δ13Cprotein + 0.26 δ13Cenergy (‰). While the established relationship for δ13Cbioapatite is similar to previously known results, the model also suggests that δ13Ccollagen signal contributions originate from surprisingly consistent proportions of protein and energy macronutrients. Given that feeding experiments explore extreme variations in the proportion of diet macronutrients, the applicability of the proposed model and its predictions were tested in a variety of well-known, wild animal and human, natural contexts. Possible biochemical mechanisms explaining these empirical results are discussed.","container-title":"Archaeological and Anthropological Sciences","DOI":"10.1007/s12520-012-0102-7","ISSN":"1866-9557, 1866-9565","issue":"4","journalAbbreviation":"Archaeol Anthropol Sci","language":"en","page":"291-301","source":"DOI.org (Crossref)","title":"Macronutrient-based model for dietary carbon routing in bone collagen and bioapatite","volume":"4","author":[{"family":"Fernandes","given":"Ricardo"},{"family":"Nadeau","given":"Marie-Josée"},{"family":"Grootes","given":"Pieter M."}],"issued":{"date-parts":[["2012",12]]}}}],"schema":"https://github.com/citation-style-language/schema/raw/master/csl-citation.json"} </w:instrText>
      </w:r>
      <w:r w:rsidR="009572FF">
        <w:rPr>
          <w:rFonts w:ascii="Times New Roman" w:eastAsia="Times New Roman" w:hAnsi="Times New Roman" w:cs="Times New Roman"/>
          <w:sz w:val="24"/>
          <w:szCs w:val="24"/>
        </w:rPr>
        <w:fldChar w:fldCharType="separate"/>
      </w:r>
      <w:r w:rsidR="009572FF" w:rsidRPr="009572FF">
        <w:rPr>
          <w:rFonts w:ascii="Times New Roman" w:hAnsi="Times New Roman" w:cs="Times New Roman"/>
          <w:sz w:val="24"/>
          <w:szCs w:val="24"/>
          <w:vertAlign w:val="superscript"/>
        </w:rPr>
        <w:t>9</w:t>
      </w:r>
      <w:r w:rsidR="009572FF">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p>
    <w:p w:rsidR="000D5224" w:rsidRDefault="00702E5B">
      <w:p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improve the resolution of dietary estimates we employed prior constraints</w:t>
      </w:r>
      <w:r w:rsidR="009572FF">
        <w:rPr>
          <w:rFonts w:ascii="Times New Roman" w:eastAsia="Times New Roman" w:hAnsi="Times New Roman" w:cs="Times New Roman"/>
          <w:sz w:val="24"/>
          <w:szCs w:val="24"/>
        </w:rPr>
        <w:fldChar w:fldCharType="begin"/>
      </w:r>
      <w:r w:rsidR="009572FF">
        <w:rPr>
          <w:rFonts w:ascii="Times New Roman" w:eastAsia="Times New Roman" w:hAnsi="Times New Roman" w:cs="Times New Roman"/>
          <w:sz w:val="24"/>
          <w:szCs w:val="24"/>
        </w:rPr>
        <w:instrText xml:space="preserve"> ADDIN ZOTERO_ITEM CSL_CITATION {"citationID":"PbkGz3Xb","properties":{"formattedCitation":"\\super 1,10\\nosupersub{}","plainCitation":"1,10","noteIndex":0},"citationItems":[{"id":10860,"uris":["http://zotero.org/users/8768602/items/AEIV2ZXW"],"itemData":{"id":10860,"type":"article-journal","abstract":", \nThe effects of the 4.2 kya climatic event on northern Mesopotamia have been the subject of significant scholarly debate, with the notion of a megadrought that forced local populations to migrate attracting particular attention. Here, the authors analyse stable carbon (δ13C) and nitrogen (δ15N) isotopes in human tooth and bone samples to assess trends in subsistence practice at three sites in Syria before, during and after the presumed megadrought event. Despite the proximity of the sites, isotopic differences between them are more significant than diachronic change. Combined with other archaeological evidence, these results indicate a continuity in subsistence patterns, with no indication of disruption associated with the 4.2 kya event.","container-title":"Antiquity","DOI":"10.15184/aqy.2021.117","ISSN":"0003-598X, 1745-1744","issue":"383","language":"en","note":"number: 383\npublisher: Cambridge University Press","page":"1145-1160","source":"Cambridge University Press","title":"Much ado about nothing: assessing the impact of the 4.2 kya event on human subsistence patterns in northern Mesopotamia using stable isotope analysis","title-short":"Much ado about nothing","volume":"95","author":[{"family":"Sołtysiak","given":"Arkadiusz"},{"family":"Fernandes","given":"Ricardo"}],"issued":{"date-parts":[["2021",10]]}}},{"id":12942,"uris":["http://zotero.org/users/8768602/items/4WZPLKTH"],"itemData":{"id":12942,"type":"article-journal","abstract":"Here we present the Compendium Isotoporum Medii Aevi (CIMA), an open-access database gathering more than 50,000 isotopic measurements for bioarchaeological samples located within Europe and its margins, and dating between 500 and 1500 CE. This multi-isotope (δ13C, δ15N, δ34S, δ18O, and 87Sr/86Sr) archive of measurements on human, animal, and plant archaeological remains also includes a variety of supporting information that offer, for instance, a taxonomic characterization of the samples, their location, and chronology, in addition to data on social, religious, and political contexts. Such a dataset can be used to identify data gaps for future research and to address multiple research questions, including those related with studies on medieval human lifeways (i.e. human subsistence, spatial mobility), characterization of paleo-environmental and -climatic conditions, and on plant and animal agricultural management practices. Brief examples of such applications are given here and we also discuss how the integration of large volumes of isotopic data with other types of archaeological and historical data can improve our knowledge of medieval Europe.","container-title":"Scientific Data","DOI":"10.1038/s41597-022-01462-8","ISSN":"2052-4463","issue":"1","journalAbbreviation":"Sci Data","language":"en","license":"2022 The Author(s)","note":"number: 1\npublisher: Nature Publishing Group","page":"354","source":"www.nature.com","title":"Presenting the Compendium Isotoporum Medii Aevi, a Multi-Isotope Database for Medieval Europe","volume":"9","author":[{"family":"Cocozza","given":"Carlo"},{"family":"Cirelli","given":"Enrico"},{"family":"Groß","given":"Marcus"},{"family":"Teegen","given":"Wolf-Rüdiger"},{"family":"Fernandes","given":"Ricardo"}],"issued":{"date-parts":[["2022",6,21]]}}}],"schema":"https://github.com/citation-style-language/schema/raw/master/csl-citation.json"} </w:instrText>
      </w:r>
      <w:r w:rsidR="009572FF">
        <w:rPr>
          <w:rFonts w:ascii="Times New Roman" w:eastAsia="Times New Roman" w:hAnsi="Times New Roman" w:cs="Times New Roman"/>
          <w:sz w:val="24"/>
          <w:szCs w:val="24"/>
        </w:rPr>
        <w:fldChar w:fldCharType="separate"/>
      </w:r>
      <w:r w:rsidR="009572FF" w:rsidRPr="009572FF">
        <w:rPr>
          <w:rFonts w:ascii="Times New Roman" w:hAnsi="Times New Roman" w:cs="Times New Roman"/>
          <w:sz w:val="24"/>
          <w:szCs w:val="24"/>
          <w:vertAlign w:val="superscript"/>
        </w:rPr>
        <w:t>1,10</w:t>
      </w:r>
      <w:r w:rsidR="009572FF">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by relying on non-isotopic dietary evidence. Following </w:t>
      </w:r>
      <w:proofErr w:type="spellStart"/>
      <w:r>
        <w:rPr>
          <w:rFonts w:ascii="Times New Roman" w:eastAsia="Times New Roman" w:hAnsi="Times New Roman" w:cs="Times New Roman"/>
          <w:sz w:val="24"/>
          <w:szCs w:val="24"/>
        </w:rPr>
        <w:t>Ruas</w:t>
      </w:r>
      <w:proofErr w:type="spellEnd"/>
      <w:r>
        <w:rPr>
          <w:rFonts w:ascii="Times New Roman" w:eastAsia="Times New Roman" w:hAnsi="Times New Roman" w:cs="Times New Roman"/>
          <w:sz w:val="24"/>
          <w:szCs w:val="24"/>
        </w:rPr>
        <w:t xml:space="preserve"> (2012)</w:t>
      </w:r>
      <w:r w:rsidR="009572FF">
        <w:rPr>
          <w:rFonts w:ascii="Times New Roman" w:eastAsia="Times New Roman" w:hAnsi="Times New Roman" w:cs="Times New Roman"/>
          <w:sz w:val="24"/>
          <w:szCs w:val="24"/>
        </w:rPr>
        <w:fldChar w:fldCharType="begin"/>
      </w:r>
      <w:r w:rsidR="009572FF">
        <w:rPr>
          <w:rFonts w:ascii="Times New Roman" w:eastAsia="Times New Roman" w:hAnsi="Times New Roman" w:cs="Times New Roman"/>
          <w:sz w:val="24"/>
          <w:szCs w:val="24"/>
        </w:rPr>
        <w:instrText xml:space="preserve"> ADDIN ZOTERO_ITEM CSL_CITATION {"citationID":"dCrBSeQW","properties":{"formattedCitation":"\\super 11\\nosupersub{}","plainCitation":"11","noteIndex":0},"citationItems":[{"id":377,"uris":["http://zotero.org/users/8768602/items/5PZN9XJQ"],"itemData":{"id":377,"type":"paper-conference","container-title":"Fiorentino ville désertée nel contesto della Capitanata medievale (Ricerche 1982-1993)","DOI":"10.1400/209868","event-place":"Roma","language":"en","note":"publisher: École française de Rome","page":"541-565","publisher":"École Française de Rome","publisher-place":"Roma","source":"www.torrossa.com","title":"Cultures et moissons à Fiorentino : étude des semences carbonisées","title-short":"Cultures et moissons à Fiorentino","URL":"https://www.torrossa.com/en/resources/an/2639309","author":[{"family":"Ruas","given":"Marie-Pierre"}],"editor":[{"family":"Calò Mariani","given":"Maria Stella"},{"family":"Piponnier","given":"Françoise"},{"family":"Beck","given":"Patrice"},{"family":"Laganara","given":"Caterina"}],"accessed":{"date-parts":[["2021",11,16]]},"issued":{"date-parts":[["2012"]]}}}],"schema":"https://github.com/citation-style-language/schema/raw/master/csl-citation.json"} </w:instrText>
      </w:r>
      <w:r w:rsidR="009572FF">
        <w:rPr>
          <w:rFonts w:ascii="Times New Roman" w:eastAsia="Times New Roman" w:hAnsi="Times New Roman" w:cs="Times New Roman"/>
          <w:sz w:val="24"/>
          <w:szCs w:val="24"/>
        </w:rPr>
        <w:fldChar w:fldCharType="separate"/>
      </w:r>
      <w:r w:rsidR="009572FF" w:rsidRPr="009572FF">
        <w:rPr>
          <w:rFonts w:ascii="Times New Roman" w:hAnsi="Times New Roman" w:cs="Times New Roman"/>
          <w:sz w:val="24"/>
          <w:szCs w:val="24"/>
          <w:vertAlign w:val="superscript"/>
        </w:rPr>
        <w:t>11</w:t>
      </w:r>
      <w:r w:rsidR="009572FF">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Favia</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et al.</w:t>
      </w:r>
      <w:r>
        <w:rPr>
          <w:rFonts w:ascii="Times New Roman" w:eastAsia="Times New Roman" w:hAnsi="Times New Roman" w:cs="Times New Roman"/>
          <w:sz w:val="24"/>
          <w:szCs w:val="24"/>
        </w:rPr>
        <w:t xml:space="preserve"> (2014)</w:t>
      </w:r>
      <w:r w:rsidR="009572FF">
        <w:rPr>
          <w:rFonts w:ascii="Times New Roman" w:eastAsia="Times New Roman" w:hAnsi="Times New Roman" w:cs="Times New Roman"/>
          <w:sz w:val="24"/>
          <w:szCs w:val="24"/>
        </w:rPr>
        <w:fldChar w:fldCharType="begin"/>
      </w:r>
      <w:r w:rsidR="009572FF">
        <w:rPr>
          <w:rFonts w:ascii="Times New Roman" w:eastAsia="Times New Roman" w:hAnsi="Times New Roman" w:cs="Times New Roman"/>
          <w:sz w:val="24"/>
          <w:szCs w:val="24"/>
        </w:rPr>
        <w:instrText xml:space="preserve"> ADDIN ZOTERO_ITEM CSL_CITATION {"citationID":"yyI0MKKE","properties":{"formattedCitation":"\\super 12\\nosupersub{}","plainCitation":"12","noteIndex":0},"citationItems":[{"id":10985,"uris":["http://zotero.org/users/8768602/items/C346RSZX"],"itemData":{"id":10985,"type":"article-journal","container-title":"Facta. A Journal of Late Roman, Medieval and Post-Medieval Material Culture Studies","page":"25-56","title":"Modelli di trattamento degli alimenti in un contesto castrense medievale: la cucina e la dispensa della rocca di Montecorvino","volume":"8","author":[{"family":"Favia","given":"Pasquale"},{"family":"Corvino","given":"Cinzia"},{"family":"De Venuto","given":"Giovanni"},{"family":"Maruotti","given":"Marco"},{"family":"Mucciolo","given":"Severina"},{"family":"Valenzano","given":"Vincenzo"}],"issued":{"date-parts":[["2014"]]}}}],"schema":"https://github.com/citation-style-language/schema/raw/master/csl-citation.json"} </w:instrText>
      </w:r>
      <w:r w:rsidR="009572FF">
        <w:rPr>
          <w:rFonts w:ascii="Times New Roman" w:eastAsia="Times New Roman" w:hAnsi="Times New Roman" w:cs="Times New Roman"/>
          <w:sz w:val="24"/>
          <w:szCs w:val="24"/>
        </w:rPr>
        <w:fldChar w:fldCharType="separate"/>
      </w:r>
      <w:r w:rsidR="009572FF" w:rsidRPr="009572FF">
        <w:rPr>
          <w:rFonts w:ascii="Times New Roman" w:hAnsi="Times New Roman" w:cs="Times New Roman"/>
          <w:sz w:val="24"/>
          <w:szCs w:val="24"/>
          <w:vertAlign w:val="superscript"/>
        </w:rPr>
        <w:t>12</w:t>
      </w:r>
      <w:r w:rsidR="009572FF">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we assumed that C</w:t>
      </w:r>
      <w:r>
        <w:rPr>
          <w:rFonts w:ascii="Times New Roman" w:eastAsia="Times New Roman" w:hAnsi="Times New Roman" w:cs="Times New Roman"/>
          <w:sz w:val="24"/>
          <w:szCs w:val="24"/>
          <w:vertAlign w:val="subscript"/>
        </w:rPr>
        <w:t>3</w:t>
      </w:r>
      <w:r>
        <w:rPr>
          <w:rFonts w:ascii="Times New Roman" w:eastAsia="Times New Roman" w:hAnsi="Times New Roman" w:cs="Times New Roman"/>
          <w:sz w:val="24"/>
          <w:szCs w:val="24"/>
        </w:rPr>
        <w:t xml:space="preserve"> plants were consumed in larger amounts than C</w:t>
      </w:r>
      <w:r>
        <w:rPr>
          <w:rFonts w:ascii="Times New Roman" w:eastAsia="Times New Roman" w:hAnsi="Times New Roman" w:cs="Times New Roman"/>
          <w:sz w:val="24"/>
          <w:szCs w:val="24"/>
          <w:vertAlign w:val="subscript"/>
        </w:rPr>
        <w:t>4</w:t>
      </w:r>
      <w:r>
        <w:rPr>
          <w:rFonts w:ascii="Times New Roman" w:eastAsia="Times New Roman" w:hAnsi="Times New Roman" w:cs="Times New Roman"/>
          <w:sz w:val="24"/>
          <w:szCs w:val="24"/>
        </w:rPr>
        <w:t xml:space="preserve"> plants. We also considered that during the Middle Ages, starches were the staple food for most southern Italian populations</w:t>
      </w:r>
      <w:r w:rsidR="00E24BFD">
        <w:rPr>
          <w:rFonts w:ascii="Times New Roman" w:eastAsia="Times New Roman" w:hAnsi="Times New Roman" w:cs="Times New Roman"/>
          <w:sz w:val="24"/>
          <w:szCs w:val="24"/>
        </w:rPr>
        <w:fldChar w:fldCharType="begin"/>
      </w:r>
      <w:r w:rsidR="00E24BFD">
        <w:rPr>
          <w:rFonts w:ascii="Times New Roman" w:eastAsia="Times New Roman" w:hAnsi="Times New Roman" w:cs="Times New Roman"/>
          <w:sz w:val="24"/>
          <w:szCs w:val="24"/>
        </w:rPr>
        <w:instrText xml:space="preserve"> ADDIN ZOTERO_ITEM CSL_CITATION {"citationID":"QymwCcRX","properties":{"formattedCitation":"\\super 3\\nosupersub{}","plainCitation":"3","noteIndex":0},"citationItems":[{"id":123,"uris":["http://zotero.org/users/8768602/items/KCLV7K73"],"itemData":{"id":123,"type":"book","collection-title":"Arts and Traditions of the Table: Perspectives on Culinary History","event-place":"New York","publisher":"Columbia Univ Press","publisher-place":"New York","title":"Medieval Tastes. Food, Cooking, and the Table","author":[{"family":"Montanari","given":"Massimo"}],"translator":[{"family":"Brombert","given":"Beth A."}],"issued":{"date-parts":[["2012"]]}}}],"schema":"https://github.com/citation-style-language/schema/raw/master/csl-citation.json"} </w:instrText>
      </w:r>
      <w:r w:rsidR="00E24BFD">
        <w:rPr>
          <w:rFonts w:ascii="Times New Roman" w:eastAsia="Times New Roman" w:hAnsi="Times New Roman" w:cs="Times New Roman"/>
          <w:sz w:val="24"/>
          <w:szCs w:val="24"/>
        </w:rPr>
        <w:fldChar w:fldCharType="separate"/>
      </w:r>
      <w:r w:rsidR="00E24BFD" w:rsidRPr="00E24BFD">
        <w:rPr>
          <w:rFonts w:ascii="Times New Roman" w:hAnsi="Times New Roman" w:cs="Times New Roman"/>
          <w:sz w:val="24"/>
          <w:szCs w:val="24"/>
          <w:vertAlign w:val="superscript"/>
        </w:rPr>
        <w:t>3</w:t>
      </w:r>
      <w:r w:rsidR="00E24BFD">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and therefore we set the following prior information: C</w:t>
      </w:r>
      <w:r>
        <w:rPr>
          <w:rFonts w:ascii="Times New Roman" w:eastAsia="Times New Roman" w:hAnsi="Times New Roman" w:cs="Times New Roman"/>
          <w:sz w:val="24"/>
          <w:szCs w:val="24"/>
          <w:vertAlign w:val="subscript"/>
        </w:rPr>
        <w:t>3</w:t>
      </w:r>
      <w:r>
        <w:rPr>
          <w:rFonts w:ascii="Times New Roman" w:eastAsia="Times New Roman" w:hAnsi="Times New Roman" w:cs="Times New Roman"/>
          <w:sz w:val="24"/>
          <w:szCs w:val="24"/>
        </w:rPr>
        <w:t xml:space="preserve"> plants + C</w:t>
      </w:r>
      <w:r>
        <w:rPr>
          <w:rFonts w:ascii="Times New Roman" w:eastAsia="Times New Roman" w:hAnsi="Times New Roman" w:cs="Times New Roman"/>
          <w:sz w:val="24"/>
          <w:szCs w:val="24"/>
          <w:vertAlign w:val="subscript"/>
        </w:rPr>
        <w:t>4</w:t>
      </w:r>
      <w:r>
        <w:rPr>
          <w:rFonts w:ascii="Times New Roman" w:eastAsia="Times New Roman" w:hAnsi="Times New Roman" w:cs="Times New Roman"/>
          <w:sz w:val="24"/>
          <w:szCs w:val="24"/>
        </w:rPr>
        <w:t xml:space="preserve"> cereals &gt; 57% of the caloric contribution. This percentage was calculated using as a reference the mean caloric contribution from starches consumed in Mediterranean countries between 1960–1965 (table 14.2 reported in Garnsey &amp; </w:t>
      </w:r>
      <w:proofErr w:type="spellStart"/>
      <w:r>
        <w:rPr>
          <w:rFonts w:ascii="Times New Roman" w:eastAsia="Times New Roman" w:hAnsi="Times New Roman" w:cs="Times New Roman"/>
          <w:sz w:val="24"/>
          <w:szCs w:val="24"/>
        </w:rPr>
        <w:t>Scheidel</w:t>
      </w:r>
      <w:proofErr w:type="spellEnd"/>
      <w:r>
        <w:rPr>
          <w:rFonts w:ascii="Times New Roman" w:eastAsia="Times New Roman" w:hAnsi="Times New Roman" w:cs="Times New Roman"/>
          <w:sz w:val="24"/>
          <w:szCs w:val="24"/>
        </w:rPr>
        <w:t xml:space="preserve"> 1998</w:t>
      </w:r>
      <w:r w:rsidR="00E24BFD">
        <w:rPr>
          <w:rFonts w:ascii="Times New Roman" w:eastAsia="Times New Roman" w:hAnsi="Times New Roman" w:cs="Times New Roman"/>
          <w:sz w:val="24"/>
          <w:szCs w:val="24"/>
        </w:rPr>
        <w:fldChar w:fldCharType="begin"/>
      </w:r>
      <w:r w:rsidR="00E24BFD">
        <w:rPr>
          <w:rFonts w:ascii="Times New Roman" w:eastAsia="Times New Roman" w:hAnsi="Times New Roman" w:cs="Times New Roman"/>
          <w:sz w:val="24"/>
          <w:szCs w:val="24"/>
        </w:rPr>
        <w:instrText xml:space="preserve"> ADDIN ZOTERO_ITEM CSL_CITATION {"citationID":"msIYtc5Z","properties":{"formattedCitation":"\\super 13\\nosupersub{}","plainCitation":"13","noteIndex":0},"citationItems":[{"id":1537,"uris":["http://zotero.org/users/8768602/items/45MJMMY6"],"itemData":{"id":1537,"type":"book","event-place":"Cambridge","ISBN":"978-0-521-59147-8","language":"Inglese","number-of-pages":"356","publisher":"Cambridge University Press","publisher-place":"Cambridge","source":"Amazon","title":"Cities, Peasants and Food in Classical Antiquity: Essays in Social and Economic History","title-short":"Cities, Peasants and Food in Classical Antiquity","author":[{"family":"Garnsey","given":"Peter"},{"family":"Scheidel","given":"Walter"}],"issued":{"date-parts":[["1998"]]}}}],"schema":"https://github.com/citation-style-language/schema/raw/master/csl-citation.json"} </w:instrText>
      </w:r>
      <w:r w:rsidR="00E24BFD">
        <w:rPr>
          <w:rFonts w:ascii="Times New Roman" w:eastAsia="Times New Roman" w:hAnsi="Times New Roman" w:cs="Times New Roman"/>
          <w:sz w:val="24"/>
          <w:szCs w:val="24"/>
        </w:rPr>
        <w:fldChar w:fldCharType="separate"/>
      </w:r>
      <w:r w:rsidR="00E24BFD" w:rsidRPr="00E24BFD">
        <w:rPr>
          <w:rFonts w:ascii="Times New Roman" w:hAnsi="Times New Roman" w:cs="Times New Roman"/>
          <w:sz w:val="24"/>
          <w:szCs w:val="24"/>
          <w:vertAlign w:val="superscript"/>
        </w:rPr>
        <w:t>13</w:t>
      </w:r>
      <w:r w:rsidR="00E24BFD">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Furthermore, using the same principle, we assumed that combined animal sources were less consumed than starches.</w:t>
      </w:r>
    </w:p>
    <w:p w:rsidR="000D5224" w:rsidRDefault="00702E5B">
      <w:p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Zooarchaeological studies for our research region</w:t>
      </w:r>
      <w:r w:rsidR="00E24BFD">
        <w:rPr>
          <w:rFonts w:ascii="Times New Roman" w:eastAsia="Times New Roman" w:hAnsi="Times New Roman" w:cs="Times New Roman"/>
          <w:sz w:val="24"/>
          <w:szCs w:val="24"/>
        </w:rPr>
        <w:fldChar w:fldCharType="begin"/>
      </w:r>
      <w:r w:rsidR="00E24BFD">
        <w:rPr>
          <w:rFonts w:ascii="Times New Roman" w:eastAsia="Times New Roman" w:hAnsi="Times New Roman" w:cs="Times New Roman"/>
          <w:sz w:val="24"/>
          <w:szCs w:val="24"/>
        </w:rPr>
        <w:instrText xml:space="preserve"> ADDIN ZOTERO_ITEM CSL_CITATION {"citationID":"X5AWnTkT","properties":{"formattedCitation":"\\super 12,14\\uc0\\u8211{}20\\nosupersub{}","plainCitation":"12,14–20","noteIndex":0},"citationItems":[{"id":10985,"uris":["http://zotero.org/users/8768602/items/C346RSZX"],"itemData":{"id":10985,"type":"article-journal","container-title":"Facta. A Journal of Late Roman, Medieval and Post-Medieval Material Culture Studies","page":"25-56","title":"Modelli di trattamento degli alimenti in un contesto castrense medievale: la cucina e la dispensa della rocca di Montecorvino","volume":"8","author":[{"family":"Favia","given":"Pasquale"},{"family":"Corvino","given":"Cinzia"},{"family":"De Venuto","given":"Giovanni"},{"family":"Maruotti","given":"Marco"},{"family":"Mucciolo","given":"Severina"},{"family":"Valenzano","given":"Vincenzo"}],"issued":{"date-parts":[["2014"]]}}},{"id":384,"uris":["http://zotero.org/users/8768602/items/KZE83JBH"],"itemData":{"id":384,"type":"chapter","container-title":"La Capitanata e l’Italia meridionale nel secolo XI da Bisanzio ai Normanni","event-place":"Bari","language":"it","page":"279-285","publisher":"Edipuglia","publisher-place":"Bari","source":"Zotero","title":"Lo sfruttamento della risorsa animale in Puglia tra il X e lʼXI secolo: il contributo della ricerca archeozoologica","author":[{"family":"Buglione","given":"Antonietta"},{"family":"De Venuto","given":"Giovanni"}],"editor":[{"family":"Favia","given":"Pasquale"},{"family":"De Venuto","given":"Giovanni"}],"issued":{"date-parts":[["2011"]]}}},{"id":386,"uris":["http://zotero.org/users/8768602/items/S6FWDP7V"],"itemData":{"id":386,"type":"book","event-place":"Bari","ISBN":"88-7228-712-X","publisher":"Edipuglia","publisher-place":"Bari","title":"Allevamento, ambiente ed alimentazione nella Capitanata medievale: archeozoologia e archeologia globale dei paesaggi","author":[{"family":"De Venuto","given":"Giovanni"}],"issued":{"date-parts":[["2013"]]}}},{"id":612,"uris":["http://zotero.org/users/8768602/items/62MEK6PR"],"itemData":{"id":612,"type":"article-journal","container-title":"Post Classical Archaeologies","page":"117-138","title":"Carni, lane e pellame nell’Italia del medio e basso versante adriatico, tra X e XV secolo","volume":"3","author":[{"family":"De Venuto","given":"Giovanni"}],"issued":{"date-parts":[["2013"]]}}},{"id":382,"uris":["http://zotero.org/users/8768602/items/XHDZ93HT"],"itemData":{"id":382,"type":"chapter","container-title":"Vie degli Animali, Vie degli Uomini. Transumanza ed altri Spostamenti di Animali nell’Europa Tardoantica e Medievale","event-place":"Bari","page":"69-81","publisher":"Edipuglia","publisher-place":"Bari","title":"Contributo alla ricostruzione dei caratteri dell’allevamento transumante ovino tra Abruzzo e Tavoliere di Puglia in età medievale","author":[{"family":"De Venuto","given":"Giovanni"}],"editor":[{"family":"Volpe","given":"Giuliano"},{"family":"Buglione","given":"Antonietta"},{"family":"De Venuto","given":"Giovanni"}],"issued":{"date-parts":[["2010"]]}}},{"id":381,"uris":["http://zotero.org/users/8768602/items/3BPB6WK5"],"itemData":{"id":381,"type":"paper-conference","container-title":"Atti del 5° Convegno Nazionale di Archeozoologia, Rovereto, 10-12 Novembre 2006","event-place":"Rovereto","publisher":"Pubblicazione del Museo Civico di Rovereto","publisher-place":"Rovereto","title":"Forme dell’allevamento suino in Puglia in età medievale: il dato archeozoologico","author":[{"family":"De Venuto","given":"Giovanni"}],"editor":[{"family":"Tagliacozzo","given":"Antonio"}],"issued":{"date-parts":[["2010"]]}}},{"id":380,"uris":["http://zotero.org/users/8768602/items/G48XHZXC"],"itemData":{"id":380,"type":"chapter","container-title":"Bestial Mirrors. Using Animals to Construct Human Identities in Medieval Europe","event-place":"Wien","language":"en","page":"55-61","publisher":"VIAS","publisher-place":"Wien","source":"Zotero","title":"To Eat and to Be in Medieval Southern Italy: The Zooarchaeological Contribution from Religious, Rural and Fortified Sites","author":[{"family":"De Venuto","given":"Giovanni"}],"editor":[{"family":"Pluskowski","given":"Aleksander"},{"family":"Kunst","given":"Günther-Karl"},{"family":"Kucera","given":"Matthias"},{"family":"Bietak","given":"Manfred"},{"family":"Hein","given":"Irmgard"}],"issued":{"date-parts":[["2010"]]}}},{"id":385,"uris":["http://zotero.org/users/8768602/items/K2XJRSCV"],"itemData":{"id":385,"type":"chapter","container-title":"Breaking and shaping beastly bodies: animals as material culture in the Middle Ages","event-place":"Oxford","language":"en","page":"217-234","publisher":"Oxbow","publisher-place":"Oxford","source":"www.academia.edu","title":"Animals and Economic Patterns in Medieval Apulia (South Italy): Preliminary Findings","title-short":"Animals and Economic Patterns in Medieval Apulia (South Italy)","URL":"https://www.academia.edu/10632973/Animals_and_Economic_Patterns_in_Medieval_Apulia_South_Italy_Preliminary_Findings","author":[{"family":"De Venuto","given":"Giovanni"}],"editor":[{"family":"Pluskowski","given":"Aleksander"}],"accessed":{"date-parts":[["2021",11,16]]},"issued":{"date-parts":[["2007"]]}}}],"schema":"https://github.com/citation-style-language/schema/raw/master/csl-citation.json"} </w:instrText>
      </w:r>
      <w:r w:rsidR="00E24BFD">
        <w:rPr>
          <w:rFonts w:ascii="Times New Roman" w:eastAsia="Times New Roman" w:hAnsi="Times New Roman" w:cs="Times New Roman"/>
          <w:sz w:val="24"/>
          <w:szCs w:val="24"/>
        </w:rPr>
        <w:fldChar w:fldCharType="separate"/>
      </w:r>
      <w:r w:rsidR="00E24BFD" w:rsidRPr="00E24BFD">
        <w:rPr>
          <w:rFonts w:ascii="Times New Roman" w:hAnsi="Times New Roman" w:cs="Times New Roman"/>
          <w:sz w:val="24"/>
          <w:szCs w:val="24"/>
          <w:vertAlign w:val="superscript"/>
        </w:rPr>
        <w:t>12,14–20</w:t>
      </w:r>
      <w:r w:rsidR="00E24BFD">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show pigs were more consumed than ovicaprids. Cattle bones were overall less represented than the previous taxa and this is likely an indication that meat from this animal was rarely consumed. No indication is given on cow milk and dairy products, but it can be assumed that ovicaprid milk was considered safer</w:t>
      </w:r>
      <w:r w:rsidR="00E24BFD">
        <w:rPr>
          <w:rFonts w:ascii="Times New Roman" w:eastAsia="Times New Roman" w:hAnsi="Times New Roman" w:cs="Times New Roman"/>
          <w:sz w:val="24"/>
          <w:szCs w:val="24"/>
        </w:rPr>
        <w:fldChar w:fldCharType="begin"/>
      </w:r>
      <w:r w:rsidR="00E24BFD">
        <w:rPr>
          <w:rFonts w:ascii="Times New Roman" w:eastAsia="Times New Roman" w:hAnsi="Times New Roman" w:cs="Times New Roman"/>
          <w:sz w:val="24"/>
          <w:szCs w:val="24"/>
        </w:rPr>
        <w:instrText xml:space="preserve"> ADDIN ZOTERO_ITEM CSL_CITATION {"citationID":"ivCYZjhm","properties":{"formattedCitation":"\\super 21\\nosupersub{}","plainCitation":"21","noteIndex":0},"citationItems":[{"id":11019,"uris":["http://zotero.org/users/8768602/items/RESDK8ND"],"itemData":{"id":11019,"type":"article-journal","abstract":"Although milk and dairy products are important components of a healthy diet, if consumed unpasteurized, they also can present a health hazard due to possible contamination with pathogenic bacteria. These bacteria can originate even from clinically healthy animals from which milk is derived or from environmental contamination occurring during collection and storage of milk. The decreased frequency of bovine carriage of certain zoonotic pathogens and improved milking hygiene have contributed considerably to decreased contamination of milk but have not, and cannot, fully eliminate the risk of milkborne disease. Pasteurization is the most effective method of enhancing the microbiological safety of milk. The consumption of milk that is not pasteurized increases the risk of contracting disease from a foodstuff that is otherwise very nutritious and healthy. Despite concerns to the contrary, pasteurization does not change the nutritional value of milk. Understanding the science behind this controversial and highly debated topic will provide public health care workers the information needed to discern fact from fiction and will provide a tool to enhance communication with clients in an effort to reduce the incidence of infections associated with the consumption of unpasteurized milk and dairy products.","container-title":"Clinical Infectious Diseases","DOI":"10.1086/595007","ISSN":"1058-4838","issue":"1","journalAbbreviation":"Clinical Infectious Diseases","note":"number: 1","page":"93-100","source":"Silverchair","title":"Unpasteurized Milk: A Continued Public Health Threat","title-short":"Unpasteurized Milk","volume":"48","author":[{"family":"Angulo","given":"Frederick J."},{"family":"LeJeune","given":"Jeffrey T."},{"family":"Rajala-Schultz","given":"Päivi J."}],"issued":{"date-parts":[["2009",1,1]]}}}],"schema":"https://github.com/citation-style-language/schema/raw/master/csl-citation.json"} </w:instrText>
      </w:r>
      <w:r w:rsidR="00E24BFD">
        <w:rPr>
          <w:rFonts w:ascii="Times New Roman" w:eastAsia="Times New Roman" w:hAnsi="Times New Roman" w:cs="Times New Roman"/>
          <w:sz w:val="24"/>
          <w:szCs w:val="24"/>
        </w:rPr>
        <w:fldChar w:fldCharType="separate"/>
      </w:r>
      <w:r w:rsidR="00E24BFD" w:rsidRPr="00E24BFD">
        <w:rPr>
          <w:rFonts w:ascii="Times New Roman" w:hAnsi="Times New Roman" w:cs="Times New Roman"/>
          <w:sz w:val="24"/>
          <w:szCs w:val="24"/>
          <w:vertAlign w:val="superscript"/>
        </w:rPr>
        <w:t>21</w:t>
      </w:r>
      <w:r w:rsidR="00E24BFD">
        <w:rPr>
          <w:rFonts w:ascii="Times New Roman" w:eastAsia="Times New Roman" w:hAnsi="Times New Roman" w:cs="Times New Roman"/>
          <w:sz w:val="24"/>
          <w:szCs w:val="24"/>
        </w:rPr>
        <w:fldChar w:fldCharType="end"/>
      </w:r>
      <w:r w:rsidR="00E24BFD">
        <w:t>.</w:t>
      </w:r>
      <w:r>
        <w:rPr>
          <w:rFonts w:ascii="Times New Roman" w:eastAsia="Times New Roman" w:hAnsi="Times New Roman" w:cs="Times New Roman"/>
          <w:sz w:val="24"/>
          <w:szCs w:val="24"/>
        </w:rPr>
        <w:t xml:space="preserve"> Poultry is also less represented in the archaeofaunal record and we assumed that their consumption was lower than that of pigs or ovicaprid.</w:t>
      </w:r>
    </w:p>
    <w:p w:rsidR="000D5224" w:rsidRDefault="00702E5B">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Dietary modelling results are displayed in Fig. </w:t>
      </w:r>
      <w:r w:rsidR="00175D40">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in the body of the article. Model inputs used for each population group are available as separate files that can be loaded into the ReSources app:</w:t>
      </w:r>
    </w:p>
    <w:p w:rsidR="000D5224" w:rsidRDefault="00702E5B">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Tertiveri Cluster 1 and 2: </w:t>
      </w:r>
      <w:hyperlink r:id="rId5">
        <w:r>
          <w:rPr>
            <w:rFonts w:ascii="Times New Roman" w:eastAsia="Times New Roman" w:hAnsi="Times New Roman" w:cs="Times New Roman"/>
            <w:color w:val="1155CC"/>
            <w:sz w:val="24"/>
            <w:szCs w:val="24"/>
            <w:u w:val="single"/>
          </w:rPr>
          <w:t>https://pandoradata.earth/dataset/249a8684-7bee-4508-9a88-ed30391d596a/resource/a87a2de9-77e0-452a-a539-7e36e33cff5f/download/tertiveri-clusters.zip</w:t>
        </w:r>
      </w:hyperlink>
      <w:r>
        <w:rPr>
          <w:rFonts w:ascii="Times New Roman" w:eastAsia="Times New Roman" w:hAnsi="Times New Roman" w:cs="Times New Roman"/>
          <w:sz w:val="24"/>
          <w:szCs w:val="24"/>
        </w:rPr>
        <w:t xml:space="preserve"> </w:t>
      </w:r>
    </w:p>
    <w:p w:rsidR="000D5224" w:rsidRDefault="00702E5B">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Montecorvino and San Lorenzo: </w:t>
      </w:r>
      <w:hyperlink r:id="rId6">
        <w:r>
          <w:rPr>
            <w:rFonts w:ascii="Times New Roman" w:eastAsia="Times New Roman" w:hAnsi="Times New Roman" w:cs="Times New Roman"/>
            <w:color w:val="1155CC"/>
            <w:sz w:val="24"/>
            <w:szCs w:val="24"/>
            <w:u w:val="single"/>
          </w:rPr>
          <w:t>https://pandoradata.earth/dataset/249a8684-7bee-4508-9a88-ed30391d596a/resource/50cf7d52-aca9-406c-9dc8-dad1f4a36b24/download/montecorvino-and-san-lorenzo-model.zip</w:t>
        </w:r>
      </w:hyperlink>
      <w:r>
        <w:rPr>
          <w:rFonts w:ascii="Times New Roman" w:eastAsia="Times New Roman" w:hAnsi="Times New Roman" w:cs="Times New Roman"/>
          <w:sz w:val="24"/>
          <w:szCs w:val="24"/>
        </w:rPr>
        <w:t xml:space="preserve"> </w:t>
      </w:r>
    </w:p>
    <w:p w:rsidR="000D5224" w:rsidRDefault="000D5224">
      <w:pPr>
        <w:spacing w:after="200" w:line="360" w:lineRule="auto"/>
        <w:jc w:val="both"/>
        <w:rPr>
          <w:rFonts w:ascii="Times New Roman" w:eastAsia="Times New Roman" w:hAnsi="Times New Roman" w:cs="Times New Roman"/>
          <w:sz w:val="24"/>
          <w:szCs w:val="24"/>
        </w:rPr>
      </w:pPr>
    </w:p>
    <w:p w:rsidR="000D5224" w:rsidRDefault="00702E5B">
      <w:pPr>
        <w:spacing w:after="2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References</w:t>
      </w:r>
    </w:p>
    <w:p w:rsidR="00E24BFD" w:rsidRPr="00E24BFD" w:rsidRDefault="00E24BFD" w:rsidP="00E24BFD">
      <w:pPr>
        <w:pStyle w:val="Bibliografia"/>
        <w:spacing w:before="240" w:line="276" w:lineRule="auto"/>
        <w:rPr>
          <w:rFonts w:ascii="Times New Roman" w:hAnsi="Times New Roman" w:cs="Times New Roman"/>
          <w:sz w:val="24"/>
        </w:rPr>
      </w:pPr>
      <w:r>
        <w:rPr>
          <w:rFonts w:eastAsia="Times New Roman"/>
        </w:rPr>
        <w:fldChar w:fldCharType="begin"/>
      </w:r>
      <w:r>
        <w:rPr>
          <w:rFonts w:eastAsia="Times New Roman"/>
        </w:rPr>
        <w:instrText xml:space="preserve"> ADDIN ZOTERO_BIBL {"uncited":[],"omitted":[],"custom":[]} CSL_BIBLIOGRAPHY </w:instrText>
      </w:r>
      <w:r>
        <w:rPr>
          <w:rFonts w:eastAsia="Times New Roman"/>
        </w:rPr>
        <w:fldChar w:fldCharType="separate"/>
      </w:r>
      <w:r w:rsidRPr="00E24BFD">
        <w:rPr>
          <w:rFonts w:ascii="Times New Roman" w:hAnsi="Times New Roman" w:cs="Times New Roman"/>
          <w:sz w:val="24"/>
        </w:rPr>
        <w:t>1.</w:t>
      </w:r>
      <w:r w:rsidRPr="00E24BFD">
        <w:rPr>
          <w:rFonts w:ascii="Times New Roman" w:hAnsi="Times New Roman" w:cs="Times New Roman"/>
          <w:sz w:val="24"/>
        </w:rPr>
        <w:tab/>
        <w:t xml:space="preserve">Sołtysiak, A. &amp; Fernandes, R. Much ado about nothing: assessing the impact of the 4.2 kya event on human subsistence patterns in northern Mesopotamia using stable isotope analysis. </w:t>
      </w:r>
      <w:r w:rsidRPr="00E24BFD">
        <w:rPr>
          <w:rFonts w:ascii="Times New Roman" w:hAnsi="Times New Roman" w:cs="Times New Roman"/>
          <w:i/>
          <w:iCs/>
          <w:sz w:val="24"/>
        </w:rPr>
        <w:t>Antiquity</w:t>
      </w:r>
      <w:r w:rsidRPr="00E24BFD">
        <w:rPr>
          <w:rFonts w:ascii="Times New Roman" w:hAnsi="Times New Roman" w:cs="Times New Roman"/>
          <w:sz w:val="24"/>
        </w:rPr>
        <w:t xml:space="preserve"> </w:t>
      </w:r>
      <w:r w:rsidRPr="00E24BFD">
        <w:rPr>
          <w:rFonts w:ascii="Times New Roman" w:hAnsi="Times New Roman" w:cs="Times New Roman"/>
          <w:b/>
          <w:bCs/>
          <w:sz w:val="24"/>
        </w:rPr>
        <w:t>95</w:t>
      </w:r>
      <w:r w:rsidRPr="00E24BFD">
        <w:rPr>
          <w:rFonts w:ascii="Times New Roman" w:hAnsi="Times New Roman" w:cs="Times New Roman"/>
          <w:sz w:val="24"/>
        </w:rPr>
        <w:t>, 1145–1160 (2021).</w:t>
      </w:r>
    </w:p>
    <w:p w:rsidR="00E24BFD" w:rsidRPr="00E24BFD" w:rsidRDefault="00E24BFD" w:rsidP="00E24BFD">
      <w:pPr>
        <w:pStyle w:val="Bibliografia"/>
        <w:spacing w:before="240" w:line="276" w:lineRule="auto"/>
        <w:rPr>
          <w:rFonts w:ascii="Times New Roman" w:hAnsi="Times New Roman" w:cs="Times New Roman"/>
          <w:sz w:val="24"/>
        </w:rPr>
      </w:pPr>
      <w:r w:rsidRPr="00E24BFD">
        <w:rPr>
          <w:rFonts w:ascii="Times New Roman" w:hAnsi="Times New Roman" w:cs="Times New Roman"/>
          <w:sz w:val="24"/>
        </w:rPr>
        <w:t>2.</w:t>
      </w:r>
      <w:r w:rsidRPr="00E24BFD">
        <w:rPr>
          <w:rFonts w:ascii="Times New Roman" w:hAnsi="Times New Roman" w:cs="Times New Roman"/>
          <w:sz w:val="24"/>
        </w:rPr>
        <w:tab/>
        <w:t xml:space="preserve">Fernandes, R., Millard, A. R., Brabec, M., Nadeau, M.-J. &amp; Grootes, P. Food Reconstruction Using Isotopic Transferred Signals (FRUITS): A Bayesian Model for Diet Reconstruction. </w:t>
      </w:r>
      <w:r w:rsidRPr="00E24BFD">
        <w:rPr>
          <w:rFonts w:ascii="Times New Roman" w:hAnsi="Times New Roman" w:cs="Times New Roman"/>
          <w:i/>
          <w:iCs/>
          <w:sz w:val="24"/>
        </w:rPr>
        <w:t>PLoS ONE</w:t>
      </w:r>
      <w:r w:rsidRPr="00E24BFD">
        <w:rPr>
          <w:rFonts w:ascii="Times New Roman" w:hAnsi="Times New Roman" w:cs="Times New Roman"/>
          <w:sz w:val="24"/>
        </w:rPr>
        <w:t xml:space="preserve"> </w:t>
      </w:r>
      <w:r w:rsidRPr="00E24BFD">
        <w:rPr>
          <w:rFonts w:ascii="Times New Roman" w:hAnsi="Times New Roman" w:cs="Times New Roman"/>
          <w:b/>
          <w:bCs/>
          <w:sz w:val="24"/>
        </w:rPr>
        <w:t>9</w:t>
      </w:r>
      <w:r w:rsidRPr="00E24BFD">
        <w:rPr>
          <w:rFonts w:ascii="Times New Roman" w:hAnsi="Times New Roman" w:cs="Times New Roman"/>
          <w:sz w:val="24"/>
        </w:rPr>
        <w:t>, e87436 (2014).</w:t>
      </w:r>
    </w:p>
    <w:p w:rsidR="00E24BFD" w:rsidRPr="00E24BFD" w:rsidRDefault="00E24BFD" w:rsidP="00E24BFD">
      <w:pPr>
        <w:pStyle w:val="Bibliografia"/>
        <w:spacing w:before="240" w:line="276" w:lineRule="auto"/>
        <w:rPr>
          <w:rFonts w:ascii="Times New Roman" w:hAnsi="Times New Roman" w:cs="Times New Roman"/>
          <w:sz w:val="24"/>
          <w:lang w:val="it-IT"/>
        </w:rPr>
      </w:pPr>
      <w:r w:rsidRPr="00E24BFD">
        <w:rPr>
          <w:rFonts w:ascii="Times New Roman" w:hAnsi="Times New Roman" w:cs="Times New Roman"/>
          <w:sz w:val="24"/>
        </w:rPr>
        <w:t>3.</w:t>
      </w:r>
      <w:r w:rsidRPr="00E24BFD">
        <w:rPr>
          <w:rFonts w:ascii="Times New Roman" w:hAnsi="Times New Roman" w:cs="Times New Roman"/>
          <w:sz w:val="24"/>
        </w:rPr>
        <w:tab/>
        <w:t xml:space="preserve">Montanari, M. </w:t>
      </w:r>
      <w:r w:rsidRPr="00E24BFD">
        <w:rPr>
          <w:rFonts w:ascii="Times New Roman" w:hAnsi="Times New Roman" w:cs="Times New Roman"/>
          <w:i/>
          <w:iCs/>
          <w:sz w:val="24"/>
        </w:rPr>
        <w:t>Medieval Tastes. Food, Cooking, and the Table</w:t>
      </w:r>
      <w:r w:rsidRPr="00E24BFD">
        <w:rPr>
          <w:rFonts w:ascii="Times New Roman" w:hAnsi="Times New Roman" w:cs="Times New Roman"/>
          <w:sz w:val="24"/>
        </w:rPr>
        <w:t xml:space="preserve">. </w:t>
      </w:r>
      <w:r w:rsidRPr="00E24BFD">
        <w:rPr>
          <w:rFonts w:ascii="Times New Roman" w:hAnsi="Times New Roman" w:cs="Times New Roman"/>
          <w:sz w:val="24"/>
          <w:lang w:val="it-IT"/>
        </w:rPr>
        <w:t>(Columbia Univ Press, 2012).</w:t>
      </w:r>
    </w:p>
    <w:p w:rsidR="00E24BFD" w:rsidRPr="00E24BFD" w:rsidRDefault="00E24BFD" w:rsidP="00E24BFD">
      <w:pPr>
        <w:pStyle w:val="Bibliografia"/>
        <w:spacing w:before="240" w:line="276" w:lineRule="auto"/>
        <w:rPr>
          <w:rFonts w:ascii="Times New Roman" w:hAnsi="Times New Roman" w:cs="Times New Roman"/>
          <w:sz w:val="24"/>
          <w:lang w:val="it-IT"/>
        </w:rPr>
      </w:pPr>
      <w:r w:rsidRPr="00E24BFD">
        <w:rPr>
          <w:rFonts w:ascii="Times New Roman" w:hAnsi="Times New Roman" w:cs="Times New Roman"/>
          <w:sz w:val="24"/>
          <w:lang w:val="it-IT"/>
        </w:rPr>
        <w:t>4.</w:t>
      </w:r>
      <w:r w:rsidRPr="00E24BFD">
        <w:rPr>
          <w:rFonts w:ascii="Times New Roman" w:hAnsi="Times New Roman" w:cs="Times New Roman"/>
          <w:sz w:val="24"/>
          <w:lang w:val="it-IT"/>
        </w:rPr>
        <w:tab/>
        <w:t xml:space="preserve">Battafarano, M. &amp; De Grossi Mazzorin, J. Analisi dei resti itici da alcuni contesti archeologici della Puglia di età tardoantica e medievale. in </w:t>
      </w:r>
      <w:r w:rsidRPr="00E24BFD">
        <w:rPr>
          <w:rFonts w:ascii="Times New Roman" w:hAnsi="Times New Roman" w:cs="Times New Roman"/>
          <w:i/>
          <w:iCs/>
          <w:sz w:val="24"/>
          <w:lang w:val="it-IT"/>
        </w:rPr>
        <w:t>Atti del 5° Convegno Nazionale di Archeozoologia, Rovereto, 10-12 Novembre 2006</w:t>
      </w:r>
      <w:r w:rsidRPr="00E24BFD">
        <w:rPr>
          <w:rFonts w:ascii="Times New Roman" w:hAnsi="Times New Roman" w:cs="Times New Roman"/>
          <w:sz w:val="24"/>
          <w:lang w:val="it-IT"/>
        </w:rPr>
        <w:t xml:space="preserve"> 289–292 (Pubblicazione del Museo Civico di Rovereto, 2010).</w:t>
      </w:r>
    </w:p>
    <w:p w:rsidR="00E24BFD" w:rsidRPr="00E24BFD" w:rsidRDefault="00E24BFD" w:rsidP="00E24BFD">
      <w:pPr>
        <w:pStyle w:val="Bibliografia"/>
        <w:spacing w:before="240" w:line="276" w:lineRule="auto"/>
        <w:rPr>
          <w:rFonts w:ascii="Times New Roman" w:hAnsi="Times New Roman" w:cs="Times New Roman"/>
          <w:sz w:val="24"/>
        </w:rPr>
      </w:pPr>
      <w:r w:rsidRPr="00E24BFD">
        <w:rPr>
          <w:rFonts w:ascii="Times New Roman" w:hAnsi="Times New Roman" w:cs="Times New Roman"/>
          <w:sz w:val="24"/>
        </w:rPr>
        <w:t>5.</w:t>
      </w:r>
      <w:r w:rsidRPr="00E24BFD">
        <w:rPr>
          <w:rFonts w:ascii="Times New Roman" w:hAnsi="Times New Roman" w:cs="Times New Roman"/>
          <w:sz w:val="24"/>
        </w:rPr>
        <w:tab/>
        <w:t xml:space="preserve">Fernandes, R., Grootes, P., Nadeau, M.-J. &amp; Nehlich, O. Quantitative diet reconstruction of a Neolithic population using a Bayesian mixing model (FRUITS): The case study of Ostorf (Germany). </w:t>
      </w:r>
      <w:r w:rsidRPr="00E24BFD">
        <w:rPr>
          <w:rFonts w:ascii="Times New Roman" w:hAnsi="Times New Roman" w:cs="Times New Roman"/>
          <w:i/>
          <w:iCs/>
          <w:sz w:val="24"/>
        </w:rPr>
        <w:t>American Journal of Physical Anthropology</w:t>
      </w:r>
      <w:r w:rsidRPr="00E24BFD">
        <w:rPr>
          <w:rFonts w:ascii="Times New Roman" w:hAnsi="Times New Roman" w:cs="Times New Roman"/>
          <w:sz w:val="24"/>
        </w:rPr>
        <w:t xml:space="preserve"> </w:t>
      </w:r>
      <w:r w:rsidRPr="00E24BFD">
        <w:rPr>
          <w:rFonts w:ascii="Times New Roman" w:hAnsi="Times New Roman" w:cs="Times New Roman"/>
          <w:b/>
          <w:bCs/>
          <w:sz w:val="24"/>
        </w:rPr>
        <w:t>158</w:t>
      </w:r>
      <w:r w:rsidRPr="00E24BFD">
        <w:rPr>
          <w:rFonts w:ascii="Times New Roman" w:hAnsi="Times New Roman" w:cs="Times New Roman"/>
          <w:sz w:val="24"/>
        </w:rPr>
        <w:t>, 325–340 (2015).</w:t>
      </w:r>
    </w:p>
    <w:p w:rsidR="00E24BFD" w:rsidRPr="00E24BFD" w:rsidRDefault="00E24BFD" w:rsidP="00E24BFD">
      <w:pPr>
        <w:pStyle w:val="Bibliografia"/>
        <w:spacing w:before="240" w:line="276" w:lineRule="auto"/>
        <w:rPr>
          <w:rFonts w:ascii="Times New Roman" w:hAnsi="Times New Roman" w:cs="Times New Roman"/>
          <w:sz w:val="24"/>
        </w:rPr>
      </w:pPr>
      <w:r w:rsidRPr="00E24BFD">
        <w:rPr>
          <w:rFonts w:ascii="Times New Roman" w:hAnsi="Times New Roman" w:cs="Times New Roman"/>
          <w:sz w:val="24"/>
        </w:rPr>
        <w:lastRenderedPageBreak/>
        <w:t>6.</w:t>
      </w:r>
      <w:r w:rsidRPr="00E24BFD">
        <w:rPr>
          <w:rFonts w:ascii="Times New Roman" w:hAnsi="Times New Roman" w:cs="Times New Roman"/>
          <w:sz w:val="24"/>
        </w:rPr>
        <w:tab/>
        <w:t xml:space="preserve">Gismondi, A. </w:t>
      </w:r>
      <w:r w:rsidRPr="00E24BFD">
        <w:rPr>
          <w:rFonts w:ascii="Times New Roman" w:hAnsi="Times New Roman" w:cs="Times New Roman"/>
          <w:i/>
          <w:iCs/>
          <w:sz w:val="24"/>
        </w:rPr>
        <w:t>et al.</w:t>
      </w:r>
      <w:r w:rsidRPr="00E24BFD">
        <w:rPr>
          <w:rFonts w:ascii="Times New Roman" w:hAnsi="Times New Roman" w:cs="Times New Roman"/>
          <w:sz w:val="24"/>
        </w:rPr>
        <w:t xml:space="preserve"> A multidisciplinary approach for investigating dietary and medicinal habits of the Medieval population of Santa Severa (7th-15th centuries, Rome, Italy). </w:t>
      </w:r>
      <w:r w:rsidRPr="00E24BFD">
        <w:rPr>
          <w:rFonts w:ascii="Times New Roman" w:hAnsi="Times New Roman" w:cs="Times New Roman"/>
          <w:i/>
          <w:iCs/>
          <w:sz w:val="24"/>
        </w:rPr>
        <w:t>PLoS ONE</w:t>
      </w:r>
      <w:r w:rsidRPr="00E24BFD">
        <w:rPr>
          <w:rFonts w:ascii="Times New Roman" w:hAnsi="Times New Roman" w:cs="Times New Roman"/>
          <w:sz w:val="24"/>
        </w:rPr>
        <w:t xml:space="preserve"> </w:t>
      </w:r>
      <w:r w:rsidRPr="00E24BFD">
        <w:rPr>
          <w:rFonts w:ascii="Times New Roman" w:hAnsi="Times New Roman" w:cs="Times New Roman"/>
          <w:b/>
          <w:bCs/>
          <w:sz w:val="24"/>
        </w:rPr>
        <w:t>15</w:t>
      </w:r>
      <w:r w:rsidRPr="00E24BFD">
        <w:rPr>
          <w:rFonts w:ascii="Times New Roman" w:hAnsi="Times New Roman" w:cs="Times New Roman"/>
          <w:sz w:val="24"/>
        </w:rPr>
        <w:t>, e0227433 (2020).</w:t>
      </w:r>
    </w:p>
    <w:p w:rsidR="00E24BFD" w:rsidRPr="00E24BFD" w:rsidRDefault="00E24BFD" w:rsidP="00E24BFD">
      <w:pPr>
        <w:pStyle w:val="Bibliografia"/>
        <w:spacing w:before="240" w:line="276" w:lineRule="auto"/>
        <w:rPr>
          <w:rFonts w:ascii="Times New Roman" w:hAnsi="Times New Roman" w:cs="Times New Roman"/>
          <w:sz w:val="24"/>
        </w:rPr>
      </w:pPr>
      <w:r w:rsidRPr="00E24BFD">
        <w:rPr>
          <w:rFonts w:ascii="Times New Roman" w:hAnsi="Times New Roman" w:cs="Times New Roman"/>
          <w:sz w:val="24"/>
        </w:rPr>
        <w:t>7.</w:t>
      </w:r>
      <w:r w:rsidRPr="00E24BFD">
        <w:rPr>
          <w:rFonts w:ascii="Times New Roman" w:hAnsi="Times New Roman" w:cs="Times New Roman"/>
          <w:sz w:val="24"/>
        </w:rPr>
        <w:tab/>
        <w:t xml:space="preserve">Nitsch, E. </w:t>
      </w:r>
      <w:r w:rsidRPr="00E24BFD">
        <w:rPr>
          <w:rFonts w:ascii="Times New Roman" w:hAnsi="Times New Roman" w:cs="Times New Roman"/>
          <w:i/>
          <w:iCs/>
          <w:sz w:val="24"/>
        </w:rPr>
        <w:t>et al.</w:t>
      </w:r>
      <w:r w:rsidRPr="00E24BFD">
        <w:rPr>
          <w:rFonts w:ascii="Times New Roman" w:hAnsi="Times New Roman" w:cs="Times New Roman"/>
          <w:sz w:val="24"/>
        </w:rPr>
        <w:t xml:space="preserve"> A bottom-up view of food surplus: using stable carbon and nitrogen isotope analysis to investigate agricultural strategies and diet at Bronze Age Archontiko and Thessaloniki Toumba, northern Greece. </w:t>
      </w:r>
      <w:r w:rsidRPr="00E24BFD">
        <w:rPr>
          <w:rFonts w:ascii="Times New Roman" w:hAnsi="Times New Roman" w:cs="Times New Roman"/>
          <w:i/>
          <w:iCs/>
          <w:sz w:val="24"/>
        </w:rPr>
        <w:t>World Archaeology</w:t>
      </w:r>
      <w:r w:rsidRPr="00E24BFD">
        <w:rPr>
          <w:rFonts w:ascii="Times New Roman" w:hAnsi="Times New Roman" w:cs="Times New Roman"/>
          <w:sz w:val="24"/>
        </w:rPr>
        <w:t xml:space="preserve"> </w:t>
      </w:r>
      <w:r w:rsidRPr="00E24BFD">
        <w:rPr>
          <w:rFonts w:ascii="Times New Roman" w:hAnsi="Times New Roman" w:cs="Times New Roman"/>
          <w:b/>
          <w:bCs/>
          <w:sz w:val="24"/>
        </w:rPr>
        <w:t>49</w:t>
      </w:r>
      <w:r w:rsidRPr="00E24BFD">
        <w:rPr>
          <w:rFonts w:ascii="Times New Roman" w:hAnsi="Times New Roman" w:cs="Times New Roman"/>
          <w:sz w:val="24"/>
        </w:rPr>
        <w:t>, 105–137 (2017).</w:t>
      </w:r>
    </w:p>
    <w:p w:rsidR="00E24BFD" w:rsidRPr="00E24BFD" w:rsidRDefault="00E24BFD" w:rsidP="00E24BFD">
      <w:pPr>
        <w:pStyle w:val="Bibliografia"/>
        <w:spacing w:before="240" w:line="276" w:lineRule="auto"/>
        <w:rPr>
          <w:rFonts w:ascii="Times New Roman" w:hAnsi="Times New Roman" w:cs="Times New Roman"/>
          <w:sz w:val="24"/>
        </w:rPr>
      </w:pPr>
      <w:r w:rsidRPr="00E24BFD">
        <w:rPr>
          <w:rFonts w:ascii="Times New Roman" w:hAnsi="Times New Roman" w:cs="Times New Roman"/>
          <w:sz w:val="24"/>
        </w:rPr>
        <w:t>8.</w:t>
      </w:r>
      <w:r w:rsidRPr="00E24BFD">
        <w:rPr>
          <w:rFonts w:ascii="Times New Roman" w:hAnsi="Times New Roman" w:cs="Times New Roman"/>
          <w:sz w:val="24"/>
        </w:rPr>
        <w:tab/>
        <w:t xml:space="preserve">Soncin, S. </w:t>
      </w:r>
      <w:r w:rsidRPr="00E24BFD">
        <w:rPr>
          <w:rFonts w:ascii="Times New Roman" w:hAnsi="Times New Roman" w:cs="Times New Roman"/>
          <w:i/>
          <w:iCs/>
          <w:sz w:val="24"/>
        </w:rPr>
        <w:t>et al.</w:t>
      </w:r>
      <w:r w:rsidRPr="00E24BFD">
        <w:rPr>
          <w:rFonts w:ascii="Times New Roman" w:hAnsi="Times New Roman" w:cs="Times New Roman"/>
          <w:sz w:val="24"/>
        </w:rPr>
        <w:t xml:space="preserve"> High-resolution dietary reconstruction of victims of the 79 CE Vesuvius eruption at Herculaneum by compound-specific isotope analysis. </w:t>
      </w:r>
      <w:r w:rsidRPr="00E24BFD">
        <w:rPr>
          <w:rFonts w:ascii="Times New Roman" w:hAnsi="Times New Roman" w:cs="Times New Roman"/>
          <w:i/>
          <w:iCs/>
          <w:sz w:val="24"/>
        </w:rPr>
        <w:t>Science Advances</w:t>
      </w:r>
      <w:r w:rsidRPr="00E24BFD">
        <w:rPr>
          <w:rFonts w:ascii="Times New Roman" w:hAnsi="Times New Roman" w:cs="Times New Roman"/>
          <w:sz w:val="24"/>
        </w:rPr>
        <w:t xml:space="preserve"> (2021) doi:10.1126/sciadv.abg5791.</w:t>
      </w:r>
    </w:p>
    <w:p w:rsidR="00E24BFD" w:rsidRPr="00E24BFD" w:rsidRDefault="00E24BFD" w:rsidP="00E24BFD">
      <w:pPr>
        <w:pStyle w:val="Bibliografia"/>
        <w:spacing w:before="240" w:line="276" w:lineRule="auto"/>
        <w:rPr>
          <w:rFonts w:ascii="Times New Roman" w:hAnsi="Times New Roman" w:cs="Times New Roman"/>
          <w:sz w:val="24"/>
          <w:lang w:val="it-IT"/>
        </w:rPr>
      </w:pPr>
      <w:r w:rsidRPr="00E24BFD">
        <w:rPr>
          <w:rFonts w:ascii="Times New Roman" w:hAnsi="Times New Roman" w:cs="Times New Roman"/>
          <w:sz w:val="24"/>
        </w:rPr>
        <w:t>9.</w:t>
      </w:r>
      <w:r w:rsidRPr="00E24BFD">
        <w:rPr>
          <w:rFonts w:ascii="Times New Roman" w:hAnsi="Times New Roman" w:cs="Times New Roman"/>
          <w:sz w:val="24"/>
        </w:rPr>
        <w:tab/>
        <w:t xml:space="preserve">Fernandes, R., Nadeau, M.-J. &amp; Grootes, P. M. Macronutrient-based model for dietary carbon routing in bone collagen and bioapatite. </w:t>
      </w:r>
      <w:r w:rsidRPr="00E24BFD">
        <w:rPr>
          <w:rFonts w:ascii="Times New Roman" w:hAnsi="Times New Roman" w:cs="Times New Roman"/>
          <w:i/>
          <w:iCs/>
          <w:sz w:val="24"/>
          <w:lang w:val="it-IT"/>
        </w:rPr>
        <w:t>Archaeol Anthropol Sci</w:t>
      </w:r>
      <w:r w:rsidRPr="00E24BFD">
        <w:rPr>
          <w:rFonts w:ascii="Times New Roman" w:hAnsi="Times New Roman" w:cs="Times New Roman"/>
          <w:sz w:val="24"/>
          <w:lang w:val="it-IT"/>
        </w:rPr>
        <w:t xml:space="preserve"> </w:t>
      </w:r>
      <w:r w:rsidRPr="00E24BFD">
        <w:rPr>
          <w:rFonts w:ascii="Times New Roman" w:hAnsi="Times New Roman" w:cs="Times New Roman"/>
          <w:b/>
          <w:bCs/>
          <w:sz w:val="24"/>
          <w:lang w:val="it-IT"/>
        </w:rPr>
        <w:t>4</w:t>
      </w:r>
      <w:r w:rsidRPr="00E24BFD">
        <w:rPr>
          <w:rFonts w:ascii="Times New Roman" w:hAnsi="Times New Roman" w:cs="Times New Roman"/>
          <w:sz w:val="24"/>
          <w:lang w:val="it-IT"/>
        </w:rPr>
        <w:t>, 291–301 (2012).</w:t>
      </w:r>
    </w:p>
    <w:p w:rsidR="00E24BFD" w:rsidRPr="00E24BFD" w:rsidRDefault="00E24BFD" w:rsidP="00E24BFD">
      <w:pPr>
        <w:pStyle w:val="Bibliografia"/>
        <w:spacing w:before="240" w:line="276" w:lineRule="auto"/>
        <w:rPr>
          <w:rFonts w:ascii="Times New Roman" w:hAnsi="Times New Roman" w:cs="Times New Roman"/>
          <w:sz w:val="24"/>
          <w:lang w:val="it-IT"/>
        </w:rPr>
      </w:pPr>
      <w:r w:rsidRPr="00E24BFD">
        <w:rPr>
          <w:rFonts w:ascii="Times New Roman" w:hAnsi="Times New Roman" w:cs="Times New Roman"/>
          <w:sz w:val="24"/>
          <w:lang w:val="it-IT"/>
        </w:rPr>
        <w:t>10.</w:t>
      </w:r>
      <w:r w:rsidRPr="00E24BFD">
        <w:rPr>
          <w:rFonts w:ascii="Times New Roman" w:hAnsi="Times New Roman" w:cs="Times New Roman"/>
          <w:sz w:val="24"/>
          <w:lang w:val="it-IT"/>
        </w:rPr>
        <w:tab/>
        <w:t xml:space="preserve">Cocozza, C., Cirelli, E., Groß, M., Teegen, W.-R. &amp; Fernandes, R. Presenting the Compendium Isotoporum Medii Aevi, a Multi-Isotope Database for Medieval Europe. </w:t>
      </w:r>
      <w:r w:rsidRPr="00E24BFD">
        <w:rPr>
          <w:rFonts w:ascii="Times New Roman" w:hAnsi="Times New Roman" w:cs="Times New Roman"/>
          <w:i/>
          <w:iCs/>
          <w:sz w:val="24"/>
          <w:lang w:val="it-IT"/>
        </w:rPr>
        <w:t>Sci Data</w:t>
      </w:r>
      <w:r w:rsidRPr="00E24BFD">
        <w:rPr>
          <w:rFonts w:ascii="Times New Roman" w:hAnsi="Times New Roman" w:cs="Times New Roman"/>
          <w:sz w:val="24"/>
          <w:lang w:val="it-IT"/>
        </w:rPr>
        <w:t xml:space="preserve"> </w:t>
      </w:r>
      <w:r w:rsidRPr="00E24BFD">
        <w:rPr>
          <w:rFonts w:ascii="Times New Roman" w:hAnsi="Times New Roman" w:cs="Times New Roman"/>
          <w:b/>
          <w:bCs/>
          <w:sz w:val="24"/>
          <w:lang w:val="it-IT"/>
        </w:rPr>
        <w:t>9</w:t>
      </w:r>
      <w:r w:rsidRPr="00E24BFD">
        <w:rPr>
          <w:rFonts w:ascii="Times New Roman" w:hAnsi="Times New Roman" w:cs="Times New Roman"/>
          <w:sz w:val="24"/>
          <w:lang w:val="it-IT"/>
        </w:rPr>
        <w:t>, 354 (2022).</w:t>
      </w:r>
    </w:p>
    <w:p w:rsidR="00E24BFD" w:rsidRPr="00E24BFD" w:rsidRDefault="00E24BFD" w:rsidP="00E24BFD">
      <w:pPr>
        <w:pStyle w:val="Bibliografia"/>
        <w:spacing w:before="240" w:line="276" w:lineRule="auto"/>
        <w:rPr>
          <w:rFonts w:ascii="Times New Roman" w:hAnsi="Times New Roman" w:cs="Times New Roman"/>
          <w:sz w:val="24"/>
          <w:lang w:val="it-IT"/>
        </w:rPr>
      </w:pPr>
      <w:r w:rsidRPr="00E24BFD">
        <w:rPr>
          <w:rFonts w:ascii="Times New Roman" w:hAnsi="Times New Roman" w:cs="Times New Roman"/>
          <w:sz w:val="24"/>
          <w:lang w:val="it-IT"/>
        </w:rPr>
        <w:t>11.</w:t>
      </w:r>
      <w:r w:rsidRPr="00E24BFD">
        <w:rPr>
          <w:rFonts w:ascii="Times New Roman" w:hAnsi="Times New Roman" w:cs="Times New Roman"/>
          <w:sz w:val="24"/>
          <w:lang w:val="it-IT"/>
        </w:rPr>
        <w:tab/>
        <w:t xml:space="preserve">Ruas, M.-P. Cultures et moissons à Fiorentino : étude des semences carbonisées. in </w:t>
      </w:r>
      <w:r w:rsidRPr="00E24BFD">
        <w:rPr>
          <w:rFonts w:ascii="Times New Roman" w:hAnsi="Times New Roman" w:cs="Times New Roman"/>
          <w:i/>
          <w:iCs/>
          <w:sz w:val="24"/>
          <w:lang w:val="it-IT"/>
        </w:rPr>
        <w:t>Fiorentino ville désertée nel contesto della Capitanata medievale (Ricerche 1982-1993)</w:t>
      </w:r>
      <w:r w:rsidRPr="00E24BFD">
        <w:rPr>
          <w:rFonts w:ascii="Times New Roman" w:hAnsi="Times New Roman" w:cs="Times New Roman"/>
          <w:sz w:val="24"/>
          <w:lang w:val="it-IT"/>
        </w:rPr>
        <w:t xml:space="preserve"> (eds. Calò Mariani, M. S., Piponnier, F., Beck, P. &amp; Laganara, C.) 541–565 (École Française de Rome, 2012). doi:10.1400/209868.</w:t>
      </w:r>
    </w:p>
    <w:p w:rsidR="00E24BFD" w:rsidRPr="00E24BFD" w:rsidRDefault="00E24BFD" w:rsidP="00E24BFD">
      <w:pPr>
        <w:pStyle w:val="Bibliografia"/>
        <w:spacing w:before="240" w:line="276" w:lineRule="auto"/>
        <w:rPr>
          <w:rFonts w:ascii="Times New Roman" w:hAnsi="Times New Roman" w:cs="Times New Roman"/>
          <w:sz w:val="24"/>
        </w:rPr>
      </w:pPr>
      <w:r w:rsidRPr="00E24BFD">
        <w:rPr>
          <w:rFonts w:ascii="Times New Roman" w:hAnsi="Times New Roman" w:cs="Times New Roman"/>
          <w:sz w:val="24"/>
          <w:lang w:val="it-IT"/>
        </w:rPr>
        <w:t>12.</w:t>
      </w:r>
      <w:r w:rsidRPr="00E24BFD">
        <w:rPr>
          <w:rFonts w:ascii="Times New Roman" w:hAnsi="Times New Roman" w:cs="Times New Roman"/>
          <w:sz w:val="24"/>
          <w:lang w:val="it-IT"/>
        </w:rPr>
        <w:tab/>
        <w:t xml:space="preserve">Favia, P. </w:t>
      </w:r>
      <w:r w:rsidRPr="00E24BFD">
        <w:rPr>
          <w:rFonts w:ascii="Times New Roman" w:hAnsi="Times New Roman" w:cs="Times New Roman"/>
          <w:i/>
          <w:iCs/>
          <w:sz w:val="24"/>
          <w:lang w:val="it-IT"/>
        </w:rPr>
        <w:t>et al.</w:t>
      </w:r>
      <w:r w:rsidRPr="00E24BFD">
        <w:rPr>
          <w:rFonts w:ascii="Times New Roman" w:hAnsi="Times New Roman" w:cs="Times New Roman"/>
          <w:sz w:val="24"/>
          <w:lang w:val="it-IT"/>
        </w:rPr>
        <w:t xml:space="preserve"> Modelli di trattamento degli alimenti in un contesto castrense medievale: la cucina e la dispensa della rocca di Montecorvino. </w:t>
      </w:r>
      <w:r w:rsidRPr="00E24BFD">
        <w:rPr>
          <w:rFonts w:ascii="Times New Roman" w:hAnsi="Times New Roman" w:cs="Times New Roman"/>
          <w:i/>
          <w:iCs/>
          <w:sz w:val="24"/>
        </w:rPr>
        <w:t>Facta. A Journal of Late Roman, Medieval and Post-Medieval Material Culture Studies</w:t>
      </w:r>
      <w:r w:rsidRPr="00E24BFD">
        <w:rPr>
          <w:rFonts w:ascii="Times New Roman" w:hAnsi="Times New Roman" w:cs="Times New Roman"/>
          <w:sz w:val="24"/>
        </w:rPr>
        <w:t xml:space="preserve"> </w:t>
      </w:r>
      <w:r w:rsidRPr="00E24BFD">
        <w:rPr>
          <w:rFonts w:ascii="Times New Roman" w:hAnsi="Times New Roman" w:cs="Times New Roman"/>
          <w:b/>
          <w:bCs/>
          <w:sz w:val="24"/>
        </w:rPr>
        <w:t>8</w:t>
      </w:r>
      <w:r w:rsidRPr="00E24BFD">
        <w:rPr>
          <w:rFonts w:ascii="Times New Roman" w:hAnsi="Times New Roman" w:cs="Times New Roman"/>
          <w:sz w:val="24"/>
        </w:rPr>
        <w:t>, 25–56 (2014).</w:t>
      </w:r>
    </w:p>
    <w:p w:rsidR="00E24BFD" w:rsidRPr="00E24BFD" w:rsidRDefault="00E24BFD" w:rsidP="00E24BFD">
      <w:pPr>
        <w:pStyle w:val="Bibliografia"/>
        <w:spacing w:before="240" w:line="276" w:lineRule="auto"/>
        <w:rPr>
          <w:rFonts w:ascii="Times New Roman" w:hAnsi="Times New Roman" w:cs="Times New Roman"/>
          <w:sz w:val="24"/>
          <w:lang w:val="it-IT"/>
        </w:rPr>
      </w:pPr>
      <w:r w:rsidRPr="00E24BFD">
        <w:rPr>
          <w:rFonts w:ascii="Times New Roman" w:hAnsi="Times New Roman" w:cs="Times New Roman"/>
          <w:sz w:val="24"/>
        </w:rPr>
        <w:t>13.</w:t>
      </w:r>
      <w:r w:rsidRPr="00E24BFD">
        <w:rPr>
          <w:rFonts w:ascii="Times New Roman" w:hAnsi="Times New Roman" w:cs="Times New Roman"/>
          <w:sz w:val="24"/>
        </w:rPr>
        <w:tab/>
        <w:t xml:space="preserve">Garnsey, P. &amp; Scheidel, W. </w:t>
      </w:r>
      <w:r w:rsidRPr="00E24BFD">
        <w:rPr>
          <w:rFonts w:ascii="Times New Roman" w:hAnsi="Times New Roman" w:cs="Times New Roman"/>
          <w:i/>
          <w:iCs/>
          <w:sz w:val="24"/>
        </w:rPr>
        <w:t>Cities, Peasants and Food in Classical Antiquity: Essays in Social and Economic History</w:t>
      </w:r>
      <w:r w:rsidRPr="00E24BFD">
        <w:rPr>
          <w:rFonts w:ascii="Times New Roman" w:hAnsi="Times New Roman" w:cs="Times New Roman"/>
          <w:sz w:val="24"/>
        </w:rPr>
        <w:t xml:space="preserve">. </w:t>
      </w:r>
      <w:r w:rsidRPr="00E24BFD">
        <w:rPr>
          <w:rFonts w:ascii="Times New Roman" w:hAnsi="Times New Roman" w:cs="Times New Roman"/>
          <w:sz w:val="24"/>
          <w:lang w:val="it-IT"/>
        </w:rPr>
        <w:t>(Cambridge University Press, 1998).</w:t>
      </w:r>
    </w:p>
    <w:p w:rsidR="00E24BFD" w:rsidRPr="00E24BFD" w:rsidRDefault="00E24BFD" w:rsidP="00E24BFD">
      <w:pPr>
        <w:pStyle w:val="Bibliografia"/>
        <w:spacing w:before="240" w:line="276" w:lineRule="auto"/>
        <w:rPr>
          <w:rFonts w:ascii="Times New Roman" w:hAnsi="Times New Roman" w:cs="Times New Roman"/>
          <w:sz w:val="24"/>
          <w:lang w:val="it-IT"/>
        </w:rPr>
      </w:pPr>
      <w:r w:rsidRPr="00E24BFD">
        <w:rPr>
          <w:rFonts w:ascii="Times New Roman" w:hAnsi="Times New Roman" w:cs="Times New Roman"/>
          <w:sz w:val="24"/>
          <w:lang w:val="it-IT"/>
        </w:rPr>
        <w:t>14.</w:t>
      </w:r>
      <w:r w:rsidRPr="00E24BFD">
        <w:rPr>
          <w:rFonts w:ascii="Times New Roman" w:hAnsi="Times New Roman" w:cs="Times New Roman"/>
          <w:sz w:val="24"/>
          <w:lang w:val="it-IT"/>
        </w:rPr>
        <w:tab/>
        <w:t xml:space="preserve">Buglione, A. &amp; De Venuto, G. Lo sfruttamento della risorsa animale in Puglia tra il X e lʼXI secolo: il contributo della ricerca archeozoologica. in </w:t>
      </w:r>
      <w:r w:rsidRPr="00E24BFD">
        <w:rPr>
          <w:rFonts w:ascii="Times New Roman" w:hAnsi="Times New Roman" w:cs="Times New Roman"/>
          <w:i/>
          <w:iCs/>
          <w:sz w:val="24"/>
          <w:lang w:val="it-IT"/>
        </w:rPr>
        <w:t>La Capitanata e l’Italia meridionale nel secolo XI da Bisanzio ai Normanni</w:t>
      </w:r>
      <w:r w:rsidRPr="00E24BFD">
        <w:rPr>
          <w:rFonts w:ascii="Times New Roman" w:hAnsi="Times New Roman" w:cs="Times New Roman"/>
          <w:sz w:val="24"/>
          <w:lang w:val="it-IT"/>
        </w:rPr>
        <w:t xml:space="preserve"> (eds. Favia, P. &amp; De Venuto, G.) 279–285 (Edipuglia, 2011).</w:t>
      </w:r>
    </w:p>
    <w:p w:rsidR="00E24BFD" w:rsidRPr="00E24BFD" w:rsidRDefault="00E24BFD" w:rsidP="00E24BFD">
      <w:pPr>
        <w:pStyle w:val="Bibliografia"/>
        <w:spacing w:before="240" w:line="276" w:lineRule="auto"/>
        <w:rPr>
          <w:rFonts w:ascii="Times New Roman" w:hAnsi="Times New Roman" w:cs="Times New Roman"/>
          <w:sz w:val="24"/>
          <w:lang w:val="it-IT"/>
        </w:rPr>
      </w:pPr>
      <w:r w:rsidRPr="00E24BFD">
        <w:rPr>
          <w:rFonts w:ascii="Times New Roman" w:hAnsi="Times New Roman" w:cs="Times New Roman"/>
          <w:sz w:val="24"/>
          <w:lang w:val="it-IT"/>
        </w:rPr>
        <w:t>15.</w:t>
      </w:r>
      <w:r w:rsidRPr="00E24BFD">
        <w:rPr>
          <w:rFonts w:ascii="Times New Roman" w:hAnsi="Times New Roman" w:cs="Times New Roman"/>
          <w:sz w:val="24"/>
          <w:lang w:val="it-IT"/>
        </w:rPr>
        <w:tab/>
        <w:t xml:space="preserve">De Venuto, G. </w:t>
      </w:r>
      <w:r w:rsidRPr="00E24BFD">
        <w:rPr>
          <w:rFonts w:ascii="Times New Roman" w:hAnsi="Times New Roman" w:cs="Times New Roman"/>
          <w:i/>
          <w:iCs/>
          <w:sz w:val="24"/>
          <w:lang w:val="it-IT"/>
        </w:rPr>
        <w:t>Allevamento, ambiente ed alimentazione nella Capitanata medievale: archeozoologia e archeologia globale dei paesaggi</w:t>
      </w:r>
      <w:r w:rsidRPr="00E24BFD">
        <w:rPr>
          <w:rFonts w:ascii="Times New Roman" w:hAnsi="Times New Roman" w:cs="Times New Roman"/>
          <w:sz w:val="24"/>
          <w:lang w:val="it-IT"/>
        </w:rPr>
        <w:t>. (Edipuglia, 2013).</w:t>
      </w:r>
    </w:p>
    <w:p w:rsidR="00E24BFD" w:rsidRPr="00E24BFD" w:rsidRDefault="00E24BFD" w:rsidP="00E24BFD">
      <w:pPr>
        <w:pStyle w:val="Bibliografia"/>
        <w:spacing w:before="240" w:line="276" w:lineRule="auto"/>
        <w:rPr>
          <w:rFonts w:ascii="Times New Roman" w:hAnsi="Times New Roman" w:cs="Times New Roman"/>
          <w:sz w:val="24"/>
          <w:lang w:val="it-IT"/>
        </w:rPr>
      </w:pPr>
      <w:r w:rsidRPr="00E24BFD">
        <w:rPr>
          <w:rFonts w:ascii="Times New Roman" w:hAnsi="Times New Roman" w:cs="Times New Roman"/>
          <w:sz w:val="24"/>
          <w:lang w:val="it-IT"/>
        </w:rPr>
        <w:t>16.</w:t>
      </w:r>
      <w:r w:rsidRPr="00E24BFD">
        <w:rPr>
          <w:rFonts w:ascii="Times New Roman" w:hAnsi="Times New Roman" w:cs="Times New Roman"/>
          <w:sz w:val="24"/>
          <w:lang w:val="it-IT"/>
        </w:rPr>
        <w:tab/>
        <w:t xml:space="preserve">De Venuto, G. Carni, lane e pellame nell’Italia del medio e basso versante adriatico, tra X e XV secolo. </w:t>
      </w:r>
      <w:r w:rsidRPr="00E24BFD">
        <w:rPr>
          <w:rFonts w:ascii="Times New Roman" w:hAnsi="Times New Roman" w:cs="Times New Roman"/>
          <w:i/>
          <w:iCs/>
          <w:sz w:val="24"/>
          <w:lang w:val="it-IT"/>
        </w:rPr>
        <w:t>Post Classical Archaeologies</w:t>
      </w:r>
      <w:r w:rsidRPr="00E24BFD">
        <w:rPr>
          <w:rFonts w:ascii="Times New Roman" w:hAnsi="Times New Roman" w:cs="Times New Roman"/>
          <w:sz w:val="24"/>
          <w:lang w:val="it-IT"/>
        </w:rPr>
        <w:t xml:space="preserve"> </w:t>
      </w:r>
      <w:r w:rsidRPr="00E24BFD">
        <w:rPr>
          <w:rFonts w:ascii="Times New Roman" w:hAnsi="Times New Roman" w:cs="Times New Roman"/>
          <w:b/>
          <w:bCs/>
          <w:sz w:val="24"/>
          <w:lang w:val="it-IT"/>
        </w:rPr>
        <w:t>3</w:t>
      </w:r>
      <w:r w:rsidRPr="00E24BFD">
        <w:rPr>
          <w:rFonts w:ascii="Times New Roman" w:hAnsi="Times New Roman" w:cs="Times New Roman"/>
          <w:sz w:val="24"/>
          <w:lang w:val="it-IT"/>
        </w:rPr>
        <w:t>, 117–138 (2013).</w:t>
      </w:r>
    </w:p>
    <w:p w:rsidR="00E24BFD" w:rsidRPr="00E24BFD" w:rsidRDefault="00E24BFD" w:rsidP="00E24BFD">
      <w:pPr>
        <w:pStyle w:val="Bibliografia"/>
        <w:spacing w:before="240" w:line="276" w:lineRule="auto"/>
        <w:rPr>
          <w:rFonts w:ascii="Times New Roman" w:hAnsi="Times New Roman" w:cs="Times New Roman"/>
          <w:sz w:val="24"/>
          <w:lang w:val="it-IT"/>
        </w:rPr>
      </w:pPr>
      <w:r w:rsidRPr="00E24BFD">
        <w:rPr>
          <w:rFonts w:ascii="Times New Roman" w:hAnsi="Times New Roman" w:cs="Times New Roman"/>
          <w:sz w:val="24"/>
          <w:lang w:val="it-IT"/>
        </w:rPr>
        <w:t>17.</w:t>
      </w:r>
      <w:r w:rsidRPr="00E24BFD">
        <w:rPr>
          <w:rFonts w:ascii="Times New Roman" w:hAnsi="Times New Roman" w:cs="Times New Roman"/>
          <w:sz w:val="24"/>
          <w:lang w:val="it-IT"/>
        </w:rPr>
        <w:tab/>
        <w:t xml:space="preserve">De Venuto, G. Contributo alla ricostruzione dei caratteri dell’allevamento transumante ovino tra Abruzzo e Tavoliere di Puglia in età medievale. in </w:t>
      </w:r>
      <w:r w:rsidRPr="00E24BFD">
        <w:rPr>
          <w:rFonts w:ascii="Times New Roman" w:hAnsi="Times New Roman" w:cs="Times New Roman"/>
          <w:i/>
          <w:iCs/>
          <w:sz w:val="24"/>
          <w:lang w:val="it-IT"/>
        </w:rPr>
        <w:t xml:space="preserve">Vie degli Animali, Vie degli </w:t>
      </w:r>
      <w:r w:rsidRPr="00E24BFD">
        <w:rPr>
          <w:rFonts w:ascii="Times New Roman" w:hAnsi="Times New Roman" w:cs="Times New Roman"/>
          <w:i/>
          <w:iCs/>
          <w:sz w:val="24"/>
          <w:lang w:val="it-IT"/>
        </w:rPr>
        <w:lastRenderedPageBreak/>
        <w:t>Uomini. Transumanza ed altri Spostamenti di Animali nell’Europa Tardoantica e Medievale</w:t>
      </w:r>
      <w:r w:rsidRPr="00E24BFD">
        <w:rPr>
          <w:rFonts w:ascii="Times New Roman" w:hAnsi="Times New Roman" w:cs="Times New Roman"/>
          <w:sz w:val="24"/>
          <w:lang w:val="it-IT"/>
        </w:rPr>
        <w:t xml:space="preserve"> (eds. Volpe, G., Buglione, A. &amp; De Venuto, G.) 69–81 (Edipuglia, 2010).</w:t>
      </w:r>
    </w:p>
    <w:p w:rsidR="00E24BFD" w:rsidRPr="00E24BFD" w:rsidRDefault="00E24BFD" w:rsidP="00E24BFD">
      <w:pPr>
        <w:pStyle w:val="Bibliografia"/>
        <w:spacing w:before="240" w:line="276" w:lineRule="auto"/>
        <w:rPr>
          <w:rFonts w:ascii="Times New Roman" w:hAnsi="Times New Roman" w:cs="Times New Roman"/>
          <w:sz w:val="24"/>
        </w:rPr>
      </w:pPr>
      <w:r w:rsidRPr="00E24BFD">
        <w:rPr>
          <w:rFonts w:ascii="Times New Roman" w:hAnsi="Times New Roman" w:cs="Times New Roman"/>
          <w:sz w:val="24"/>
          <w:lang w:val="it-IT"/>
        </w:rPr>
        <w:t>18.</w:t>
      </w:r>
      <w:r w:rsidRPr="00E24BFD">
        <w:rPr>
          <w:rFonts w:ascii="Times New Roman" w:hAnsi="Times New Roman" w:cs="Times New Roman"/>
          <w:sz w:val="24"/>
          <w:lang w:val="it-IT"/>
        </w:rPr>
        <w:tab/>
        <w:t xml:space="preserve">De Venuto, G. Forme dell’allevamento suino in Puglia in età medievale: il dato archeozoologico. in </w:t>
      </w:r>
      <w:r w:rsidRPr="00E24BFD">
        <w:rPr>
          <w:rFonts w:ascii="Times New Roman" w:hAnsi="Times New Roman" w:cs="Times New Roman"/>
          <w:i/>
          <w:iCs/>
          <w:sz w:val="24"/>
          <w:lang w:val="it-IT"/>
        </w:rPr>
        <w:t>Atti del 5° Convegno Nazionale di Archeozoologia, Rovereto, 10-12 Novembre 2006</w:t>
      </w:r>
      <w:r w:rsidRPr="00E24BFD">
        <w:rPr>
          <w:rFonts w:ascii="Times New Roman" w:hAnsi="Times New Roman" w:cs="Times New Roman"/>
          <w:sz w:val="24"/>
          <w:lang w:val="it-IT"/>
        </w:rPr>
        <w:t xml:space="preserve"> (ed. </w:t>
      </w:r>
      <w:r w:rsidRPr="00E24BFD">
        <w:rPr>
          <w:rFonts w:ascii="Times New Roman" w:hAnsi="Times New Roman" w:cs="Times New Roman"/>
          <w:sz w:val="24"/>
        </w:rPr>
        <w:t>Tagliacozzo, A.) (Pubblicazione del Museo Civico di Rovereto, 2010).</w:t>
      </w:r>
    </w:p>
    <w:p w:rsidR="00E24BFD" w:rsidRPr="00E24BFD" w:rsidRDefault="00E24BFD" w:rsidP="00E24BFD">
      <w:pPr>
        <w:pStyle w:val="Bibliografia"/>
        <w:spacing w:before="240" w:line="276" w:lineRule="auto"/>
        <w:rPr>
          <w:rFonts w:ascii="Times New Roman" w:hAnsi="Times New Roman" w:cs="Times New Roman"/>
          <w:sz w:val="24"/>
          <w:lang w:val="de-DE"/>
        </w:rPr>
      </w:pPr>
      <w:r w:rsidRPr="00E24BFD">
        <w:rPr>
          <w:rFonts w:ascii="Times New Roman" w:hAnsi="Times New Roman" w:cs="Times New Roman"/>
          <w:sz w:val="24"/>
        </w:rPr>
        <w:t>19.</w:t>
      </w:r>
      <w:r w:rsidRPr="00E24BFD">
        <w:rPr>
          <w:rFonts w:ascii="Times New Roman" w:hAnsi="Times New Roman" w:cs="Times New Roman"/>
          <w:sz w:val="24"/>
        </w:rPr>
        <w:tab/>
        <w:t xml:space="preserve">De Venuto, G. To Eat and to Be in Medieval Southern Italy: The Zooarchaeological Contribution from Religious, Rural and Fortified Sites. in </w:t>
      </w:r>
      <w:r w:rsidRPr="00E24BFD">
        <w:rPr>
          <w:rFonts w:ascii="Times New Roman" w:hAnsi="Times New Roman" w:cs="Times New Roman"/>
          <w:i/>
          <w:iCs/>
          <w:sz w:val="24"/>
        </w:rPr>
        <w:t>Bestial Mirrors. Using Animals to Construct Human Identities in Medieval Europe</w:t>
      </w:r>
      <w:r w:rsidRPr="00E24BFD">
        <w:rPr>
          <w:rFonts w:ascii="Times New Roman" w:hAnsi="Times New Roman" w:cs="Times New Roman"/>
          <w:sz w:val="24"/>
        </w:rPr>
        <w:t xml:space="preserve"> (eds. </w:t>
      </w:r>
      <w:r w:rsidRPr="00E24BFD">
        <w:rPr>
          <w:rFonts w:ascii="Times New Roman" w:hAnsi="Times New Roman" w:cs="Times New Roman"/>
          <w:sz w:val="24"/>
          <w:lang w:val="de-DE"/>
        </w:rPr>
        <w:t>Pluskowski, A., Kunst, G.-K., Kucera, M., Bietak, M. &amp; Hein, I.) 55–61 (VIAS, 2010).</w:t>
      </w:r>
    </w:p>
    <w:p w:rsidR="00E24BFD" w:rsidRPr="00E24BFD" w:rsidRDefault="00E24BFD" w:rsidP="00E24BFD">
      <w:pPr>
        <w:pStyle w:val="Bibliografia"/>
        <w:spacing w:before="240" w:line="276" w:lineRule="auto"/>
        <w:rPr>
          <w:rFonts w:ascii="Times New Roman" w:hAnsi="Times New Roman" w:cs="Times New Roman"/>
          <w:sz w:val="24"/>
        </w:rPr>
      </w:pPr>
      <w:r w:rsidRPr="00E24BFD">
        <w:rPr>
          <w:rFonts w:ascii="Times New Roman" w:hAnsi="Times New Roman" w:cs="Times New Roman"/>
          <w:sz w:val="24"/>
        </w:rPr>
        <w:t>20.</w:t>
      </w:r>
      <w:r w:rsidRPr="00E24BFD">
        <w:rPr>
          <w:rFonts w:ascii="Times New Roman" w:hAnsi="Times New Roman" w:cs="Times New Roman"/>
          <w:sz w:val="24"/>
        </w:rPr>
        <w:tab/>
        <w:t xml:space="preserve">De Venuto, G. Animals and Economic Patterns in Medieval Apulia (South Italy): Preliminary Findings. in </w:t>
      </w:r>
      <w:r w:rsidRPr="00E24BFD">
        <w:rPr>
          <w:rFonts w:ascii="Times New Roman" w:hAnsi="Times New Roman" w:cs="Times New Roman"/>
          <w:i/>
          <w:iCs/>
          <w:sz w:val="24"/>
        </w:rPr>
        <w:t>Breaking and shaping beastly bodies: animals as material culture in the Middle Ages</w:t>
      </w:r>
      <w:r w:rsidRPr="00E24BFD">
        <w:rPr>
          <w:rFonts w:ascii="Times New Roman" w:hAnsi="Times New Roman" w:cs="Times New Roman"/>
          <w:sz w:val="24"/>
        </w:rPr>
        <w:t xml:space="preserve"> (ed. Pluskowski, A.) 217–234 (Oxbow, 2007).</w:t>
      </w:r>
    </w:p>
    <w:p w:rsidR="00E24BFD" w:rsidRPr="00E24BFD" w:rsidRDefault="00E24BFD" w:rsidP="00E24BFD">
      <w:pPr>
        <w:pStyle w:val="Bibliografia"/>
        <w:spacing w:before="240" w:line="276" w:lineRule="auto"/>
        <w:rPr>
          <w:rFonts w:ascii="Times New Roman" w:hAnsi="Times New Roman" w:cs="Times New Roman"/>
          <w:sz w:val="24"/>
        </w:rPr>
      </w:pPr>
      <w:r w:rsidRPr="00E24BFD">
        <w:rPr>
          <w:rFonts w:ascii="Times New Roman" w:hAnsi="Times New Roman" w:cs="Times New Roman"/>
          <w:sz w:val="24"/>
        </w:rPr>
        <w:t>21.</w:t>
      </w:r>
      <w:r w:rsidRPr="00E24BFD">
        <w:rPr>
          <w:rFonts w:ascii="Times New Roman" w:hAnsi="Times New Roman" w:cs="Times New Roman"/>
          <w:sz w:val="24"/>
        </w:rPr>
        <w:tab/>
        <w:t xml:space="preserve">Angulo, F. J., LeJeune, J. T. &amp; Rajala-Schultz, P. J. Unpasteurized Milk: A Continued Public Health Threat. </w:t>
      </w:r>
      <w:r w:rsidRPr="00E24BFD">
        <w:rPr>
          <w:rFonts w:ascii="Times New Roman" w:hAnsi="Times New Roman" w:cs="Times New Roman"/>
          <w:i/>
          <w:iCs/>
          <w:sz w:val="24"/>
        </w:rPr>
        <w:t>Clinical Infectious Diseases</w:t>
      </w:r>
      <w:r w:rsidRPr="00E24BFD">
        <w:rPr>
          <w:rFonts w:ascii="Times New Roman" w:hAnsi="Times New Roman" w:cs="Times New Roman"/>
          <w:sz w:val="24"/>
        </w:rPr>
        <w:t xml:space="preserve"> </w:t>
      </w:r>
      <w:r w:rsidRPr="00E24BFD">
        <w:rPr>
          <w:rFonts w:ascii="Times New Roman" w:hAnsi="Times New Roman" w:cs="Times New Roman"/>
          <w:b/>
          <w:bCs/>
          <w:sz w:val="24"/>
        </w:rPr>
        <w:t>48</w:t>
      </w:r>
      <w:r w:rsidRPr="00E24BFD">
        <w:rPr>
          <w:rFonts w:ascii="Times New Roman" w:hAnsi="Times New Roman" w:cs="Times New Roman"/>
          <w:sz w:val="24"/>
        </w:rPr>
        <w:t>, 93–100 (2009).</w:t>
      </w:r>
    </w:p>
    <w:p w:rsidR="000D5224" w:rsidRDefault="00E24BFD" w:rsidP="00E24BFD">
      <w:pPr>
        <w:spacing w:before="240"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end"/>
      </w:r>
    </w:p>
    <w:sectPr w:rsidR="000D5224">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5224"/>
    <w:rsid w:val="00010EB4"/>
    <w:rsid w:val="000D5224"/>
    <w:rsid w:val="00175D40"/>
    <w:rsid w:val="00250437"/>
    <w:rsid w:val="0043064C"/>
    <w:rsid w:val="00702E5B"/>
    <w:rsid w:val="00772E27"/>
    <w:rsid w:val="009572FF"/>
    <w:rsid w:val="00B72050"/>
    <w:rsid w:val="00D46BA0"/>
    <w:rsid w:val="00DA3625"/>
    <w:rsid w:val="00E24B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659A343-FAE5-403C-8725-D28B9EB25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style>
  <w:style w:type="paragraph" w:styleId="Titolo1">
    <w:name w:val="heading 1"/>
    <w:basedOn w:val="Normale"/>
    <w:next w:val="Normale"/>
    <w:pPr>
      <w:keepNext/>
      <w:keepLines/>
      <w:spacing w:before="400" w:after="120"/>
      <w:outlineLvl w:val="0"/>
    </w:pPr>
    <w:rPr>
      <w:sz w:val="40"/>
      <w:szCs w:val="40"/>
    </w:rPr>
  </w:style>
  <w:style w:type="paragraph" w:styleId="Titolo2">
    <w:name w:val="heading 2"/>
    <w:basedOn w:val="Normale"/>
    <w:next w:val="Normale"/>
    <w:pPr>
      <w:keepNext/>
      <w:keepLines/>
      <w:spacing w:before="360" w:after="120"/>
      <w:outlineLvl w:val="1"/>
    </w:pPr>
    <w:rPr>
      <w:sz w:val="32"/>
      <w:szCs w:val="32"/>
    </w:rPr>
  </w:style>
  <w:style w:type="paragraph" w:styleId="Titolo3">
    <w:name w:val="heading 3"/>
    <w:basedOn w:val="Normale"/>
    <w:next w:val="Normale"/>
    <w:pPr>
      <w:keepNext/>
      <w:keepLines/>
      <w:spacing w:before="320" w:after="80"/>
      <w:outlineLvl w:val="2"/>
    </w:pPr>
    <w:rPr>
      <w:color w:val="434343"/>
      <w:sz w:val="28"/>
      <w:szCs w:val="28"/>
    </w:rPr>
  </w:style>
  <w:style w:type="paragraph" w:styleId="Titolo4">
    <w:name w:val="heading 4"/>
    <w:basedOn w:val="Normale"/>
    <w:next w:val="Normale"/>
    <w:pPr>
      <w:keepNext/>
      <w:keepLines/>
      <w:spacing w:before="280" w:after="80"/>
      <w:outlineLvl w:val="3"/>
    </w:pPr>
    <w:rPr>
      <w:color w:val="666666"/>
      <w:sz w:val="24"/>
      <w:szCs w:val="24"/>
    </w:rPr>
  </w:style>
  <w:style w:type="paragraph" w:styleId="Titolo5">
    <w:name w:val="heading 5"/>
    <w:basedOn w:val="Normale"/>
    <w:next w:val="Normale"/>
    <w:pPr>
      <w:keepNext/>
      <w:keepLines/>
      <w:spacing w:before="240" w:after="80"/>
      <w:outlineLvl w:val="4"/>
    </w:pPr>
    <w:rPr>
      <w:color w:val="666666"/>
    </w:rPr>
  </w:style>
  <w:style w:type="paragraph" w:styleId="Titolo6">
    <w:name w:val="heading 6"/>
    <w:basedOn w:val="Normale"/>
    <w:next w:val="Normale"/>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after="60"/>
    </w:pPr>
    <w:rPr>
      <w:sz w:val="52"/>
      <w:szCs w:val="52"/>
    </w:rPr>
  </w:style>
  <w:style w:type="paragraph" w:styleId="Sottotitolo">
    <w:name w:val="Subtitle"/>
    <w:basedOn w:val="Normale"/>
    <w:next w:val="Normale"/>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Testofumetto">
    <w:name w:val="Balloon Text"/>
    <w:basedOn w:val="Normale"/>
    <w:link w:val="TestofumettoCarattere"/>
    <w:uiPriority w:val="99"/>
    <w:semiHidden/>
    <w:unhideWhenUsed/>
    <w:rsid w:val="00250437"/>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250437"/>
    <w:rPr>
      <w:rFonts w:ascii="Segoe UI" w:hAnsi="Segoe UI" w:cs="Segoe UI"/>
      <w:sz w:val="18"/>
      <w:szCs w:val="18"/>
    </w:rPr>
  </w:style>
  <w:style w:type="paragraph" w:styleId="Bibliografia">
    <w:name w:val="Bibliography"/>
    <w:basedOn w:val="Normale"/>
    <w:next w:val="Normale"/>
    <w:uiPriority w:val="37"/>
    <w:unhideWhenUsed/>
    <w:rsid w:val="00E24BFD"/>
    <w:pPr>
      <w:tabs>
        <w:tab w:val="left" w:pos="384"/>
      </w:tabs>
      <w:spacing w:line="480" w:lineRule="auto"/>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andoradata.earth/dataset/249a8684-7bee-4508-9a88-ed30391d596a/resource/50cf7d52-aca9-406c-9dc8-dad1f4a36b24/download/montecorvino-and-san-lorenzo-model.zip" TargetMode="External"/><Relationship Id="rId5" Type="http://schemas.openxmlformats.org/officeDocument/2006/relationships/hyperlink" Target="https://pandoradata.earth/dataset/249a8684-7bee-4508-9a88-ed30391d596a/resource/a87a2de9-77e0-452a-a539-7e36e33cff5f/download/tertiveri-clusters.zip" TargetMode="External"/><Relationship Id="rId4" Type="http://schemas.openxmlformats.org/officeDocument/2006/relationships/hyperlink" Target="https://github.com/Pandora-IsoMemo/resour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9452</Words>
  <Characters>53883</Characters>
  <Application>Microsoft Office Word</Application>
  <DocSecurity>0</DocSecurity>
  <Lines>449</Lines>
  <Paragraphs>126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dc:creator>
  <cp:lastModifiedBy>Carlo</cp:lastModifiedBy>
  <cp:revision>3</cp:revision>
  <dcterms:created xsi:type="dcterms:W3CDTF">2023-02-20T15:50:00Z</dcterms:created>
  <dcterms:modified xsi:type="dcterms:W3CDTF">2023-02-20T15:50:00Z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zotero-version="6.0.20"&gt;&lt;session id="Nsfkzgor"/&gt;&lt;style id="http://www.zotero.org/styles/nature" hasBibliography="1" bibliographyStyleHasBeenSet="1"/&gt;&lt;prefs&gt;&lt;pref name="fieldType" value="Field"/&gt;&lt;/prefs&gt;&lt;/data&gt;</vt:lpwstr>
  </property>
</Properties>
</file>