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1D0FD" w14:textId="2BE4D538" w:rsidR="002475CE" w:rsidRPr="000F3EA2" w:rsidRDefault="000F3EA2" w:rsidP="0065172E">
      <w:pPr>
        <w:rPr>
          <w:b/>
          <w:bCs/>
          <w:iCs/>
        </w:rPr>
      </w:pPr>
      <w:bookmarkStart w:id="0" w:name="_Hlk103072746"/>
      <w:r w:rsidRPr="000F3EA2">
        <w:rPr>
          <w:b/>
          <w:bCs/>
          <w:iCs/>
        </w:rPr>
        <w:t>Sampling,</w:t>
      </w:r>
      <w:r w:rsidR="002475CE" w:rsidRPr="000F3EA2">
        <w:rPr>
          <w:b/>
          <w:bCs/>
          <w:iCs/>
        </w:rPr>
        <w:t xml:space="preserve"> DNA extraction</w:t>
      </w:r>
      <w:r w:rsidRPr="000F3EA2">
        <w:rPr>
          <w:b/>
          <w:bCs/>
          <w:iCs/>
        </w:rPr>
        <w:t xml:space="preserve"> and amplification of the V3-V4 region of the 16S rRNA gene for </w:t>
      </w:r>
      <w:r>
        <w:rPr>
          <w:b/>
          <w:bCs/>
          <w:iCs/>
        </w:rPr>
        <w:t>t</w:t>
      </w:r>
      <w:r w:rsidRPr="000F3EA2">
        <w:rPr>
          <w:b/>
          <w:bCs/>
          <w:iCs/>
        </w:rPr>
        <w:t>est samples</w:t>
      </w:r>
      <w:bookmarkEnd w:id="0"/>
      <w:r w:rsidR="002475CE" w:rsidRPr="000F3EA2">
        <w:rPr>
          <w:b/>
          <w:bCs/>
          <w:iCs/>
        </w:rPr>
        <w:t xml:space="preserve"> </w:t>
      </w:r>
    </w:p>
    <w:p w14:paraId="6A5243E8" w14:textId="06989A96" w:rsidR="00E15E16" w:rsidRDefault="00E15E16" w:rsidP="0065172E">
      <w:pPr>
        <w:ind w:firstLine="708"/>
      </w:pPr>
      <w:r>
        <w:t xml:space="preserve">Faecal pellets of </w:t>
      </w:r>
      <w:r w:rsidR="00A17AAB">
        <w:t xml:space="preserve">European brown </w:t>
      </w:r>
      <w:r>
        <w:t>hare (</w:t>
      </w:r>
      <w:r w:rsidRPr="002475CE">
        <w:rPr>
          <w:i/>
          <w:iCs/>
        </w:rPr>
        <w:t>Lepus</w:t>
      </w:r>
      <w:r>
        <w:t xml:space="preserve"> spp.) and red deer (</w:t>
      </w:r>
      <w:r w:rsidRPr="002475CE">
        <w:rPr>
          <w:i/>
          <w:iCs/>
        </w:rPr>
        <w:t>Cervus elaphus</w:t>
      </w:r>
      <w:r>
        <w:t xml:space="preserve">) along with </w:t>
      </w:r>
      <w:proofErr w:type="spellStart"/>
      <w:r>
        <w:rPr>
          <w:i/>
        </w:rPr>
        <w:t>Carex</w:t>
      </w:r>
      <w:proofErr w:type="spellEnd"/>
      <w:r>
        <w:t xml:space="preserve"> spp. rhizosphere soil and invertebrate taxa (</w:t>
      </w:r>
      <w:proofErr w:type="spellStart"/>
      <w:r>
        <w:rPr>
          <w:i/>
        </w:rPr>
        <w:t>Lumbricus</w:t>
      </w:r>
      <w:proofErr w:type="spellEnd"/>
      <w:r>
        <w:t xml:space="preserve"> spp., Coleoptera, Collembola, Nematoda) considered in the test samples were collected in </w:t>
      </w:r>
      <w:r w:rsidRPr="008F014B">
        <w:t xml:space="preserve">Val </w:t>
      </w:r>
      <w:proofErr w:type="spellStart"/>
      <w:r w:rsidRPr="008F014B">
        <w:t>Mazia</w:t>
      </w:r>
      <w:proofErr w:type="spellEnd"/>
      <w:r w:rsidRPr="008F014B">
        <w:t>/</w:t>
      </w:r>
      <w:proofErr w:type="spellStart"/>
      <w:r w:rsidRPr="008F014B">
        <w:t>Matschertal</w:t>
      </w:r>
      <w:proofErr w:type="spellEnd"/>
      <w:r w:rsidRPr="008F014B">
        <w:t xml:space="preserve">, South Tyrol, Italy </w:t>
      </w:r>
      <w:r>
        <w:t>(</w:t>
      </w:r>
      <w:r w:rsidRPr="008F014B">
        <w:t>site code LTER_EU_IT_097, 46.6928°, 10.6157°</w:t>
      </w:r>
      <w:r>
        <w:t xml:space="preserve">) between </w:t>
      </w:r>
      <w:r w:rsidRPr="008F014B">
        <w:t>15/07/</w:t>
      </w:r>
      <w:r>
        <w:t>20</w:t>
      </w:r>
      <w:r w:rsidRPr="008F014B">
        <w:t xml:space="preserve">19 </w:t>
      </w:r>
      <w:r>
        <w:t>and</w:t>
      </w:r>
      <w:r w:rsidRPr="008F014B">
        <w:t xml:space="preserve"> 15/08/</w:t>
      </w:r>
      <w:r>
        <w:t>20</w:t>
      </w:r>
      <w:r w:rsidRPr="008F014B">
        <w:t>19</w:t>
      </w:r>
      <w:r>
        <w:t>.</w:t>
      </w:r>
    </w:p>
    <w:p w14:paraId="00894FE2" w14:textId="278D661D" w:rsidR="00430263" w:rsidRDefault="00E15E16" w:rsidP="0065172E">
      <w:pPr>
        <w:ind w:firstLine="708"/>
      </w:pPr>
      <w:r>
        <w:t xml:space="preserve">Fresh faecal pellets </w:t>
      </w:r>
      <w:r w:rsidR="005E2A4A">
        <w:t xml:space="preserve">of </w:t>
      </w:r>
      <w:r w:rsidR="0002662C">
        <w:t xml:space="preserve">European brown </w:t>
      </w:r>
      <w:r w:rsidR="005E2A4A">
        <w:t>hare (</w:t>
      </w:r>
      <w:r w:rsidR="005E2A4A" w:rsidRPr="002475CE">
        <w:rPr>
          <w:i/>
          <w:iCs/>
        </w:rPr>
        <w:t>Lepus</w:t>
      </w:r>
      <w:r w:rsidR="005E2A4A">
        <w:t xml:space="preserve"> spp.) and red deer (</w:t>
      </w:r>
      <w:r w:rsidR="005E2A4A" w:rsidRPr="002475CE">
        <w:rPr>
          <w:i/>
          <w:iCs/>
        </w:rPr>
        <w:t>Cervus elaphus</w:t>
      </w:r>
      <w:r w:rsidR="005E2A4A">
        <w:t xml:space="preserve">) </w:t>
      </w:r>
      <w:r>
        <w:t xml:space="preserve">were collected using sterile tweezers in sterile 15 ml polypropylene tubes and stored on dry ice for up to 8 hours before being transferred to the Fondazione E. Mach (Trento, Italy) and stored at -80°C until pooling and DNA extraction. </w:t>
      </w:r>
      <w:r w:rsidRPr="00B2407F">
        <w:t>F</w:t>
      </w:r>
      <w:r>
        <w:t>a</w:t>
      </w:r>
      <w:r w:rsidRPr="00B2407F">
        <w:t xml:space="preserve">ecal pellets were dissected in a biological cabinet with sterile forceps and blades. The samples were generated by dissecting the central region of the pellet along the longitudinal axis (avoiding the two terminal regions) and were made in such a way as to sample both the outer and the inner region of the pellet. </w:t>
      </w:r>
      <w:r w:rsidR="00430263">
        <w:t>For both European brown hare (</w:t>
      </w:r>
      <w:r w:rsidR="00430263" w:rsidRPr="00430263">
        <w:t>two pellets</w:t>
      </w:r>
      <w:r w:rsidR="00430263">
        <w:t>) and red deer (</w:t>
      </w:r>
      <w:r w:rsidR="00430263" w:rsidRPr="00430263">
        <w:t>three pellets</w:t>
      </w:r>
      <w:r w:rsidR="00430263">
        <w:t>), three technical r</w:t>
      </w:r>
      <w:r w:rsidRPr="00B2407F">
        <w:t xml:space="preserve">eplicates were generated by </w:t>
      </w:r>
      <w:r w:rsidR="0002662C">
        <w:t>performing</w:t>
      </w:r>
      <w:r>
        <w:t xml:space="preserve"> </w:t>
      </w:r>
      <w:r w:rsidRPr="00B2407F">
        <w:t>multiple dissections from the same pellet</w:t>
      </w:r>
      <w:r w:rsidR="00430263">
        <w:t>.</w:t>
      </w:r>
      <w:r w:rsidR="0002662C">
        <w:t xml:space="preserve"> </w:t>
      </w:r>
    </w:p>
    <w:p w14:paraId="51A54B22" w14:textId="1D9D8082" w:rsidR="00B2407F" w:rsidRPr="00A17AAB" w:rsidRDefault="008F014B" w:rsidP="0065172E">
      <w:pPr>
        <w:ind w:firstLine="708"/>
        <w:rPr>
          <w:lang w:val="en-US"/>
        </w:rPr>
      </w:pPr>
      <w:r w:rsidRPr="008F014B">
        <w:t xml:space="preserve">Sampling of </w:t>
      </w:r>
      <w:proofErr w:type="spellStart"/>
      <w:r w:rsidRPr="000F3EA2">
        <w:rPr>
          <w:i/>
          <w:iCs/>
        </w:rPr>
        <w:t>Carex</w:t>
      </w:r>
      <w:proofErr w:type="spellEnd"/>
      <w:r w:rsidRPr="000F3EA2">
        <w:rPr>
          <w:i/>
          <w:iCs/>
        </w:rPr>
        <w:t xml:space="preserve"> </w:t>
      </w:r>
      <w:r w:rsidRPr="008F014B">
        <w:t>sp</w:t>
      </w:r>
      <w:r w:rsidR="000F3EA2">
        <w:t>p</w:t>
      </w:r>
      <w:r w:rsidRPr="008F014B">
        <w:t xml:space="preserve">. with entire root system and rhizosphere soil collection </w:t>
      </w:r>
      <w:r w:rsidR="00527C6D">
        <w:t>have been performed according to</w:t>
      </w:r>
      <w:r w:rsidR="00F825BE">
        <w:t xml:space="preserve"> </w:t>
      </w:r>
      <w:r w:rsidR="001F67DB">
        <w:rPr>
          <w:rStyle w:val="FootnoteReference"/>
        </w:rPr>
        <w:fldChar w:fldCharType="begin" w:fldLock="1"/>
      </w:r>
      <w:r w:rsidR="00A41E37">
        <w:instrText>ADDIN CSL_CITATION {"citationItems":[{"id":"ITEM-1","itemData":{"DOI":"10.1007/S13213-012-0491-Y","ISSN":"1869-2044","abstract":"Plants-microorganisms interactions play a fundamental role in terrestrial ecosystems and various methods have been reported for plant-associated bacteria extraction. However, these methods exhibit notable variations and lack of some procedural details that may impact the interpretations of results. We propose here a standardized and detailed protocol for the independent extraction of bulk, rhizosphere and rhizoplan soil fractions. This protocol was applied to the sampling of different polluted soil fractions collected in the vicinity of Arabidopsis halleri dense root system. It allowed us to determine the cultivable bacterial densities in each fraction and to confirm the existence of a bacterial gradient linked to roots distance, with a higher amount of bacteria in the rhizospheric area. We suggest to use this unified procedure as a common basis for soil sampling and bacterial communities analysis from other roots systems.","author":[{"dropping-particle":"","family":"Barillot","given":"Cindy D. C.","non-dropping-particle":"","parse-names":false,"suffix":""},{"dropping-particle":"","family":"Sarde","given":"Claude-Olivier","non-dropping-particle":"","parse-names":false,"suffix":""},{"dropping-particle":"","family":"Bert","given":"Valerie","non-dropping-particle":"","parse-names":false,"suffix":""},{"dropping-particle":"","family":"Tarnaud","given":"Eric","non-dropping-particle":"","parse-names":false,"suffix":""},{"dropping-particle":"","family":"Cochet","given":"Nelly","non-dropping-particle":"","parse-names":false,"suffix":""}],"container-title":"Annals of Microbiology 2012 63:2","id":"ITEM-1","issue":"2","issued":{"date-parts":[["2013","6","21"]]},"page":"471-476","publisher":"BioMed Central","title":"A standardized method for the sampling of rhizosphere and rhizoplan soil bacteria associated to a herbaceous root system","type":"article-journal","volume":"63"},"uris":["http://www.mendeley.com/documents/?uuid=ae615463-e78e-3253-b128-642417aacb27"]},{"id":"ITEM-2","itemData":{"DOI":"10.3389/FMICB.2019.01429","ISSN":"1664-302X","abstract":"Serving as ‘natural laboratories’, altitudinal gradients can be used to study changes in the distribution of microorganisms in response to changing environmental conditions that typically occur over short geographical distances. Besides, rhizosphere zones of plants are known to be hot-spots for microbial diversity and to contain different microbial communities when compared with surrounding bulk soil. To discriminate the effects of altitude and plants, we investigated the microbial communities in the rhizosphere of Ranunculus glacialis and bulk soil along a high-alpine altitudinal gradient (2600–3400 m a.s.l.). The research area of this study was Mount (Mt.) ‘Schrankogel’ in the Central Alps of Tyrol (Austria). Our results point to significantly different microbial diversities and community compositions in the different altitudinal belts. In the case of prokaryotes, environmental parameters could explain 41% of the total variation of soil communities, with pH and temperature being the strongest influencing factors. Comparing the effects derived from fraction (bulk vs. rhizosphere soil) and environmental factors, the effects of the roots of R. glacialis accounted for about one third of the explained variation. Fungal communities on the other hand were nearly exclusively influenced by environmental parameters accounting for 37.4% of the total variation. Both, for altitudinal zones as well as for bulk and rhizosphere fractions a couple of very specific biomarker taxa could be identified. Generally, the patterns of abundance of several taxa did not follow a steady increased or decreased trend along the altitudinal gradient but in many cases a maximal or minimal occurrence was established at mid-altitudes (3000–3100 m). This mid-altitudinal zone is a transition zone (the so-called alpine-nival ecotone) between the (lower) alpine grassland/tundra zone and the (upper) sparsely vegetated nival zone and was shown to correspond with the summer snow line. Climate change and the associated increase in temperature will shift this transition zone and thus, might also shift the described microbial patterns and biomarkers.","author":[{"dropping-particle":"","family":"Praeg","given":"Nadine","non-dropping-particle":"","parse-names":false,"suffix":""},{"dropping-particle":"","family":"Pauli","given":"Harald","non-dropping-particle":"","parse-names":false,"suffix":""},{"dropping-particle":"","family":"Illmer","given":"Paul","non-dropping-particle":"","parse-names":false,"suffix":""}],"container-title":"Frontiers in Microbiology","id":"ITEM-2","issue":"JULY","issued":{"date-parts":[["2019"]]},"page":"1429","publisher":"Frontiers","title":"Microbial Diversity in Bulk and Rhizosphere Soil of Ranunculus glacialis Along a High-Alpine Altitudinal Gradient","type":"article-journal","volume":"0"},"uris":["http://www.mendeley.com/documents/?uuid=67323357-064a-3791-9fbd-c71102d52ee3"]}],"mendeley":{"formattedCitation":"&lt;sup&gt;[1],[2]&lt;/sup&gt;","plainTextFormattedCitation":"[1],[2]","previouslyFormattedCitation":"(Barillot et al. 2013; Praeg, Pauli, and Illmer 2019)"},"properties":{"noteIndex":0},"schema":"https://github.com/citation-style-language/schema/raw/master/csl-citation.json"}</w:instrText>
      </w:r>
      <w:r w:rsidR="001F67DB">
        <w:rPr>
          <w:rStyle w:val="FootnoteReference"/>
        </w:rPr>
        <w:fldChar w:fldCharType="separate"/>
      </w:r>
      <w:r w:rsidR="00A41E37" w:rsidRPr="00A41E37">
        <w:rPr>
          <w:noProof/>
          <w:vertAlign w:val="superscript"/>
        </w:rPr>
        <w:t>[1],[2]</w:t>
      </w:r>
      <w:r w:rsidR="001F67DB">
        <w:rPr>
          <w:rStyle w:val="FootnoteReference"/>
        </w:rPr>
        <w:fldChar w:fldCharType="end"/>
      </w:r>
      <w:r w:rsidR="00527C6D">
        <w:t xml:space="preserve">. </w:t>
      </w:r>
      <w:r w:rsidR="00281ADA">
        <w:t xml:space="preserve">A single soil sample </w:t>
      </w:r>
      <w:r w:rsidR="00281ADA">
        <w:rPr>
          <w:lang w:val="en-US"/>
        </w:rPr>
        <w:t>was then split in nine aliquots (</w:t>
      </w:r>
      <w:r w:rsidR="001F67DB">
        <w:rPr>
          <w:lang w:val="en-US"/>
        </w:rPr>
        <w:t xml:space="preserve">technical </w:t>
      </w:r>
      <w:r w:rsidR="00281ADA">
        <w:rPr>
          <w:lang w:val="en-US"/>
        </w:rPr>
        <w:t>replicates) before the incorporation of the corresponding amount of MC</w:t>
      </w:r>
      <w:r w:rsidR="001F67DB">
        <w:rPr>
          <w:lang w:val="en-US"/>
        </w:rPr>
        <w:t xml:space="preserve"> (Table 3)</w:t>
      </w:r>
      <w:r w:rsidR="00281ADA">
        <w:rPr>
          <w:lang w:val="en-US"/>
        </w:rPr>
        <w:t xml:space="preserve"> and subsequent DNA extraction. </w:t>
      </w:r>
    </w:p>
    <w:p w14:paraId="06BB9D16" w14:textId="7B095EBD" w:rsidR="00B2407F" w:rsidRDefault="00527C6D" w:rsidP="0065172E">
      <w:pPr>
        <w:ind w:firstLine="708"/>
      </w:pPr>
      <w:proofErr w:type="spellStart"/>
      <w:r w:rsidRPr="00527C6D">
        <w:rPr>
          <w:i/>
          <w:iCs/>
        </w:rPr>
        <w:t>Lumbricus</w:t>
      </w:r>
      <w:proofErr w:type="spellEnd"/>
      <w:r>
        <w:t xml:space="preserve"> spp. individuals were collected by </w:t>
      </w:r>
      <w:r w:rsidRPr="00527C6D">
        <w:t>hand sampling</w:t>
      </w:r>
      <w:r w:rsidR="00FD2A43">
        <w:t xml:space="preserve"> </w:t>
      </w:r>
      <w:r w:rsidR="001F67DB">
        <w:rPr>
          <w:rStyle w:val="FootnoteReference"/>
        </w:rPr>
        <w:fldChar w:fldCharType="begin" w:fldLock="1"/>
      </w:r>
      <w:r w:rsidR="00A41E37">
        <w:instrText>ADDIN CSL_CITATION {"citationItems":[{"id":"ITEM-1","itemData":{"DOI":"10.1111/ICAD.12173","ISSN":"1752-4598","abstract":"In order to assess the impact of global warming on the biodiversity of the tropical high Andean páramo ecosystem, we compared historical and recent surveys of ground beetle communities along elevational gradients of the Pichincha volcano (Northern Ecuador). The studied datasets date to 1880, 1985/86 and 2013/15. From 1880 to 1985, the bottom range of at least one stenotopic and wingless high-altitude species, Dyscolus diopsis, has shifted approximately 300 m upward, with the resulting area reduction of more than 90% from &gt;12 km2 to &lt;1 km2, which highlights the probability of future local extinctions on the Pichincha as well as on other mountains of Ecuador. Over a shorter period of time, the comparison of the 1985/86 and 2013/14 datasets indicates that the lower limit of the superpáramo ground beetle community has shifted upwards from circa 4300 m to circa 4400 m. Different individual responses are recorded among the species. Some of them did not experience any significant change, whereas the upper limit of one of the grassland generalists has shifted upwards at least 400 m in 28 years. These results suggest that the response to global warming varies from one species to the other, depending on their degree of specialisation and tolerance. They call for the implementation of a monitoring programme that would use carabid assemblages as an indicator of the impact of climate change on the páramo ecosystem, in combination with other proxies.","author":[{"dropping-particle":"","family":"Moret","given":"Pierre","non-dropping-particle":"","parse-names":false,"suffix":""},{"dropping-particle":"","family":"Aráuz","given":"María de los Ángeles","non-dropping-particle":"","parse-names":false,"suffix":""},{"dropping-particle":"","family":"Gobbi","given":"Mauro","non-dropping-particle":"","parse-names":false,"suffix":""},{"dropping-particle":"","family":"Barragán","given":"Álvaro","non-dropping-particle":"","parse-names":false,"suffix":""}],"container-title":"Insect Conservation and Diversity","id":"ITEM-1","issue":"4","issued":{"date-parts":[["2016","7","1"]]},"page":"342-350","publisher":"John Wiley &amp; Sons, Ltd","title":"Climate warming effects in the tropical Andes: first evidence for upslope shifts of Carabidae (Coleoptera) in Ecuador","type":"article-journal","volume":"9"},"uris":["http://www.mendeley.com/documents/?uuid=efc53c00-0d6d-32a9-8531-f1ee780d830f"]}],"mendeley":{"formattedCitation":"&lt;sup&gt;[3]&lt;/sup&gt;","plainTextFormattedCitation":"[3]","previouslyFormattedCitation":"(Moret et al. 2016)"},"properties":{"noteIndex":0},"schema":"https://github.com/citation-style-language/schema/raw/master/csl-citation.json"}</w:instrText>
      </w:r>
      <w:r w:rsidR="001F67DB">
        <w:rPr>
          <w:rStyle w:val="FootnoteReference"/>
        </w:rPr>
        <w:fldChar w:fldCharType="separate"/>
      </w:r>
      <w:r w:rsidR="00A41E37" w:rsidRPr="00A41E37">
        <w:rPr>
          <w:noProof/>
          <w:vertAlign w:val="superscript"/>
        </w:rPr>
        <w:t>[3]</w:t>
      </w:r>
      <w:r w:rsidR="001F67DB">
        <w:rPr>
          <w:rStyle w:val="FootnoteReference"/>
        </w:rPr>
        <w:fldChar w:fldCharType="end"/>
      </w:r>
      <w:r>
        <w:t xml:space="preserve">. </w:t>
      </w:r>
      <w:r w:rsidR="00750067">
        <w:t>S</w:t>
      </w:r>
      <w:r w:rsidR="00750067" w:rsidRPr="00750067">
        <w:t>ingle animal</w:t>
      </w:r>
      <w:r w:rsidR="00750067">
        <w:t>s</w:t>
      </w:r>
      <w:r w:rsidR="00750067" w:rsidRPr="00750067">
        <w:t xml:space="preserve"> w</w:t>
      </w:r>
      <w:r w:rsidR="00750067">
        <w:t>ere</w:t>
      </w:r>
      <w:r w:rsidR="00750067" w:rsidRPr="00750067">
        <w:t xml:space="preserve"> grounded to powder with a sterile mortal containing liquid nitrogen and a sterile pestle. Approximately 10mg of frozen animal powder was transferred in Eppendorf™ Safe-Lock Tubes, Forensic DNA Grade (Fisher Scientific) to generate multiple replicated aliquots of the same animal.</w:t>
      </w:r>
      <w:r w:rsidR="0002662C">
        <w:t xml:space="preserve"> DNA extractions were performed from three individuals</w:t>
      </w:r>
      <w:r w:rsidR="00281ADA">
        <w:t>;</w:t>
      </w:r>
      <w:r w:rsidR="0002662C">
        <w:t xml:space="preserve"> </w:t>
      </w:r>
      <w:r w:rsidR="001F67DB">
        <w:t xml:space="preserve">the powder of </w:t>
      </w:r>
      <w:proofErr w:type="gramStart"/>
      <w:r w:rsidR="0002662C">
        <w:t xml:space="preserve">each </w:t>
      </w:r>
      <w:r w:rsidR="00281ADA">
        <w:t>individual</w:t>
      </w:r>
      <w:proofErr w:type="gramEnd"/>
      <w:r w:rsidR="00281ADA">
        <w:t xml:space="preserve"> was </w:t>
      </w:r>
      <w:r w:rsidR="0002662C">
        <w:t>investigated using three technical replicates</w:t>
      </w:r>
      <w:r w:rsidR="00A17AAB">
        <w:t xml:space="preserve"> with a different amount of MC</w:t>
      </w:r>
      <w:r w:rsidR="001F67DB">
        <w:t xml:space="preserve"> </w:t>
      </w:r>
      <w:r w:rsidR="001F67DB">
        <w:rPr>
          <w:lang w:val="en-US"/>
        </w:rPr>
        <w:t>(Table 3)</w:t>
      </w:r>
      <w:r w:rsidR="0002662C">
        <w:t>.</w:t>
      </w:r>
    </w:p>
    <w:p w14:paraId="5849A7DB" w14:textId="69592C91" w:rsidR="009E2A87" w:rsidRDefault="00A17AAB" w:rsidP="0065172E">
      <w:pPr>
        <w:ind w:firstLine="708"/>
        <w:rPr>
          <w:lang w:val="en-US"/>
        </w:rPr>
      </w:pPr>
      <w:r>
        <w:rPr>
          <w:lang w:val="en-US"/>
        </w:rPr>
        <w:t xml:space="preserve">Alive </w:t>
      </w:r>
      <w:proofErr w:type="spellStart"/>
      <w:r>
        <w:rPr>
          <w:lang w:val="en-US"/>
        </w:rPr>
        <w:t>Carabidae</w:t>
      </w:r>
      <w:proofErr w:type="spellEnd"/>
      <w:r w:rsidR="00527C6D">
        <w:rPr>
          <w:lang w:val="en-US"/>
        </w:rPr>
        <w:t xml:space="preserve"> </w:t>
      </w:r>
      <w:r>
        <w:rPr>
          <w:lang w:val="en-US"/>
        </w:rPr>
        <w:t>were collected by</w:t>
      </w:r>
      <w:r w:rsidR="00527C6D">
        <w:rPr>
          <w:lang w:val="en-US"/>
        </w:rPr>
        <w:t xml:space="preserve"> </w:t>
      </w:r>
      <w:r w:rsidR="00527C6D" w:rsidRPr="00527C6D">
        <w:rPr>
          <w:lang w:val="en-US"/>
        </w:rPr>
        <w:t>hand sampling</w:t>
      </w:r>
      <w:r w:rsidR="00FD2A43">
        <w:rPr>
          <w:lang w:val="en-US"/>
        </w:rPr>
        <w:t xml:space="preserve"> </w:t>
      </w:r>
      <w:r w:rsidR="001F67DB">
        <w:rPr>
          <w:rStyle w:val="FootnoteReference"/>
        </w:rPr>
        <w:fldChar w:fldCharType="begin" w:fldLock="1"/>
      </w:r>
      <w:r w:rsidR="00A41E37">
        <w:instrText>ADDIN CSL_CITATION {"citationItems":[{"id":"ITEM-1","itemData":{"DOI":"10.1111/ICAD.12173","ISSN":"1752-4598","abstract":"In order to assess the impact of global warming on the biodiversity of the tropical high Andean páramo ecosystem, we compared historical and recent surveys of ground beetle communities along elevational gradients of the Pichincha volcano (Northern Ecuador). The studied datasets date to 1880, 1985/86 and 2013/15. From 1880 to 1985, the bottom range of at least one stenotopic and wingless high-altitude species, Dyscolus diopsis, has shifted approximately 300 m upward, with the resulting area reduction of more than 90% from &gt;12 km2 to &lt;1 km2, which highlights the probability of future local extinctions on the Pichincha as well as on other mountains of Ecuador. Over a shorter period of time, the comparison of the 1985/86 and 2013/14 datasets indicates that the lower limit of the superpáramo ground beetle community has shifted upwards from circa 4300 m to circa 4400 m. Different individual responses are recorded among the species. Some of them did not experience any significant change, whereas the upper limit of one of the grassland generalists has shifted upwards at least 400 m in 28 years. These results suggest that the response to global warming varies from one species to the other, depending on their degree of specialisation and tolerance. They call for the implementation of a monitoring programme that would use carabid assemblages as an indicator of the impact of climate change on the páramo ecosystem, in combination with other proxies.","author":[{"dropping-particle":"","family":"Moret","given":"Pierre","non-dropping-particle":"","parse-names":false,"suffix":""},{"dropping-particle":"","family":"Aráuz","given":"María de los Ángeles","non-dropping-particle":"","parse-names":false,"suffix":""},{"dropping-particle":"","family":"Gobbi","given":"Mauro","non-dropping-particle":"","parse-names":false,"suffix":""},{"dropping-particle":"","family":"Barragán","given":"Álvaro","non-dropping-particle":"","parse-names":false,"suffix":""}],"container-title":"Insect Conservation and Diversity","id":"ITEM-1","issue":"4","issued":{"date-parts":[["2016","7","1"]]},"page":"342-350","publisher":"John Wiley &amp; Sons, Ltd","title":"Climate warming effects in the tropical Andes: first evidence for upslope shifts of Carabidae (Coleoptera) in Ecuador","type":"article-journal","volume":"9"},"uris":["http://www.mendeley.com/documents/?uuid=efc53c00-0d6d-32a9-8531-f1ee780d830f"]}],"mendeley":{"formattedCitation":"&lt;sup&gt;[3]&lt;/sup&gt;","plainTextFormattedCitation":"[3]","previouslyFormattedCitation":"(Moret et al. 2016)"},"properties":{"noteIndex":0},"schema":"https://github.com/citation-style-language/schema/raw/master/csl-citation.json"}</w:instrText>
      </w:r>
      <w:r w:rsidR="001F67DB">
        <w:rPr>
          <w:rStyle w:val="FootnoteReference"/>
        </w:rPr>
        <w:fldChar w:fldCharType="separate"/>
      </w:r>
      <w:r w:rsidR="00A41E37" w:rsidRPr="00A41E37">
        <w:rPr>
          <w:noProof/>
          <w:vertAlign w:val="superscript"/>
        </w:rPr>
        <w:t>[3]</w:t>
      </w:r>
      <w:r w:rsidR="001F67DB">
        <w:rPr>
          <w:rStyle w:val="FootnoteReference"/>
        </w:rPr>
        <w:fldChar w:fldCharType="end"/>
      </w:r>
      <w:r w:rsidR="00527C6D" w:rsidRPr="00527C6D">
        <w:rPr>
          <w:lang w:val="en-US"/>
        </w:rPr>
        <w:t>. Following the taxonomic identification using morphological keys</w:t>
      </w:r>
      <w:r w:rsidR="00FD2A43">
        <w:rPr>
          <w:lang w:val="en-US"/>
        </w:rPr>
        <w:t xml:space="preserve"> </w:t>
      </w:r>
      <w:r w:rsidR="001F67DB">
        <w:rPr>
          <w:rStyle w:val="FootnoteReference"/>
          <w:lang w:val="en-US"/>
        </w:rPr>
        <w:fldChar w:fldCharType="begin" w:fldLock="1"/>
      </w:r>
      <w:r w:rsidR="00A41E37">
        <w:rPr>
          <w:lang w:val="en-US"/>
        </w:rPr>
        <w:instrText>ADDIN CSL_CITATION {"citationItems":[{"id":"ITEM-1","itemData":{"URL":"https://scholar.google.com/scholar?hl=it&amp;as_sdt=0%2C5&amp;q=Insetti+della+Fauna+italiana.+Coleotteri+Carabidi+I.+Natura.+&amp;btnG=","accessed":{"date-parts":[["2021","9","8"]]},"author":[{"dropping-particle":"","family":"Pesarini, C. Monzini","given":"V.","non-dropping-particle":"","parse-names":false,"suffix":""}],"id":"ITEM-1","issued":{"date-parts":[["0"]]},"title":"Insetti della fauna italiana. Coleotteri Carabidi I. Natura","type":"webpage"},"uris":["http://www.mendeley.com/documents/?uuid=729640f8-269e-3b5f-b54f-3a344efc9871"]}],"mendeley":{"formattedCitation":"&lt;sup&gt;[4]&lt;/sup&gt;","plainTextFormattedCitation":"[4]","previouslyFormattedCitation":"(Pesarini, C. Monzini n.d.)"},"properties":{"noteIndex":0},"schema":"https://github.com/citation-style-language/schema/raw/master/csl-citation.json"}</w:instrText>
      </w:r>
      <w:r w:rsidR="001F67DB">
        <w:rPr>
          <w:rStyle w:val="FootnoteReference"/>
          <w:lang w:val="en-US"/>
        </w:rPr>
        <w:fldChar w:fldCharType="separate"/>
      </w:r>
      <w:r w:rsidR="00A41E37" w:rsidRPr="00A41E37">
        <w:rPr>
          <w:noProof/>
          <w:vertAlign w:val="superscript"/>
          <w:lang w:val="en-US"/>
        </w:rPr>
        <w:t>[4]</w:t>
      </w:r>
      <w:r w:rsidR="001F67DB">
        <w:rPr>
          <w:rStyle w:val="FootnoteReference"/>
          <w:lang w:val="en-US"/>
        </w:rPr>
        <w:fldChar w:fldCharType="end"/>
      </w:r>
      <w:r w:rsidR="00527C6D" w:rsidRPr="00527C6D">
        <w:rPr>
          <w:lang w:val="en-US"/>
        </w:rPr>
        <w:t>, the animals were rinsed with a in 0.1 M Tris Saline Buffer to remove soil and stored at -20°C.</w:t>
      </w:r>
      <w:r w:rsidR="00527C6D">
        <w:rPr>
          <w:lang w:val="en-US"/>
        </w:rPr>
        <w:t xml:space="preserve"> </w:t>
      </w:r>
      <w:r w:rsidR="00B2407F">
        <w:rPr>
          <w:lang w:val="en-US"/>
        </w:rPr>
        <w:t>For DNA extraction, a</w:t>
      </w:r>
      <w:r w:rsidR="00B2407F" w:rsidRPr="00B2407F">
        <w:rPr>
          <w:lang w:val="en-US"/>
        </w:rPr>
        <w:t xml:space="preserve"> single individual was homogenized in 100ml sterile DNA/</w:t>
      </w:r>
      <w:proofErr w:type="spellStart"/>
      <w:r w:rsidR="00B2407F" w:rsidRPr="00B2407F">
        <w:rPr>
          <w:lang w:val="en-US"/>
        </w:rPr>
        <w:t>DNAse</w:t>
      </w:r>
      <w:proofErr w:type="spellEnd"/>
      <w:r w:rsidR="00B2407F" w:rsidRPr="00B2407F">
        <w:rPr>
          <w:lang w:val="en-US"/>
        </w:rPr>
        <w:t xml:space="preserve"> free water (Merck, Germany) by using a 5mm Stainless Steel Bead (QIAGEN) on a </w:t>
      </w:r>
      <w:proofErr w:type="spellStart"/>
      <w:r w:rsidR="00B2407F" w:rsidRPr="00B2407F">
        <w:rPr>
          <w:lang w:val="en-US"/>
        </w:rPr>
        <w:t>TissueLyser</w:t>
      </w:r>
      <w:proofErr w:type="spellEnd"/>
      <w:r w:rsidR="00B2407F" w:rsidRPr="00B2407F">
        <w:rPr>
          <w:lang w:val="en-US"/>
        </w:rPr>
        <w:t xml:space="preserve"> II (QIAGEN). </w:t>
      </w:r>
      <w:r>
        <w:rPr>
          <w:lang w:val="en-US"/>
        </w:rPr>
        <w:t>For each animal (N: 3), t</w:t>
      </w:r>
      <w:r w:rsidR="009E2A87">
        <w:rPr>
          <w:lang w:val="en-US"/>
        </w:rPr>
        <w:t>he homogenate was then split in four aliquots (replicates)</w:t>
      </w:r>
      <w:r w:rsidR="00750067">
        <w:rPr>
          <w:lang w:val="en-US"/>
        </w:rPr>
        <w:t xml:space="preserve"> before the incorporation of the corresponding amount of MC and subsequent DNA </w:t>
      </w:r>
      <w:r w:rsidR="00750067">
        <w:rPr>
          <w:lang w:val="en-US"/>
        </w:rPr>
        <w:lastRenderedPageBreak/>
        <w:t>extraction.</w:t>
      </w:r>
      <w:r w:rsidR="009E2A87">
        <w:rPr>
          <w:lang w:val="en-US"/>
        </w:rPr>
        <w:t xml:space="preserve"> </w:t>
      </w:r>
      <w:r>
        <w:t xml:space="preserve">DNA extractions were performed from three individuals; </w:t>
      </w:r>
      <w:proofErr w:type="gramStart"/>
      <w:r>
        <w:t>each individual</w:t>
      </w:r>
      <w:proofErr w:type="gramEnd"/>
      <w:r>
        <w:t xml:space="preserve"> was investigated using three technical replicates with a different amount of MC</w:t>
      </w:r>
      <w:r w:rsidR="001F67DB">
        <w:t xml:space="preserve"> </w:t>
      </w:r>
      <w:r w:rsidR="001F67DB">
        <w:rPr>
          <w:lang w:val="en-US"/>
        </w:rPr>
        <w:t>(Table 3)</w:t>
      </w:r>
      <w:r>
        <w:t>.</w:t>
      </w:r>
    </w:p>
    <w:p w14:paraId="0061A5D1" w14:textId="07E31F25" w:rsidR="00750067" w:rsidRDefault="00527C6D" w:rsidP="0065172E">
      <w:pPr>
        <w:ind w:firstLine="708"/>
        <w:rPr>
          <w:lang w:val="en-US"/>
        </w:rPr>
      </w:pPr>
      <w:r>
        <w:rPr>
          <w:lang w:val="en-US"/>
        </w:rPr>
        <w:t>Collembola</w:t>
      </w:r>
      <w:r w:rsidRPr="00527C6D">
        <w:rPr>
          <w:lang w:val="en-US"/>
        </w:rPr>
        <w:t xml:space="preserve"> were heat-extracted from soil cores by using a modified </w:t>
      </w:r>
      <w:proofErr w:type="spellStart"/>
      <w:r w:rsidRPr="00527C6D">
        <w:rPr>
          <w:lang w:val="en-US"/>
        </w:rPr>
        <w:t>Kempson</w:t>
      </w:r>
      <w:proofErr w:type="spellEnd"/>
      <w:r w:rsidRPr="00527C6D">
        <w:rPr>
          <w:lang w:val="en-US"/>
        </w:rPr>
        <w:t xml:space="preserve"> apparatus</w:t>
      </w:r>
      <w:r w:rsidR="00FD2A43">
        <w:rPr>
          <w:lang w:val="en-US"/>
        </w:rPr>
        <w:t xml:space="preserve"> </w:t>
      </w:r>
      <w:r w:rsidR="001F67DB">
        <w:rPr>
          <w:rStyle w:val="FootnoteReference"/>
          <w:lang w:val="en-US"/>
        </w:rPr>
        <w:fldChar w:fldCharType="begin" w:fldLock="1"/>
      </w:r>
      <w:r w:rsidR="00A41E37">
        <w:rPr>
          <w:lang w:val="en-US"/>
        </w:rPr>
        <w:instrText>ADDIN CSL_CITATION {"citationItems":[{"id":"ITEM-1","itemData":{"author":[{"dropping-particle":"","family":"KEMPSON, Denys","given":"","non-dropping-particle":"","parse-names":false,"suffix":""},{"dropping-particle":"","family":"LLOYD","given":"Monte","non-dropping-particle":"","parse-names":false,"suffix":""},{"dropping-particle":"","family":"GHELARDI","given":"Ray","non-dropping-particle":"","parse-names":false,"suffix":""}],"container-title":"Pedobiologia","id":"ITEM-1","issue":"1","issued":{"date-parts":[["1963"]]},"page":"1-21","title":"A new extractor for woodland litter","type":"article-journal","volume":"3"},"uris":["http://www.mendeley.com/documents/?uuid=7a3a0de3-b852-419e-afc9-0d938b3b2a97"]}],"mendeley":{"formattedCitation":"&lt;sup&gt;[5]&lt;/sup&gt;","plainTextFormattedCitation":"[5]","previouslyFormattedCitation":"(KEMPSON, Denys, LLOYD, and GHELARDI 1963)"},"properties":{"noteIndex":0},"schema":"https://github.com/citation-style-language/schema/raw/master/csl-citation.json"}</w:instrText>
      </w:r>
      <w:r w:rsidR="001F67DB">
        <w:rPr>
          <w:rStyle w:val="FootnoteReference"/>
          <w:lang w:val="en-US"/>
        </w:rPr>
        <w:fldChar w:fldCharType="separate"/>
      </w:r>
      <w:r w:rsidR="00A41E37" w:rsidRPr="00A41E37">
        <w:rPr>
          <w:noProof/>
          <w:vertAlign w:val="superscript"/>
          <w:lang w:val="en-US"/>
        </w:rPr>
        <w:t>[5]</w:t>
      </w:r>
      <w:r w:rsidR="001F67DB">
        <w:rPr>
          <w:rStyle w:val="FootnoteReference"/>
          <w:lang w:val="en-US"/>
        </w:rPr>
        <w:fldChar w:fldCharType="end"/>
      </w:r>
      <w:r w:rsidRPr="00527C6D">
        <w:rPr>
          <w:lang w:val="en-US"/>
        </w:rPr>
        <w:t>, rinsed with a in 0.1 M Tris Saline Buffer to remove soil and stored at -20°C.</w:t>
      </w:r>
      <w:r>
        <w:rPr>
          <w:lang w:val="en-US"/>
        </w:rPr>
        <w:t xml:space="preserve"> </w:t>
      </w:r>
      <w:r w:rsidR="00750067">
        <w:rPr>
          <w:lang w:val="en-US"/>
        </w:rPr>
        <w:t xml:space="preserve"> For DNA extraction, </w:t>
      </w:r>
      <w:r w:rsidR="00750067" w:rsidRPr="00750067">
        <w:rPr>
          <w:lang w:val="en-US"/>
        </w:rPr>
        <w:t>6 individuals were homogenized in 100ml sterile DNA/</w:t>
      </w:r>
      <w:proofErr w:type="spellStart"/>
      <w:r w:rsidR="00750067" w:rsidRPr="00750067">
        <w:rPr>
          <w:lang w:val="en-US"/>
        </w:rPr>
        <w:t>DNAse</w:t>
      </w:r>
      <w:proofErr w:type="spellEnd"/>
      <w:r w:rsidR="00750067" w:rsidRPr="00750067">
        <w:rPr>
          <w:lang w:val="en-US"/>
        </w:rPr>
        <w:t xml:space="preserve"> free water (Merck, Germany) by using a 5mm Stainless Steel Bead (QIAGEN) on a </w:t>
      </w:r>
      <w:proofErr w:type="spellStart"/>
      <w:r w:rsidR="00750067" w:rsidRPr="00750067">
        <w:rPr>
          <w:lang w:val="en-US"/>
        </w:rPr>
        <w:t>TissueLyser</w:t>
      </w:r>
      <w:proofErr w:type="spellEnd"/>
      <w:r w:rsidR="00750067" w:rsidRPr="00750067">
        <w:rPr>
          <w:lang w:val="en-US"/>
        </w:rPr>
        <w:t xml:space="preserve"> II (QIAGEN). </w:t>
      </w:r>
      <w:r w:rsidR="00750067">
        <w:rPr>
          <w:lang w:val="en-US"/>
        </w:rPr>
        <w:t>The homogenate was then split in six aliquots (</w:t>
      </w:r>
      <w:r w:rsidR="001F67DB">
        <w:rPr>
          <w:lang w:val="en-US"/>
        </w:rPr>
        <w:t xml:space="preserve">technical </w:t>
      </w:r>
      <w:r w:rsidR="00750067">
        <w:rPr>
          <w:lang w:val="en-US"/>
        </w:rPr>
        <w:t>replicates) before the incorporation of the corresponding amount of MC and subsequent DNA extraction</w:t>
      </w:r>
      <w:r w:rsidR="001F67DB">
        <w:rPr>
          <w:lang w:val="en-US"/>
        </w:rPr>
        <w:t xml:space="preserve"> (Table 3)</w:t>
      </w:r>
      <w:r w:rsidR="00750067">
        <w:rPr>
          <w:lang w:val="en-US"/>
        </w:rPr>
        <w:t>.</w:t>
      </w:r>
    </w:p>
    <w:p w14:paraId="54866837" w14:textId="55DB2A0E" w:rsidR="00527C6D" w:rsidRDefault="00527C6D" w:rsidP="0065172E">
      <w:pPr>
        <w:ind w:firstLine="708"/>
        <w:rPr>
          <w:lang w:val="en-US"/>
        </w:rPr>
      </w:pPr>
      <w:r>
        <w:rPr>
          <w:lang w:val="en-US"/>
        </w:rPr>
        <w:t xml:space="preserve">Nematoda were extracted from soil by using a </w:t>
      </w:r>
      <w:r w:rsidRPr="00527C6D">
        <w:rPr>
          <w:lang w:val="en-US"/>
        </w:rPr>
        <w:t xml:space="preserve">Baermann funnel extraction protocol </w:t>
      </w:r>
      <w:r w:rsidR="001F67DB">
        <w:rPr>
          <w:rStyle w:val="FootnoteReference"/>
          <w:lang w:val="en-US"/>
        </w:rPr>
        <w:fldChar w:fldCharType="begin" w:fldLock="1"/>
      </w:r>
      <w:r w:rsidR="00A41E37">
        <w:rPr>
          <w:lang w:val="en-US"/>
        </w:rPr>
        <w:instrText>ADDIN CSL_CITATION {"citationItems":[{"id":"ITEM-1","itemData":{"PMID":"19295830","abstract":"Routine quantitative nematode extraction for pest management purposes remains a problem. There is need for more knowledge of the parameters limiting efficiency of the various available methods. Sedimentation rates for several species of nematodes have been confirmed as slow and highly variable and therefore not suitable for quantitative separation of nematodes. Funnel losses with clean and unpitted glassware, whether closed or open stemmed, with or without misting, are negligible so long as misting periods are neither inadequate nor excessive; i.e., approximately a 1.5-min water spray period in a 10-min cycle. Tissue paper used to retain soil, sievings, or other substrate in the funnel extraction can greatly inhibit the passage of nematodes depending upon the tissue properties and the nematode species.","author":[{"dropping-particle":"","family":"Viglierchio","given":"D. R.","non-dropping-particle":"","parse-names":false,"suffix":""},{"dropping-particle":"V.","family":"Schmitt","given":"Richard","non-dropping-particle":"","parse-names":false,"suffix":""}],"container-title":"Journal of Nematology","id":"ITEM-1","issue":"3","issued":{"date-parts":[["1983","7"]]},"page":"438","publisher":"Society of Nematologists","title":"On the Methodology of Nematode Extraction from Field Samples: Baermann\nFunnel Modifications","type":"article-journal","volume":"15"},"uris":["http://www.mendeley.com/documents/?uuid=cbf07095-3fdd-341b-ae0b-7a2e6ed95895"]}],"mendeley":{"formattedCitation":"&lt;sup&gt;[6]&lt;/sup&gt;","plainTextFormattedCitation":"[6]","previouslyFormattedCitation":"(Viglierchio and Schmitt 1983)"},"properties":{"noteIndex":0},"schema":"https://github.com/citation-style-language/schema/raw/master/csl-citation.json"}</w:instrText>
      </w:r>
      <w:r w:rsidR="001F67DB">
        <w:rPr>
          <w:rStyle w:val="FootnoteReference"/>
          <w:lang w:val="en-US"/>
        </w:rPr>
        <w:fldChar w:fldCharType="separate"/>
      </w:r>
      <w:r w:rsidR="00A41E37" w:rsidRPr="00A41E37">
        <w:rPr>
          <w:noProof/>
          <w:vertAlign w:val="superscript"/>
          <w:lang w:val="en-US"/>
        </w:rPr>
        <w:t>[6]</w:t>
      </w:r>
      <w:r w:rsidR="001F67DB">
        <w:rPr>
          <w:rStyle w:val="FootnoteReference"/>
          <w:lang w:val="en-US"/>
        </w:rPr>
        <w:fldChar w:fldCharType="end"/>
      </w:r>
      <w:r>
        <w:rPr>
          <w:lang w:val="en-US"/>
        </w:rPr>
        <w:t>.</w:t>
      </w:r>
      <w:r w:rsidR="00750067" w:rsidRPr="00750067">
        <w:t xml:space="preserve"> </w:t>
      </w:r>
      <w:r w:rsidR="00CD18D9">
        <w:t xml:space="preserve">For </w:t>
      </w:r>
      <w:r w:rsidR="00CD18D9">
        <w:rPr>
          <w:lang w:val="en-US"/>
        </w:rPr>
        <w:t xml:space="preserve">DNA extraction, nematodes were pooled in three samples of approximately 90 individuals per sample. Samples </w:t>
      </w:r>
      <w:r w:rsidR="00750067" w:rsidRPr="00750067">
        <w:rPr>
          <w:lang w:val="en-US"/>
        </w:rPr>
        <w:t>were homogenized in 100ml sterile DNA/</w:t>
      </w:r>
      <w:proofErr w:type="spellStart"/>
      <w:r w:rsidR="00750067" w:rsidRPr="00750067">
        <w:rPr>
          <w:lang w:val="en-US"/>
        </w:rPr>
        <w:t>DNAse</w:t>
      </w:r>
      <w:proofErr w:type="spellEnd"/>
      <w:r w:rsidR="00750067" w:rsidRPr="00750067">
        <w:rPr>
          <w:lang w:val="en-US"/>
        </w:rPr>
        <w:t xml:space="preserve"> free water (Merck, Germany) by using a 5mm Stainless Steel Bead (QIAGEN) on a </w:t>
      </w:r>
      <w:proofErr w:type="spellStart"/>
      <w:r w:rsidR="00750067" w:rsidRPr="00750067">
        <w:rPr>
          <w:lang w:val="en-US"/>
        </w:rPr>
        <w:t>TissueLyser</w:t>
      </w:r>
      <w:proofErr w:type="spellEnd"/>
      <w:r w:rsidR="00750067" w:rsidRPr="00750067">
        <w:rPr>
          <w:lang w:val="en-US"/>
        </w:rPr>
        <w:t xml:space="preserve"> II (QIAGEN). </w:t>
      </w:r>
      <w:r w:rsidR="005E39F6">
        <w:rPr>
          <w:lang w:val="en-US"/>
        </w:rPr>
        <w:t xml:space="preserve">The homogenate </w:t>
      </w:r>
      <w:r w:rsidR="001F67DB">
        <w:rPr>
          <w:lang w:val="en-US"/>
        </w:rPr>
        <w:t xml:space="preserve">of each pool </w:t>
      </w:r>
      <w:r w:rsidR="005E39F6">
        <w:rPr>
          <w:lang w:val="en-US"/>
        </w:rPr>
        <w:t>was then split in three aliquots (replicates) before the incorporation of the corresponding amount of MC and subsequent DNA extraction</w:t>
      </w:r>
      <w:r w:rsidR="001F67DB">
        <w:rPr>
          <w:lang w:val="en-US"/>
        </w:rPr>
        <w:t xml:space="preserve"> (Table 3)</w:t>
      </w:r>
      <w:r w:rsidR="005E39F6">
        <w:rPr>
          <w:lang w:val="en-US"/>
        </w:rPr>
        <w:t>.</w:t>
      </w:r>
    </w:p>
    <w:p w14:paraId="6A6CD8F9" w14:textId="56E7BC23" w:rsidR="005E39F6" w:rsidRPr="0065172E" w:rsidRDefault="005E39F6" w:rsidP="0065172E">
      <w:pPr>
        <w:ind w:firstLine="708"/>
        <w:rPr>
          <w:lang w:val="en-US"/>
        </w:rPr>
      </w:pPr>
      <w:r w:rsidRPr="005E39F6">
        <w:rPr>
          <w:lang w:val="en-US"/>
        </w:rPr>
        <w:t>DNA extraction</w:t>
      </w:r>
      <w:r w:rsidR="001A722E">
        <w:rPr>
          <w:lang w:val="en-US"/>
        </w:rPr>
        <w:t>s from test samples</w:t>
      </w:r>
      <w:r w:rsidRPr="005E39F6">
        <w:rPr>
          <w:lang w:val="en-US"/>
        </w:rPr>
        <w:t xml:space="preserve"> were performed with the kit </w:t>
      </w:r>
      <w:proofErr w:type="spellStart"/>
      <w:r w:rsidRPr="005E39F6">
        <w:rPr>
          <w:lang w:val="en-US"/>
        </w:rPr>
        <w:t>NucleoSpin</w:t>
      </w:r>
      <w:proofErr w:type="spellEnd"/>
      <w:r w:rsidRPr="005E39F6">
        <w:rPr>
          <w:lang w:val="en-US"/>
        </w:rPr>
        <w:t>® Soil mini kit (MACHEREY-NAGEL) as reported by</w:t>
      </w:r>
      <w:r w:rsidR="00FD2A43">
        <w:rPr>
          <w:lang w:val="en-US"/>
        </w:rPr>
        <w:t xml:space="preserve"> </w:t>
      </w:r>
      <w:r w:rsidR="001F67DB">
        <w:rPr>
          <w:rStyle w:val="FootnoteReference"/>
          <w:lang w:val="en-US"/>
        </w:rPr>
        <w:fldChar w:fldCharType="begin" w:fldLock="1"/>
      </w:r>
      <w:r w:rsidR="00A41E37">
        <w:rPr>
          <w:lang w:val="en-US"/>
        </w:rPr>
        <w:instrText>ADDIN CSL_CITATION {"citationItems":[{"id":"ITEM-1","itemData":{"DOI":"10.3389/FMICB.2019.01429","ISSN":"1664-302X","abstract":"Serving as ‘natural laboratories’, altitudinal gradients can be used to study changes in the distribution of microorganisms in response to changing environmental conditions that typically occur over short geographical distances. Besides, rhizosphere zones of plants are known to be hot-spots for microbial diversity and to contain different microbial communities when compared with surrounding bulk soil. To discriminate the effects of altitude and plants, we investigated the microbial communities in the rhizosphere of Ranunculus glacialis and bulk soil along a high-alpine altitudinal gradient (2600–3400 m a.s.l.). The research area of this study was Mount (Mt.) ‘Schrankogel’ in the Central Alps of Tyrol (Austria). Our results point to significantly different microbial diversities and community compositions in the different altitudinal belts. In the case of prokaryotes, environmental parameters could explain 41% of the total variation of soil communities, with pH and temperature being the strongest influencing factors. Comparing the effects derived from fraction (bulk vs. rhizosphere soil) and environmental factors, the effects of the roots of R. glacialis accounted for about one third of the explained variation. Fungal communities on the other hand were nearly exclusively influenced by environmental parameters accounting for 37.4% of the total variation. Both, for altitudinal zones as well as for bulk and rhizosphere fractions a couple of very specific biomarker taxa could be identified. Generally, the patterns of abundance of several taxa did not follow a steady increased or decreased trend along the altitudinal gradient but in many cases a maximal or minimal occurrence was established at mid-altitudes (3000–3100 m). This mid-altitudinal zone is a transition zone (the so-called alpine-nival ecotone) between the (lower) alpine grassland/tundra zone and the (upper) sparsely vegetated nival zone and was shown to correspond with the summer snow line. Climate change and the associated increase in temperature will shift this transition zone and thus, might also shift the described microbial patterns and biomarkers.","author":[{"dropping-particle":"","family":"Praeg","given":"Nadine","non-dropping-particle":"","parse-names":false,"suffix":""},{"dropping-particle":"","family":"Pauli","given":"Harald","non-dropping-particle":"","parse-names":false,"suffix":""},{"dropping-particle":"","family":"Illmer","given":"Paul","non-dropping-particle":"","parse-names":false,"suffix":""}],"container-title":"Frontiers in Microbiology","id":"ITEM-1","issue":"JULY","issued":{"date-parts":[["2019"]]},"page":"1429","publisher":"Frontiers","title":"Microbial Diversity in Bulk and Rhizosphere Soil of Ranunculus glacialis Along a High-Alpine Altitudinal Gradient","type":"article-journal","volume":"0"},"uris":["http://www.mendeley.com/documents/?uuid=67323357-064a-3791-9fbd-c71102d52ee3"]}],"mendeley":{"formattedCitation":"&lt;sup&gt;[2]&lt;/sup&gt;","plainTextFormattedCitation":"[2]","previouslyFormattedCitation":"(Praeg, Pauli, and Illmer 2019)"},"properties":{"noteIndex":0},"schema":"https://github.com/citation-style-language/schema/raw/master/csl-citation.json"}</w:instrText>
      </w:r>
      <w:r w:rsidR="001F67DB">
        <w:rPr>
          <w:rStyle w:val="FootnoteReference"/>
          <w:lang w:val="en-US"/>
        </w:rPr>
        <w:fldChar w:fldCharType="separate"/>
      </w:r>
      <w:r w:rsidR="00A41E37" w:rsidRPr="00A41E37">
        <w:rPr>
          <w:noProof/>
          <w:vertAlign w:val="superscript"/>
          <w:lang w:val="en-US"/>
        </w:rPr>
        <w:t>[2]</w:t>
      </w:r>
      <w:r w:rsidR="001F67DB">
        <w:rPr>
          <w:rStyle w:val="FootnoteReference"/>
          <w:lang w:val="en-US"/>
        </w:rPr>
        <w:fldChar w:fldCharType="end"/>
      </w:r>
      <w:r>
        <w:rPr>
          <w:lang w:val="en-US"/>
        </w:rPr>
        <w:t xml:space="preserve">. </w:t>
      </w:r>
      <w:r w:rsidR="006627D8">
        <w:rPr>
          <w:lang w:val="en-US"/>
        </w:rPr>
        <w:t xml:space="preserve">Sample and MC co-extraction has been performed by using </w:t>
      </w:r>
      <w:proofErr w:type="spellStart"/>
      <w:r w:rsidR="006627D8">
        <w:rPr>
          <w:lang w:val="en-US"/>
        </w:rPr>
        <w:t>ZymoBIOMICS</w:t>
      </w:r>
      <w:proofErr w:type="spellEnd"/>
      <w:r w:rsidR="006627D8" w:rsidRPr="006627D8">
        <w:rPr>
          <w:lang w:val="en-US"/>
        </w:rPr>
        <w:t>™ Spike-in Control I</w:t>
      </w:r>
      <w:r w:rsidR="006627D8">
        <w:rPr>
          <w:lang w:val="en-US"/>
        </w:rPr>
        <w:t xml:space="preserve"> as MC</w:t>
      </w:r>
      <w:r w:rsidR="001A722E">
        <w:rPr>
          <w:lang w:val="en-US"/>
        </w:rPr>
        <w:t xml:space="preserve"> and by</w:t>
      </w:r>
      <w:r w:rsidR="006627D8">
        <w:rPr>
          <w:lang w:val="en-US"/>
        </w:rPr>
        <w:t xml:space="preserve"> </w:t>
      </w:r>
      <w:r w:rsidR="001A722E">
        <w:rPr>
          <w:lang w:val="en-US"/>
        </w:rPr>
        <w:t xml:space="preserve">using </w:t>
      </w:r>
      <w:r w:rsidR="006627D8">
        <w:rPr>
          <w:lang w:val="en-US"/>
        </w:rPr>
        <w:t xml:space="preserve">the MC doses detailed </w:t>
      </w:r>
      <w:r w:rsidR="0065172E">
        <w:rPr>
          <w:lang w:val="en-US"/>
        </w:rPr>
        <w:t>i</w:t>
      </w:r>
      <w:r w:rsidR="006627D8">
        <w:rPr>
          <w:lang w:val="en-US"/>
        </w:rPr>
        <w:t xml:space="preserve">n Table </w:t>
      </w:r>
      <w:r w:rsidR="00193E92">
        <w:rPr>
          <w:lang w:val="en-US"/>
        </w:rPr>
        <w:t>3</w:t>
      </w:r>
      <w:r w:rsidR="006627D8">
        <w:rPr>
          <w:lang w:val="en-US"/>
        </w:rPr>
        <w:t>.</w:t>
      </w:r>
      <w:r w:rsidR="00DC410C">
        <w:rPr>
          <w:lang w:val="en-US"/>
        </w:rPr>
        <w:t xml:space="preserve"> </w:t>
      </w:r>
      <w:r w:rsidR="001A722E">
        <w:rPr>
          <w:lang w:val="en-US"/>
        </w:rPr>
        <w:t xml:space="preserve">Additional information regarding the </w:t>
      </w:r>
      <w:r w:rsidR="0065172E">
        <w:rPr>
          <w:lang w:val="en-US"/>
        </w:rPr>
        <w:t xml:space="preserve">quantification of each DNA extract is reported on table S4. </w:t>
      </w:r>
      <w:r>
        <w:t>The amplification of the 16S rRNA gene region V3-V4 was performed as described in (</w:t>
      </w:r>
      <w:hyperlink r:id="rId7">
        <w:r>
          <w:rPr>
            <w:color w:val="0000FF"/>
            <w:u w:val="single"/>
          </w:rPr>
          <w:t>https://earthmicrobiome.org/protocols-and-standards/16s/</w:t>
        </w:r>
      </w:hyperlink>
      <w:r>
        <w:t xml:space="preserve">), by using the </w:t>
      </w:r>
      <w:r w:rsidRPr="005E39F6">
        <w:t xml:space="preserve">KAPA HiFi </w:t>
      </w:r>
      <w:proofErr w:type="spellStart"/>
      <w:r w:rsidRPr="005E39F6">
        <w:t>HotStart</w:t>
      </w:r>
      <w:proofErr w:type="spellEnd"/>
      <w:r w:rsidRPr="005E39F6">
        <w:t xml:space="preserve"> </w:t>
      </w:r>
      <w:proofErr w:type="spellStart"/>
      <w:r w:rsidRPr="005E39F6">
        <w:t>ReadyMix</w:t>
      </w:r>
      <w:proofErr w:type="spellEnd"/>
      <w:r w:rsidRPr="005E39F6">
        <w:t xml:space="preserve"> (Roche Applied Science)</w:t>
      </w:r>
      <w:r>
        <w:t>, with the two primers 341F_ILL</w:t>
      </w:r>
      <w:r w:rsidR="00FD2A43">
        <w:t xml:space="preserve"> </w:t>
      </w:r>
      <w:r>
        <w:t>and 805R_ILL</w:t>
      </w:r>
      <w:r w:rsidR="00A5319F">
        <w:t xml:space="preserve"> </w:t>
      </w:r>
      <w:r w:rsidR="001F67DB">
        <w:rPr>
          <w:rStyle w:val="FootnoteReference"/>
        </w:rPr>
        <w:fldChar w:fldCharType="begin" w:fldLock="1"/>
      </w:r>
      <w:r w:rsidR="00A41E37">
        <w:instrText>ADDIN CSL_CITATION {"citationItems":[{"id":"ITEM-1","itemData":{"DOI":"10.1093/NAR/GKS808","ISSN":"0305-1048","PMID":"22933715","abstract":"16S ribosomal RNA gene (rDNA) amplicon analysis remains the standard approach for the cultivation-independent investigation of microbial diversity. The accuracy of these analyses depends strongly on the choice of primers. The overall coverage and phylum spectrum of 175 primers and 512 primer pairs were evaluated in silico with respect to the SILVA 16S/18S rDNA non-redundant reference dataset (SSURef 108 NR). Based on this evaluation a selection of 'best available' primer pairs for Bacteria and Archaea for three amplicon size classes (100-400, 400-1000, ≥1000 bp) is provided. The most promising bacterial primer pair (S-D-Bact-0341-b-S-17/S-D-Bact-0785-a-A-21), with an amplicon size of 464 bp, was experimentally evaluated by comparing the taxonomic distribution of the 16S rDNA amplicons with 16S rDNA fragments from directly sequenced metagenomes. The results of this study may be used as a guideline for selecting primer pairs with the best overall coverage and phylum spectrum for specific applications, therefore reducing the bias in PCR-based microbial diversity studies. © 2012 The Author(s). Published by Oxford University Press.","author":[{"dropping-particle":"","family":"Klindworth","given":"Anna","non-dropping-particle":"","parse-names":false,"suffix":""},{"dropping-particle":"","family":"Pruesse","given":"Elmar","non-dropping-particle":"","parse-names":false,"suffix":""},{"dropping-particle":"","family":"Schweer","given":"Timmy","non-dropping-particle":"","parse-names":false,"suffix":""},{"dropping-particle":"","family":"Peplies","given":"Jörg","non-dropping-particle":"","parse-names":false,"suffix":""},{"dropping-particle":"","family":"Quast","given":"Christian","non-dropping-particle":"","parse-names":false,"suffix":""},{"dropping-particle":"","family":"Horn","given":"Matthias","non-dropping-particle":"","parse-names":false,"suffix":""},{"dropping-particle":"","family":"Glöckner","given":"Frank Oliver","non-dropping-particle":"","parse-names":false,"suffix":""}],"container-title":"Nucleic Acids Research","id":"ITEM-1","issue":"1","issued":{"date-parts":[["2013","1","1"]]},"page":"e1-e1","publisher":"Oxford Academic","title":"Evaluation of general 16S ribosomal RNA gene PCR primers for classical and next-generation sequencing-based diversity studies","type":"article-journal","volume":"41"},"uris":["http://www.mendeley.com/documents/?uuid=32993e44-2fb5-3f0a-b44c-fe81c7d1292c"]},{"id":"ITEM-2","itemData":{"DOI":"10.3354/AME01753","ISSN":"0948-3055","abstract":"High-throughput sequencing of small subunit ribosomal RNA (SSU rRNA) genes from marine environments is a widely applied method used to uncover the composition of microbial communities. We conducted an analysis of surface ocean waters with the commonly employed hypervariable 4 region SSU rRNA gene primers 515F and 806R, and found that bacteria belonging to the SAR11 clade of Alphaproteobacteria, a group typically making up 20 to 40% of the bacterioplankton in this environment, were greatly underrepresented and comprised &lt; 4% of the total community. Using the SILVA reference database, we found a single nucleotide mismatch to nearly all SAR11 subclades, and revised the 806R primer so that it increased the detection of SAR11 clade sequences in the database from 2.6 to 96.7%. We then compared the performance of the original and revised 806R primers in surface seawater samples, and found that SAR11 comprised 0.3 to 3.9% of sequences with the original primers and 17.5 to 30.5% of the sequences with the revised 806R primer. Furthermore, an investigation of seawater obtained from aquaria re - vealed that SAR11 sequences acquired with the revised 806R primer were more similar to natural cellular abundances of SAR11 detected using fluorescence in situ hybridization counts. Collectively, these results demonstrate that a minor adjustment to the 806R primer will greatly increase detection of the globally abundant SAR11 clade in marine and lake environments, and enable inclusion of this important bacterial lineage in experimental and environmental-based studies.","author":[{"dropping-particle":"","family":"Apprill","given":"Amy","non-dropping-particle":"","parse-names":false,"suffix":""},{"dropping-particle":"","family":"McNally","given":"Sean","non-dropping-particle":"","parse-names":false,"suffix":""},{"dropping-particle":"","family":"Parsons","given":"Rachel","non-dropping-particle":"","parse-names":false,"suffix":""},{"dropping-particle":"","family":"Weber","given":"Laura","non-dropping-particle":"","parse-names":false,"suffix":""}],"container-title":"Aquatic Microbial Ecology","id":"ITEM-2","issue":"2","issued":{"date-parts":[["2015","6","4"]]},"page":"129-137","publisher":"Inter-Research","title":"Minor revision to V4 region SSU rRNA 806R gene primer greatly increases detection of SAR11 bacterioplankton","type":"article-journal","volume":"75"},"uris":["http://www.mendeley.com/documents/?uuid=7427804e-1069-3520-bd89-a6407c22eee3"]}],"mendeley":{"formattedCitation":"&lt;sup&gt;[7],[8]&lt;/sup&gt;","plainTextFormattedCitation":"[7],[8]","previouslyFormattedCitation":"(Klindworth et al. 2013; Apprill et al. 2015)"},"properties":{"noteIndex":0},"schema":"https://github.com/citation-style-language/schema/raw/master/csl-citation.json"}</w:instrText>
      </w:r>
      <w:r w:rsidR="001F67DB">
        <w:rPr>
          <w:rStyle w:val="FootnoteReference"/>
        </w:rPr>
        <w:fldChar w:fldCharType="separate"/>
      </w:r>
      <w:r w:rsidR="00A41E37" w:rsidRPr="00A41E37">
        <w:rPr>
          <w:noProof/>
          <w:vertAlign w:val="superscript"/>
        </w:rPr>
        <w:t>[7],[8]</w:t>
      </w:r>
      <w:r w:rsidR="001F67DB">
        <w:rPr>
          <w:rStyle w:val="FootnoteReference"/>
        </w:rPr>
        <w:fldChar w:fldCharType="end"/>
      </w:r>
      <w:r>
        <w:t xml:space="preserve">. </w:t>
      </w:r>
      <w:r w:rsidR="006627D8">
        <w:t xml:space="preserve">Additional details regarding PCR conditions, such as </w:t>
      </w:r>
      <w:r w:rsidR="00DC410C">
        <w:t xml:space="preserve">the amount </w:t>
      </w:r>
      <w:r w:rsidR="006627D8">
        <w:t xml:space="preserve">of DNA incorporated in each PCR reaction and the number of </w:t>
      </w:r>
      <w:r w:rsidR="00DC410C">
        <w:t xml:space="preserve">PCR </w:t>
      </w:r>
      <w:r w:rsidR="006627D8">
        <w:t>cycles</w:t>
      </w:r>
      <w:r w:rsidR="0065172E">
        <w:t>,</w:t>
      </w:r>
      <w:r w:rsidR="00DC410C">
        <w:t xml:space="preserve"> are reported </w:t>
      </w:r>
      <w:r w:rsidR="0065172E">
        <w:t>i</w:t>
      </w:r>
      <w:r w:rsidR="00DC410C">
        <w:t>n Table S4.</w:t>
      </w:r>
      <w:r w:rsidR="006627D8">
        <w:t xml:space="preserve"> </w:t>
      </w:r>
      <w:r>
        <w:t xml:space="preserve">High-throughput sequencing of the amplicon libraries using Illumina technology were performed at the Genomics Platform, Fondazione E. Mach. The 57 amplicon libraries were sequenced Illumina (Illumina, UK) </w:t>
      </w:r>
      <w:proofErr w:type="spellStart"/>
      <w:r>
        <w:t>MiSeq</w:t>
      </w:r>
      <w:proofErr w:type="spellEnd"/>
      <w:r>
        <w:t xml:space="preserve"> Standard Flow Cells using 600 cycle V3 reagents and with a minimum depth of 30,000 reads per sample. </w:t>
      </w:r>
      <w:r w:rsidR="00780436">
        <w:t xml:space="preserve">Bioinformatic processing of </w:t>
      </w:r>
      <w:proofErr w:type="spellStart"/>
      <w:r w:rsidR="00780436">
        <w:t>fastq</w:t>
      </w:r>
      <w:proofErr w:type="spellEnd"/>
      <w:r w:rsidR="00780436">
        <w:t xml:space="preserve"> files and statistical analyses were performed as described for bovine </w:t>
      </w:r>
      <w:proofErr w:type="spellStart"/>
      <w:r w:rsidR="00780436">
        <w:t>fecal</w:t>
      </w:r>
      <w:proofErr w:type="spellEnd"/>
      <w:r w:rsidR="00780436">
        <w:t xml:space="preserve"> pools in the materials and methods.</w:t>
      </w:r>
    </w:p>
    <w:p w14:paraId="7C29E814" w14:textId="6192C74A" w:rsidR="00780436" w:rsidRDefault="00780436" w:rsidP="0065172E">
      <w:pPr>
        <w:ind w:firstLine="708"/>
      </w:pPr>
      <w:r>
        <w:t xml:space="preserve">To independently quantify the number of copies of the 16S rRNA target region (V3-V4), </w:t>
      </w:r>
      <w:r w:rsidRPr="00121281">
        <w:rPr>
          <w:highlight w:val="yellow"/>
        </w:rPr>
        <w:t xml:space="preserve">for </w:t>
      </w:r>
      <w:r w:rsidRPr="0065172E">
        <w:t>each replicate</w:t>
      </w:r>
      <w:r w:rsidR="0065172E">
        <w:t>,</w:t>
      </w:r>
      <w:r>
        <w:t xml:space="preserve"> digital-droplet PCR (</w:t>
      </w:r>
      <w:proofErr w:type="spellStart"/>
      <w:r>
        <w:t>ddPCR</w:t>
      </w:r>
      <w:proofErr w:type="spellEnd"/>
      <w:r>
        <w:t xml:space="preserve">) was performed as previously described </w:t>
      </w:r>
      <w:r w:rsidR="001F67DB">
        <w:rPr>
          <w:rStyle w:val="FootnoteReference"/>
        </w:rPr>
        <w:fldChar w:fldCharType="begin" w:fldLock="1"/>
      </w:r>
      <w:r w:rsidR="00A41E37">
        <w:instrText xml:space="preserve">ADDIN CSL_CITATION {"citationItems":[{"id":"ITEM-1","itemData":{"DOI":"10.1093/FEMSLE/FNZ259","ISSN":"0378-1097","abstract":"Due to the activity of methane-oxidizing bacteria, forest soils are usually net sinks for the greenhouse gas methane (CH4). Despite several hints that CH4 balances might be influenced by vegetation, there are only few investigations dealing with this connection. Therefore, we studied this soil-plant-microbe interaction by using mesocosm experiments with forest soil and Larix decidua, a common coniferous tree species within the Alps. Gas measurements showed that the presence of L. decidua significantly reduced CH4 oxidation of the forest soil by </w:instrText>
      </w:r>
      <w:r w:rsidR="00A41E37">
        <w:rPr>
          <w:rFonts w:ascii="Cambria Math" w:hAnsi="Cambria Math" w:cs="Cambria Math"/>
        </w:rPr>
        <w:instrText>∼</w:instrText>
      </w:r>
      <w:r w:rsidR="00A41E37">
        <w:instrText>10% (-0.95 μmol m-2 h-1 for soil vs -0.85 μmol m-2 h-1 for soil plus L. decidua) leading to an increased net CH4 balance. Increased light intensity was used to intensify the influence of the plant on the soil's CH4 balance. The increase in light intensity strengthened the effect of the plant and led to a greater reduction of CH4 oxidation. Besides, we examined the impact of L. decidua and light on the abundance of methanogens and methanotrophs in the rhizosphere as compared with bulk soil. The abundance of both methane-oxidizing bacteria and methanogenic archaea was significantly increased in the rhizosphere compared with bulk soil but no significant response of methanogens and methanotrophs upon light exposure was established.","author":[{"dropping-particle":"","family":"Praeg","given":"Nadine","non-dropping-particle":"","parse-names":false,"suffix":""},{"dropping-particle":"","family":"Schwinghammer","given":"Larissa","non-dropping-particle":"","parse-names":false,"suffix":""},{"dropping-particle":"","family":"Illmer","given":"Paul","non-dropping-particle":"","parse-names":false,"suffix":""}],"container-title":"FEMS Microbiology Letters","id":"ITEM-1","issue":"24","issued":{"date-parts":[["2019","12","1"]]},"page":"259","publisher":"Oxford Academic","title":"Larix decidua and additional light affect the methane balance of forest soil and the abundance of methanogenic and methanotrophic microorganisms","type":"article-journal","volume":"366"},"uris":["http://www.mendeley.com/documents/?uuid=1f82bd33-ea29-3498-a93a-8e71e8182396"]}],"mendeley":{"formattedCitation":"&lt;sup&gt;[9]&lt;/sup&gt;","plainTextFormattedCitation":"[9]","previouslyFormattedCitation":"(Praeg, Schwinghammer, and Illmer 2019)"},"properties":{"noteIndex":0},"schema":"https://github.com/citation-style-language/schema/raw/master/csl-citation.json"}</w:instrText>
      </w:r>
      <w:r w:rsidR="001F67DB">
        <w:rPr>
          <w:rStyle w:val="FootnoteReference"/>
        </w:rPr>
        <w:fldChar w:fldCharType="separate"/>
      </w:r>
      <w:r w:rsidR="00A41E37" w:rsidRPr="00A41E37">
        <w:rPr>
          <w:noProof/>
          <w:vertAlign w:val="superscript"/>
        </w:rPr>
        <w:t>[9]</w:t>
      </w:r>
      <w:r w:rsidR="001F67DB">
        <w:rPr>
          <w:rStyle w:val="FootnoteReference"/>
        </w:rPr>
        <w:fldChar w:fldCharType="end"/>
      </w:r>
      <w:r>
        <w:t xml:space="preserve">, using the primer pair 341f (CCTACGGGNGGCWGCAG) and 805r (GACTACNVGGGTWTCTAATCC) (31) </w:t>
      </w:r>
      <w:r w:rsidRPr="00207646">
        <w:rPr>
          <w:lang w:val="en-US"/>
        </w:rPr>
        <w:t xml:space="preserve">on a QX200TM droplet digital PCR system using a QX200TM droplet generator (Bio-Rad, </w:t>
      </w:r>
      <w:r w:rsidRPr="00207646">
        <w:rPr>
          <w:lang w:val="en-US"/>
        </w:rPr>
        <w:lastRenderedPageBreak/>
        <w:t>Munich, Germany</w:t>
      </w:r>
      <w:r>
        <w:rPr>
          <w:lang w:val="en-US"/>
        </w:rPr>
        <w:t>)</w:t>
      </w:r>
      <w:r w:rsidRPr="00207646">
        <w:rPr>
          <w:lang w:val="en-US"/>
        </w:rPr>
        <w:t>.</w:t>
      </w:r>
      <w:r>
        <w:rPr>
          <w:lang w:val="en-US"/>
        </w:rPr>
        <w:t xml:space="preserve"> </w:t>
      </w:r>
      <w:r w:rsidRPr="00207646">
        <w:rPr>
          <w:lang w:val="en-US"/>
        </w:rPr>
        <w:t xml:space="preserve">Droplets were </w:t>
      </w:r>
      <w:proofErr w:type="spellStart"/>
      <w:r w:rsidRPr="00207646">
        <w:rPr>
          <w:lang w:val="en-US"/>
        </w:rPr>
        <w:t>analysed</w:t>
      </w:r>
      <w:proofErr w:type="spellEnd"/>
      <w:r w:rsidRPr="00207646">
        <w:rPr>
          <w:lang w:val="en-US"/>
        </w:rPr>
        <w:t xml:space="preserve"> in the QX200TM droplet reader using the </w:t>
      </w:r>
      <w:proofErr w:type="spellStart"/>
      <w:r w:rsidRPr="00207646">
        <w:rPr>
          <w:lang w:val="en-US"/>
        </w:rPr>
        <w:t>QuantaSoftTM</w:t>
      </w:r>
      <w:proofErr w:type="spellEnd"/>
      <w:r w:rsidRPr="00207646">
        <w:rPr>
          <w:lang w:val="en-US"/>
        </w:rPr>
        <w:t xml:space="preserve"> Analysis Pro software (Bio-Rad, Munich, Germany).</w:t>
      </w:r>
      <w:r>
        <w:rPr>
          <w:lang w:val="en-US"/>
        </w:rPr>
        <w:t xml:space="preserve"> </w:t>
      </w:r>
      <w:r>
        <w:t>Droplet distribution was checked to ensure a clear separation of positive and negative droplets.</w:t>
      </w:r>
    </w:p>
    <w:p w14:paraId="19FFD066" w14:textId="5EBEC3BB" w:rsidR="0089614B" w:rsidRDefault="00161999" w:rsidP="00161999">
      <w:pPr>
        <w:ind w:firstLine="708"/>
      </w:pPr>
      <w:r>
        <w:t>The plot displaying t</w:t>
      </w:r>
      <w:r w:rsidR="0089614B">
        <w:t>he correlation between Log</w:t>
      </w:r>
      <w:r w:rsidR="0089614B">
        <w:rPr>
          <w:vertAlign w:val="subscript"/>
        </w:rPr>
        <w:t xml:space="preserve">2 </w:t>
      </w:r>
      <w:r w:rsidR="0089614B">
        <w:t xml:space="preserve">16S rRNA gene copies </w:t>
      </w:r>
      <w:r>
        <w:t xml:space="preserve">estimated by </w:t>
      </w:r>
      <w:proofErr w:type="spellStart"/>
      <w:r>
        <w:t>ddPCR</w:t>
      </w:r>
      <w:proofErr w:type="spellEnd"/>
      <w:r>
        <w:t xml:space="preserve"> (y axis) and </w:t>
      </w:r>
      <w:proofErr w:type="spellStart"/>
      <w:r>
        <w:t>miSeq</w:t>
      </w:r>
      <w:proofErr w:type="spellEnd"/>
      <w:r>
        <w:t xml:space="preserve"> (x axis) was generated using R package ggplot2 </w:t>
      </w:r>
      <w:r>
        <w:fldChar w:fldCharType="begin" w:fldLock="1"/>
      </w:r>
      <w:r w:rsidR="00A41E37">
        <w:instrText>ADDIN CSL_CITATION {"citationItems":[{"id":"ITEM-1","itemData":{"author":[{"dropping-particle":"","family":"Wickham","given":"Hadleyy","non-dropping-particle":"","parse-names":false,"suffix":""}],"id":"ITEM-1","issued":{"date-parts":[["2016"]]},"title":"ggplot2 Elegant Graphics for Data Analysis Second Edition","type":"article-journal"},"uris":["http://www.mendeley.com/documents/?uuid=720863c9-dfaf-3f25-a1c9-f722ea8599c3"]}],"mendeley":{"formattedCitation":"&lt;sup&gt;[10]&lt;/sup&gt;","plainTextFormattedCitation":"[10]","previouslyFormattedCitation":"(Wickham 2016)"},"properties":{"noteIndex":0},"schema":"https://github.com/citation-style-language/schema/raw/master/csl-citation.json"}</w:instrText>
      </w:r>
      <w:r>
        <w:fldChar w:fldCharType="separate"/>
      </w:r>
      <w:r w:rsidR="00A41E37" w:rsidRPr="00A41E37">
        <w:rPr>
          <w:noProof/>
          <w:vertAlign w:val="superscript"/>
        </w:rPr>
        <w:t>[10]</w:t>
      </w:r>
      <w:r>
        <w:fldChar w:fldCharType="end"/>
      </w:r>
      <w:r>
        <w:t xml:space="preserve">. The </w:t>
      </w:r>
      <w:r w:rsidR="0089614B">
        <w:t xml:space="preserve">linear regression </w:t>
      </w:r>
      <w:r>
        <w:t xml:space="preserve">model was generated using the </w:t>
      </w:r>
      <w:proofErr w:type="spellStart"/>
      <w:r>
        <w:t>lm</w:t>
      </w:r>
      <w:proofErr w:type="spellEnd"/>
      <w:r>
        <w:t xml:space="preserve"> function of the </w:t>
      </w:r>
      <w:r w:rsidRPr="00161999">
        <w:t>R stats</w:t>
      </w:r>
      <w:r>
        <w:t xml:space="preserve"> package in R </w:t>
      </w:r>
      <w:r>
        <w:fldChar w:fldCharType="begin" w:fldLock="1"/>
      </w:r>
      <w:r w:rsidR="00A41E37">
        <w:instrText>ADDIN CSL_CITATION {"citationItems":[{"id":"ITEM-1","itemData":{"author":[{"dropping-particle":"","family":"Team","given":"R Core","non-dropping-particle":"","parse-names":false,"suffix":""}],"id":"ITEM-1","issued":{"date-parts":[["2019"]]},"title":"R: A Language and Environment for Statistical Computing","type":"article-journal"},"uris":["http://www.mendeley.com/documents/?uuid=9ddab21a-a6e3-4581-8d9d-8c38fb0f51af"]}],"mendeley":{"formattedCitation":"&lt;sup&gt;[11]&lt;/sup&gt;","plainTextFormattedCitation":"[11]","previouslyFormattedCitation":"(Team 2019)"},"properties":{"noteIndex":0},"schema":"https://github.com/citation-style-language/schema/raw/master/csl-citation.json"}</w:instrText>
      </w:r>
      <w:r>
        <w:fldChar w:fldCharType="separate"/>
      </w:r>
      <w:r w:rsidR="00A41E37" w:rsidRPr="00A41E37">
        <w:rPr>
          <w:noProof/>
          <w:vertAlign w:val="superscript"/>
        </w:rPr>
        <w:t>[11]</w:t>
      </w:r>
      <w:r>
        <w:fldChar w:fldCharType="end"/>
      </w:r>
      <w:r>
        <w:t>.</w:t>
      </w:r>
    </w:p>
    <w:p w14:paraId="6C4708CF" w14:textId="77777777" w:rsidR="00780436" w:rsidRDefault="00780436" w:rsidP="00161999"/>
    <w:p w14:paraId="21F17A6E" w14:textId="1C19E1C8" w:rsidR="005E39F6" w:rsidRDefault="00F825BE" w:rsidP="0065172E">
      <w:pPr>
        <w:spacing w:after="0"/>
      </w:pPr>
      <w:r>
        <w:t>References</w:t>
      </w:r>
    </w:p>
    <w:p w14:paraId="69D6D6DB" w14:textId="5BEDA11B" w:rsidR="00A41E37" w:rsidRPr="00A41E37" w:rsidRDefault="00FD2A43" w:rsidP="00A41E37">
      <w:pPr>
        <w:widowControl w:val="0"/>
        <w:autoSpaceDE w:val="0"/>
        <w:autoSpaceDN w:val="0"/>
        <w:adjustRightInd w:val="0"/>
        <w:spacing w:after="0"/>
        <w:ind w:left="640" w:hanging="640"/>
        <w:rPr>
          <w:noProof/>
        </w:rPr>
      </w:pPr>
      <w:r>
        <w:fldChar w:fldCharType="begin" w:fldLock="1"/>
      </w:r>
      <w:r>
        <w:instrText xml:space="preserve">ADDIN Mendeley Bibliography CSL_BIBLIOGRAPHY </w:instrText>
      </w:r>
      <w:r>
        <w:fldChar w:fldCharType="separate"/>
      </w:r>
      <w:r w:rsidR="00A41E37" w:rsidRPr="00A41E37">
        <w:rPr>
          <w:noProof/>
        </w:rPr>
        <w:t>1.</w:t>
      </w:r>
      <w:r w:rsidR="00A41E37" w:rsidRPr="00A41E37">
        <w:rPr>
          <w:noProof/>
        </w:rPr>
        <w:tab/>
        <w:t xml:space="preserve">Barillot, C. D. C., Sarde, C.-O., Bert, V., Tarnaud, E. &amp; Cochet, N. A standardized method for the sampling of rhizosphere and rhizoplan soil bacteria associated to a herbaceous root system. </w:t>
      </w:r>
      <w:r w:rsidR="00A41E37" w:rsidRPr="00A41E37">
        <w:rPr>
          <w:i/>
          <w:iCs/>
          <w:noProof/>
        </w:rPr>
        <w:t>Ann. Microbiol. 2012 632</w:t>
      </w:r>
      <w:r w:rsidR="00A41E37" w:rsidRPr="00A41E37">
        <w:rPr>
          <w:noProof/>
        </w:rPr>
        <w:t xml:space="preserve"> </w:t>
      </w:r>
      <w:r w:rsidR="00A41E37" w:rsidRPr="00A41E37">
        <w:rPr>
          <w:b/>
          <w:bCs/>
          <w:noProof/>
        </w:rPr>
        <w:t>63</w:t>
      </w:r>
      <w:r w:rsidR="00A41E37" w:rsidRPr="00A41E37">
        <w:rPr>
          <w:noProof/>
        </w:rPr>
        <w:t>, 471–476 (2013).</w:t>
      </w:r>
    </w:p>
    <w:p w14:paraId="71FD8F75" w14:textId="77777777" w:rsidR="00A41E37" w:rsidRPr="00A41E37" w:rsidRDefault="00A41E37" w:rsidP="00A41E37">
      <w:pPr>
        <w:widowControl w:val="0"/>
        <w:autoSpaceDE w:val="0"/>
        <w:autoSpaceDN w:val="0"/>
        <w:adjustRightInd w:val="0"/>
        <w:spacing w:after="0"/>
        <w:ind w:left="640" w:hanging="640"/>
        <w:rPr>
          <w:noProof/>
        </w:rPr>
      </w:pPr>
      <w:r w:rsidRPr="00A41E37">
        <w:rPr>
          <w:noProof/>
        </w:rPr>
        <w:t>2.</w:t>
      </w:r>
      <w:r w:rsidRPr="00A41E37">
        <w:rPr>
          <w:noProof/>
        </w:rPr>
        <w:tab/>
        <w:t xml:space="preserve">Praeg, N., Pauli, H. &amp; Illmer, P. Microbial Diversity in Bulk and Rhizosphere Soil of Ranunculus glacialis Along a High-Alpine Altitudinal Gradient. </w:t>
      </w:r>
      <w:r w:rsidRPr="00A41E37">
        <w:rPr>
          <w:i/>
          <w:iCs/>
          <w:noProof/>
        </w:rPr>
        <w:t>Front. Microbiol.</w:t>
      </w:r>
      <w:r w:rsidRPr="00A41E37">
        <w:rPr>
          <w:noProof/>
        </w:rPr>
        <w:t xml:space="preserve"> </w:t>
      </w:r>
      <w:r w:rsidRPr="00A41E37">
        <w:rPr>
          <w:b/>
          <w:bCs/>
          <w:noProof/>
        </w:rPr>
        <w:t>0</w:t>
      </w:r>
      <w:r w:rsidRPr="00A41E37">
        <w:rPr>
          <w:noProof/>
        </w:rPr>
        <w:t>, 1429 (2019).</w:t>
      </w:r>
    </w:p>
    <w:p w14:paraId="27757E08" w14:textId="77777777" w:rsidR="00A41E37" w:rsidRPr="00A41E37" w:rsidRDefault="00A41E37" w:rsidP="00A41E37">
      <w:pPr>
        <w:widowControl w:val="0"/>
        <w:autoSpaceDE w:val="0"/>
        <w:autoSpaceDN w:val="0"/>
        <w:adjustRightInd w:val="0"/>
        <w:spacing w:after="0"/>
        <w:ind w:left="640" w:hanging="640"/>
        <w:rPr>
          <w:noProof/>
        </w:rPr>
      </w:pPr>
      <w:r w:rsidRPr="00A41E37">
        <w:rPr>
          <w:noProof/>
        </w:rPr>
        <w:t>3.</w:t>
      </w:r>
      <w:r w:rsidRPr="00A41E37">
        <w:rPr>
          <w:noProof/>
        </w:rPr>
        <w:tab/>
        <w:t xml:space="preserve">Moret, P., Aráuz, M. de los Á., Gobbi, M. &amp; Barragán, Á. Climate warming effects in the tropical Andes: first evidence for upslope shifts of Carabidae (Coleoptera) in Ecuador. </w:t>
      </w:r>
      <w:r w:rsidRPr="00A41E37">
        <w:rPr>
          <w:i/>
          <w:iCs/>
          <w:noProof/>
        </w:rPr>
        <w:t>Insect Conserv. Divers.</w:t>
      </w:r>
      <w:r w:rsidRPr="00A41E37">
        <w:rPr>
          <w:noProof/>
        </w:rPr>
        <w:t xml:space="preserve"> </w:t>
      </w:r>
      <w:r w:rsidRPr="00A41E37">
        <w:rPr>
          <w:b/>
          <w:bCs/>
          <w:noProof/>
        </w:rPr>
        <w:t>9</w:t>
      </w:r>
      <w:r w:rsidRPr="00A41E37">
        <w:rPr>
          <w:noProof/>
        </w:rPr>
        <w:t>, 342–350 (2016).</w:t>
      </w:r>
    </w:p>
    <w:p w14:paraId="6170BC91" w14:textId="77777777" w:rsidR="00A41E37" w:rsidRPr="00A41E37" w:rsidRDefault="00A41E37" w:rsidP="00A41E37">
      <w:pPr>
        <w:widowControl w:val="0"/>
        <w:autoSpaceDE w:val="0"/>
        <w:autoSpaceDN w:val="0"/>
        <w:adjustRightInd w:val="0"/>
        <w:spacing w:after="0"/>
        <w:ind w:left="640" w:hanging="640"/>
        <w:rPr>
          <w:noProof/>
        </w:rPr>
      </w:pPr>
      <w:r w:rsidRPr="00A41E37">
        <w:rPr>
          <w:noProof/>
        </w:rPr>
        <w:t>4.</w:t>
      </w:r>
      <w:r w:rsidRPr="00A41E37">
        <w:rPr>
          <w:noProof/>
        </w:rPr>
        <w:tab/>
        <w:t>Pesarini, C. Monzini, V. Insetti della fauna italiana. Coleotteri Carabidi I. Natura. https://scholar.google.com/scholar?hl=it&amp;as_sdt=0%2C5&amp;q=Insetti+della+Fauna+italiana.+Coleotteri+Carabidi+I.+Natura.+&amp;btnG=.</w:t>
      </w:r>
    </w:p>
    <w:p w14:paraId="3CFEE157" w14:textId="77777777" w:rsidR="00A41E37" w:rsidRPr="00A41E37" w:rsidRDefault="00A41E37" w:rsidP="00A41E37">
      <w:pPr>
        <w:widowControl w:val="0"/>
        <w:autoSpaceDE w:val="0"/>
        <w:autoSpaceDN w:val="0"/>
        <w:adjustRightInd w:val="0"/>
        <w:spacing w:after="0"/>
        <w:ind w:left="640" w:hanging="640"/>
        <w:rPr>
          <w:noProof/>
        </w:rPr>
      </w:pPr>
      <w:r w:rsidRPr="00A41E37">
        <w:rPr>
          <w:noProof/>
        </w:rPr>
        <w:t>5.</w:t>
      </w:r>
      <w:r w:rsidRPr="00A41E37">
        <w:rPr>
          <w:noProof/>
        </w:rPr>
        <w:tab/>
        <w:t xml:space="preserve">KEMPSON, Denys, LLOYD, M. &amp; GHELARDI, R. A new extractor for woodland litter. </w:t>
      </w:r>
      <w:r w:rsidRPr="00A41E37">
        <w:rPr>
          <w:i/>
          <w:iCs/>
          <w:noProof/>
        </w:rPr>
        <w:t>Pedobiologia (Jena).</w:t>
      </w:r>
      <w:r w:rsidRPr="00A41E37">
        <w:rPr>
          <w:noProof/>
        </w:rPr>
        <w:t xml:space="preserve"> </w:t>
      </w:r>
      <w:r w:rsidRPr="00A41E37">
        <w:rPr>
          <w:b/>
          <w:bCs/>
          <w:noProof/>
        </w:rPr>
        <w:t>3</w:t>
      </w:r>
      <w:r w:rsidRPr="00A41E37">
        <w:rPr>
          <w:noProof/>
        </w:rPr>
        <w:t>, 1–21 (1963).</w:t>
      </w:r>
    </w:p>
    <w:p w14:paraId="19179835" w14:textId="77777777" w:rsidR="00A41E37" w:rsidRPr="00A41E37" w:rsidRDefault="00A41E37" w:rsidP="00A41E37">
      <w:pPr>
        <w:widowControl w:val="0"/>
        <w:autoSpaceDE w:val="0"/>
        <w:autoSpaceDN w:val="0"/>
        <w:adjustRightInd w:val="0"/>
        <w:spacing w:after="0"/>
        <w:ind w:left="640" w:hanging="640"/>
        <w:rPr>
          <w:noProof/>
        </w:rPr>
      </w:pPr>
      <w:r w:rsidRPr="00A41E37">
        <w:rPr>
          <w:noProof/>
        </w:rPr>
        <w:t>6.</w:t>
      </w:r>
      <w:r w:rsidRPr="00A41E37">
        <w:rPr>
          <w:noProof/>
        </w:rPr>
        <w:tab/>
        <w:t xml:space="preserve">Viglierchio, D. R. &amp; Schmitt, R. V. On the Methodology of Nematode Extraction from Field Samples: BaermannFunnel Modifications. </w:t>
      </w:r>
      <w:r w:rsidRPr="00A41E37">
        <w:rPr>
          <w:i/>
          <w:iCs/>
          <w:noProof/>
        </w:rPr>
        <w:t>J. Nematol.</w:t>
      </w:r>
      <w:r w:rsidRPr="00A41E37">
        <w:rPr>
          <w:noProof/>
        </w:rPr>
        <w:t xml:space="preserve"> </w:t>
      </w:r>
      <w:r w:rsidRPr="00A41E37">
        <w:rPr>
          <w:b/>
          <w:bCs/>
          <w:noProof/>
        </w:rPr>
        <w:t>15</w:t>
      </w:r>
      <w:r w:rsidRPr="00A41E37">
        <w:rPr>
          <w:noProof/>
        </w:rPr>
        <w:t>, 438 (1983).</w:t>
      </w:r>
    </w:p>
    <w:p w14:paraId="3936D550" w14:textId="77777777" w:rsidR="00A41E37" w:rsidRPr="00A41E37" w:rsidRDefault="00A41E37" w:rsidP="00A41E37">
      <w:pPr>
        <w:widowControl w:val="0"/>
        <w:autoSpaceDE w:val="0"/>
        <w:autoSpaceDN w:val="0"/>
        <w:adjustRightInd w:val="0"/>
        <w:spacing w:after="0"/>
        <w:ind w:left="640" w:hanging="640"/>
        <w:rPr>
          <w:noProof/>
        </w:rPr>
      </w:pPr>
      <w:r w:rsidRPr="00A41E37">
        <w:rPr>
          <w:noProof/>
        </w:rPr>
        <w:t>7.</w:t>
      </w:r>
      <w:r w:rsidRPr="00A41E37">
        <w:rPr>
          <w:noProof/>
        </w:rPr>
        <w:tab/>
        <w:t xml:space="preserve">Klindworth, A., </w:t>
      </w:r>
      <w:r w:rsidRPr="00A41E37">
        <w:rPr>
          <w:i/>
          <w:iCs/>
          <w:noProof/>
        </w:rPr>
        <w:t>et al.</w:t>
      </w:r>
      <w:r w:rsidRPr="00A41E37">
        <w:rPr>
          <w:noProof/>
        </w:rPr>
        <w:t xml:space="preserve"> Evaluation of general 16S ribosomal RNA gene PCR primers for classical and next-generation sequencing-based diversity studies. </w:t>
      </w:r>
      <w:r w:rsidRPr="00A41E37">
        <w:rPr>
          <w:i/>
          <w:iCs/>
          <w:noProof/>
        </w:rPr>
        <w:t>Nucleic Acids Res.</w:t>
      </w:r>
      <w:r w:rsidRPr="00A41E37">
        <w:rPr>
          <w:noProof/>
        </w:rPr>
        <w:t xml:space="preserve"> </w:t>
      </w:r>
      <w:r w:rsidRPr="00A41E37">
        <w:rPr>
          <w:b/>
          <w:bCs/>
          <w:noProof/>
        </w:rPr>
        <w:t>41</w:t>
      </w:r>
      <w:r w:rsidRPr="00A41E37">
        <w:rPr>
          <w:noProof/>
        </w:rPr>
        <w:t>, e1–e1 (2013).</w:t>
      </w:r>
    </w:p>
    <w:p w14:paraId="07A2306A" w14:textId="77777777" w:rsidR="00A41E37" w:rsidRPr="00A41E37" w:rsidRDefault="00A41E37" w:rsidP="00A41E37">
      <w:pPr>
        <w:widowControl w:val="0"/>
        <w:autoSpaceDE w:val="0"/>
        <w:autoSpaceDN w:val="0"/>
        <w:adjustRightInd w:val="0"/>
        <w:spacing w:after="0"/>
        <w:ind w:left="640" w:hanging="640"/>
        <w:rPr>
          <w:noProof/>
        </w:rPr>
      </w:pPr>
      <w:r w:rsidRPr="00A41E37">
        <w:rPr>
          <w:noProof/>
        </w:rPr>
        <w:t>8.</w:t>
      </w:r>
      <w:r w:rsidRPr="00A41E37">
        <w:rPr>
          <w:noProof/>
        </w:rPr>
        <w:tab/>
        <w:t xml:space="preserve">Apprill, A., McNally, S., Parsons, R. &amp; Weber, L. Minor revision to V4 region SSU rRNA 806R gene primer greatly increases detection of SAR11 bacterioplankton. </w:t>
      </w:r>
      <w:r w:rsidRPr="00A41E37">
        <w:rPr>
          <w:i/>
          <w:iCs/>
          <w:noProof/>
        </w:rPr>
        <w:t>Aquat. Microb. Ecol.</w:t>
      </w:r>
      <w:r w:rsidRPr="00A41E37">
        <w:rPr>
          <w:noProof/>
        </w:rPr>
        <w:t xml:space="preserve"> </w:t>
      </w:r>
      <w:r w:rsidRPr="00A41E37">
        <w:rPr>
          <w:b/>
          <w:bCs/>
          <w:noProof/>
        </w:rPr>
        <w:t>75</w:t>
      </w:r>
      <w:r w:rsidRPr="00A41E37">
        <w:rPr>
          <w:noProof/>
        </w:rPr>
        <w:t>, 129–137 (2015).</w:t>
      </w:r>
    </w:p>
    <w:p w14:paraId="7427F785" w14:textId="77777777" w:rsidR="00A41E37" w:rsidRPr="00A41E37" w:rsidRDefault="00A41E37" w:rsidP="00A41E37">
      <w:pPr>
        <w:widowControl w:val="0"/>
        <w:autoSpaceDE w:val="0"/>
        <w:autoSpaceDN w:val="0"/>
        <w:adjustRightInd w:val="0"/>
        <w:spacing w:after="0"/>
        <w:ind w:left="640" w:hanging="640"/>
        <w:rPr>
          <w:noProof/>
        </w:rPr>
      </w:pPr>
      <w:r w:rsidRPr="00A41E37">
        <w:rPr>
          <w:noProof/>
        </w:rPr>
        <w:t>9.</w:t>
      </w:r>
      <w:r w:rsidRPr="00A41E37">
        <w:rPr>
          <w:noProof/>
        </w:rPr>
        <w:tab/>
        <w:t xml:space="preserve">Praeg, N., Schwinghammer, L. &amp; Illmer, P. Larix decidua and additional light affect the methane balance of forest soil and the abundance of methanogenic and methanotrophic microorganisms. </w:t>
      </w:r>
      <w:r w:rsidRPr="00A41E37">
        <w:rPr>
          <w:i/>
          <w:iCs/>
          <w:noProof/>
        </w:rPr>
        <w:t>FEMS Microbiol. Lett.</w:t>
      </w:r>
      <w:r w:rsidRPr="00A41E37">
        <w:rPr>
          <w:noProof/>
        </w:rPr>
        <w:t xml:space="preserve"> </w:t>
      </w:r>
      <w:r w:rsidRPr="00A41E37">
        <w:rPr>
          <w:b/>
          <w:bCs/>
          <w:noProof/>
        </w:rPr>
        <w:t>366</w:t>
      </w:r>
      <w:r w:rsidRPr="00A41E37">
        <w:rPr>
          <w:noProof/>
        </w:rPr>
        <w:t>, 259 (2019).</w:t>
      </w:r>
    </w:p>
    <w:p w14:paraId="3C4F9F2E" w14:textId="77777777" w:rsidR="00A41E37" w:rsidRPr="00A41E37" w:rsidRDefault="00A41E37" w:rsidP="00A41E37">
      <w:pPr>
        <w:widowControl w:val="0"/>
        <w:autoSpaceDE w:val="0"/>
        <w:autoSpaceDN w:val="0"/>
        <w:adjustRightInd w:val="0"/>
        <w:spacing w:after="0"/>
        <w:ind w:left="640" w:hanging="640"/>
        <w:rPr>
          <w:noProof/>
        </w:rPr>
      </w:pPr>
      <w:r w:rsidRPr="00A41E37">
        <w:rPr>
          <w:noProof/>
        </w:rPr>
        <w:lastRenderedPageBreak/>
        <w:t>10.</w:t>
      </w:r>
      <w:r w:rsidRPr="00A41E37">
        <w:rPr>
          <w:noProof/>
        </w:rPr>
        <w:tab/>
        <w:t>Wickham, H. ggplot2 Elegant Graphics for Data Analysis Second Edition. (2016).</w:t>
      </w:r>
    </w:p>
    <w:p w14:paraId="559A76E9" w14:textId="77777777" w:rsidR="00A41E37" w:rsidRPr="00A41E37" w:rsidRDefault="00A41E37" w:rsidP="00A41E37">
      <w:pPr>
        <w:widowControl w:val="0"/>
        <w:autoSpaceDE w:val="0"/>
        <w:autoSpaceDN w:val="0"/>
        <w:adjustRightInd w:val="0"/>
        <w:spacing w:after="0"/>
        <w:ind w:left="640" w:hanging="640"/>
        <w:rPr>
          <w:noProof/>
        </w:rPr>
      </w:pPr>
      <w:r w:rsidRPr="00A41E37">
        <w:rPr>
          <w:noProof/>
        </w:rPr>
        <w:t>11.</w:t>
      </w:r>
      <w:r w:rsidRPr="00A41E37">
        <w:rPr>
          <w:noProof/>
        </w:rPr>
        <w:tab/>
        <w:t>Team, R. C. R: A Language and Environment for Statistical Computing. (2019).</w:t>
      </w:r>
    </w:p>
    <w:p w14:paraId="27F76610" w14:textId="397B70D5" w:rsidR="00FD2A43" w:rsidRDefault="00FD2A43" w:rsidP="0065172E">
      <w:pPr>
        <w:spacing w:after="0"/>
      </w:pPr>
      <w:r>
        <w:fldChar w:fldCharType="end"/>
      </w:r>
    </w:p>
    <w:p w14:paraId="33EC1F91" w14:textId="77777777" w:rsidR="00F825BE" w:rsidRPr="005E39F6" w:rsidRDefault="00F825BE" w:rsidP="0065172E">
      <w:pPr>
        <w:spacing w:after="0"/>
      </w:pPr>
    </w:p>
    <w:p w14:paraId="73A3D321" w14:textId="77777777" w:rsidR="005E39F6" w:rsidRPr="00527C6D" w:rsidRDefault="005E39F6" w:rsidP="0065172E">
      <w:pPr>
        <w:rPr>
          <w:lang w:val="en-US"/>
        </w:rPr>
      </w:pPr>
    </w:p>
    <w:sectPr w:rsidR="005E39F6" w:rsidRPr="00527C6D">
      <w:pgSz w:w="11906" w:h="16838"/>
      <w:pgMar w:top="1417"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5D1A4" w14:textId="77777777" w:rsidR="00D80A13" w:rsidRDefault="00D80A13" w:rsidP="00780436">
      <w:pPr>
        <w:spacing w:after="0" w:line="240" w:lineRule="auto"/>
      </w:pPr>
      <w:r>
        <w:separator/>
      </w:r>
    </w:p>
  </w:endnote>
  <w:endnote w:type="continuationSeparator" w:id="0">
    <w:p w14:paraId="26F820C9" w14:textId="77777777" w:rsidR="00D80A13" w:rsidRDefault="00D80A13" w:rsidP="00780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97984" w14:textId="77777777" w:rsidR="00D80A13" w:rsidRDefault="00D80A13" w:rsidP="00780436">
      <w:pPr>
        <w:spacing w:after="0" w:line="240" w:lineRule="auto"/>
      </w:pPr>
      <w:r>
        <w:separator/>
      </w:r>
    </w:p>
  </w:footnote>
  <w:footnote w:type="continuationSeparator" w:id="0">
    <w:p w14:paraId="301DC6BE" w14:textId="77777777" w:rsidR="00D80A13" w:rsidRDefault="00D80A13" w:rsidP="007804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5CE"/>
    <w:rsid w:val="0002662C"/>
    <w:rsid w:val="000A404C"/>
    <w:rsid w:val="000E782C"/>
    <w:rsid w:val="000F3EA2"/>
    <w:rsid w:val="001220B1"/>
    <w:rsid w:val="001359E2"/>
    <w:rsid w:val="00161999"/>
    <w:rsid w:val="00165B5B"/>
    <w:rsid w:val="00193E92"/>
    <w:rsid w:val="001A68E9"/>
    <w:rsid w:val="001A722E"/>
    <w:rsid w:val="001F67DB"/>
    <w:rsid w:val="002475CE"/>
    <w:rsid w:val="00281ADA"/>
    <w:rsid w:val="00430263"/>
    <w:rsid w:val="004D2BB6"/>
    <w:rsid w:val="00524B3B"/>
    <w:rsid w:val="00527C6D"/>
    <w:rsid w:val="005E2A4A"/>
    <w:rsid w:val="005E39F6"/>
    <w:rsid w:val="0065172E"/>
    <w:rsid w:val="006627D8"/>
    <w:rsid w:val="007120BE"/>
    <w:rsid w:val="00750067"/>
    <w:rsid w:val="00780436"/>
    <w:rsid w:val="0089614B"/>
    <w:rsid w:val="008F014B"/>
    <w:rsid w:val="009337CD"/>
    <w:rsid w:val="009E2A87"/>
    <w:rsid w:val="00A17AAB"/>
    <w:rsid w:val="00A41E37"/>
    <w:rsid w:val="00A5319F"/>
    <w:rsid w:val="00B2407F"/>
    <w:rsid w:val="00B418D8"/>
    <w:rsid w:val="00B97ABD"/>
    <w:rsid w:val="00C67655"/>
    <w:rsid w:val="00CD18D9"/>
    <w:rsid w:val="00D71D62"/>
    <w:rsid w:val="00D80A13"/>
    <w:rsid w:val="00DC410C"/>
    <w:rsid w:val="00E15E16"/>
    <w:rsid w:val="00F825BE"/>
    <w:rsid w:val="00FD2A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B65C6"/>
  <w15:chartTrackingRefBased/>
  <w15:docId w15:val="{756D3692-015E-4CCA-BBAC-FE6F451B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5CE"/>
    <w:pPr>
      <w:spacing w:after="240" w:line="360" w:lineRule="auto"/>
      <w:jc w:val="both"/>
    </w:pPr>
    <w:rPr>
      <w:rFonts w:ascii="Times New Roman" w:eastAsia="Times New Roman" w:hAnsi="Times New Roman" w:cs="Times New Roman"/>
      <w:sz w:val="24"/>
      <w:szCs w:val="24"/>
      <w:lang w:val="en-GB"/>
    </w:rPr>
  </w:style>
  <w:style w:type="paragraph" w:styleId="Heading2">
    <w:name w:val="heading 2"/>
    <w:basedOn w:val="Normal"/>
    <w:next w:val="Normal"/>
    <w:link w:val="Heading2Char"/>
    <w:uiPriority w:val="9"/>
    <w:unhideWhenUsed/>
    <w:qFormat/>
    <w:rsid w:val="00780436"/>
    <w:pPr>
      <w:spacing w:after="0"/>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15E16"/>
    <w:rPr>
      <w:sz w:val="16"/>
      <w:szCs w:val="16"/>
    </w:rPr>
  </w:style>
  <w:style w:type="paragraph" w:styleId="CommentText">
    <w:name w:val="annotation text"/>
    <w:basedOn w:val="Normal"/>
    <w:link w:val="CommentTextChar"/>
    <w:uiPriority w:val="99"/>
    <w:unhideWhenUsed/>
    <w:rsid w:val="00E15E16"/>
    <w:pPr>
      <w:spacing w:line="240" w:lineRule="auto"/>
    </w:pPr>
    <w:rPr>
      <w:sz w:val="20"/>
      <w:szCs w:val="20"/>
    </w:rPr>
  </w:style>
  <w:style w:type="character" w:customStyle="1" w:styleId="CommentTextChar">
    <w:name w:val="Comment Text Char"/>
    <w:basedOn w:val="DefaultParagraphFont"/>
    <w:link w:val="CommentText"/>
    <w:uiPriority w:val="99"/>
    <w:rsid w:val="00E15E16"/>
    <w:rPr>
      <w:rFonts w:ascii="Times New Roman" w:eastAsia="Times New Roman" w:hAnsi="Times New Roman" w:cs="Times New Roman"/>
      <w:sz w:val="20"/>
      <w:szCs w:val="20"/>
      <w:lang w:val="en-GB"/>
    </w:rPr>
  </w:style>
  <w:style w:type="character" w:customStyle="1" w:styleId="Heading2Char">
    <w:name w:val="Heading 2 Char"/>
    <w:basedOn w:val="DefaultParagraphFont"/>
    <w:link w:val="Heading2"/>
    <w:uiPriority w:val="9"/>
    <w:rsid w:val="00780436"/>
    <w:rPr>
      <w:rFonts w:ascii="Times New Roman" w:eastAsia="Times New Roman" w:hAnsi="Times New Roman" w:cs="Times New Roman"/>
      <w:sz w:val="24"/>
      <w:szCs w:val="24"/>
      <w:u w:val="single"/>
      <w:lang w:val="en-GB"/>
    </w:rPr>
  </w:style>
  <w:style w:type="paragraph" w:styleId="FootnoteText">
    <w:name w:val="footnote text"/>
    <w:basedOn w:val="Normal"/>
    <w:link w:val="FootnoteTextChar"/>
    <w:uiPriority w:val="99"/>
    <w:semiHidden/>
    <w:unhideWhenUsed/>
    <w:rsid w:val="007804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0436"/>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7804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985183">
      <w:bodyDiv w:val="1"/>
      <w:marLeft w:val="0"/>
      <w:marRight w:val="0"/>
      <w:marTop w:val="0"/>
      <w:marBottom w:val="0"/>
      <w:divBdr>
        <w:top w:val="none" w:sz="0" w:space="0" w:color="auto"/>
        <w:left w:val="none" w:sz="0" w:space="0" w:color="auto"/>
        <w:bottom w:val="none" w:sz="0" w:space="0" w:color="auto"/>
        <w:right w:val="none" w:sz="0" w:space="0" w:color="auto"/>
      </w:divBdr>
    </w:div>
    <w:div w:id="1628122408">
      <w:bodyDiv w:val="1"/>
      <w:marLeft w:val="0"/>
      <w:marRight w:val="0"/>
      <w:marTop w:val="0"/>
      <w:marBottom w:val="0"/>
      <w:divBdr>
        <w:top w:val="none" w:sz="0" w:space="0" w:color="auto"/>
        <w:left w:val="none" w:sz="0" w:space="0" w:color="auto"/>
        <w:bottom w:val="none" w:sz="0" w:space="0" w:color="auto"/>
        <w:right w:val="none" w:sz="0" w:space="0" w:color="auto"/>
      </w:divBdr>
    </w:div>
    <w:div w:id="2099133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arthmicrobiome.org/protocols-and-standards/16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8D301-0353-4CF9-9A7B-4F5BA06FB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5268</Words>
  <Characters>30034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Fondazione Edmund Mach</Company>
  <LinksUpToDate>false</LinksUpToDate>
  <CharactersWithSpaces>35232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Galla</dc:creator>
  <cp:keywords/>
  <dc:description/>
  <cp:lastModifiedBy>Giulio Galla</cp:lastModifiedBy>
  <cp:revision>2</cp:revision>
  <dcterms:created xsi:type="dcterms:W3CDTF">2022-06-09T13:07:00Z</dcterms:created>
  <dcterms:modified xsi:type="dcterms:W3CDTF">2022-06-09T13:07:00Z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bbcb0c60-af6f-3d07-82cd-758c92ca48b9</vt:lpwstr>
  </property>
  <property fmtid="{D5CDD505-2E9C-101B-9397-08002B2CF9AE}" pid="4" name="Mendeley Citation Style_1">
    <vt:lpwstr>http://csl.mendeley.com/styles/560795591/nature</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http://www.zotero.org/styles/chicago-note-bibliography</vt:lpwstr>
  </property>
  <property fmtid="{D5CDD505-2E9C-101B-9397-08002B2CF9AE}" pid="10" name="Mendeley Recent Style Name 2_1">
    <vt:lpwstr>Chicago Manual of Style 17th edition (note)</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http://www.zotero.org/styles/modern-language-association</vt:lpwstr>
  </property>
  <property fmtid="{D5CDD505-2E9C-101B-9397-08002B2CF9AE}" pid="14" name="Mendeley Recent Style Name 4_1">
    <vt:lpwstr>Modern Language Association 8th edition</vt:lpwstr>
  </property>
  <property fmtid="{D5CDD505-2E9C-101B-9397-08002B2CF9AE}" pid="15" name="Mendeley Recent Style Id 5_1">
    <vt:lpwstr>http://www.zotero.org/styles/nature</vt:lpwstr>
  </property>
  <property fmtid="{D5CDD505-2E9C-101B-9397-08002B2CF9AE}" pid="16" name="Mendeley Recent Style Name 5_1">
    <vt:lpwstr>Nature</vt:lpwstr>
  </property>
  <property fmtid="{D5CDD505-2E9C-101B-9397-08002B2CF9AE}" pid="17" name="Mendeley Recent Style Id 6_1">
    <vt:lpwstr>http://csl.mendeley.com/styles/560795591/nature</vt:lpwstr>
  </property>
  <property fmtid="{D5CDD505-2E9C-101B-9397-08002B2CF9AE}" pid="18" name="Mendeley Recent Style Name 6_1">
    <vt:lpwstr>Nature edited</vt:lpwstr>
  </property>
  <property fmtid="{D5CDD505-2E9C-101B-9397-08002B2CF9AE}" pid="19" name="Mendeley Recent Style Id 7_1">
    <vt:lpwstr>http://www.zotero.org/styles/scientific-reports</vt:lpwstr>
  </property>
  <property fmtid="{D5CDD505-2E9C-101B-9397-08002B2CF9AE}" pid="20" name="Mendeley Recent Style Name 7_1">
    <vt:lpwstr>Scientific Reports</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http://www.zotero.org/styles/vancouver_custom</vt:lpwstr>
  </property>
  <property fmtid="{D5CDD505-2E9C-101B-9397-08002B2CF9AE}" pid="24" name="Mendeley Recent Style Name 9_1">
    <vt:lpwstr>Vancouver (custom)</vt:lpwstr>
  </property>
</Properties>
</file>