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AE2B9F" w14:textId="77777777" w:rsidR="0082679C" w:rsidRDefault="00921453" w:rsidP="0082679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en-IN"/>
        </w:rPr>
        <w:drawing>
          <wp:inline distT="0" distB="0" distL="0" distR="0" wp14:anchorId="319D4919" wp14:editId="7A0A1BE5">
            <wp:extent cx="5731510" cy="7862749"/>
            <wp:effectExtent l="0" t="0" r="2540" b="5080"/>
            <wp:docPr id="1" name="Picture 1" descr="C:\Users\karun\OneDrive\Manuscript Drafts\Praveen Sir\Malaria\Revision 2\S9_Climate_Trends_EastBor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un\OneDrive\Manuscript Drafts\Praveen Sir\Malaria\Revision 2\S9_Climate_Trends_EastBorder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62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C4D1F" w14:textId="00D4F658" w:rsidR="0082679C" w:rsidRPr="00FF27C6" w:rsidRDefault="00DB3B09" w:rsidP="0082679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Figure S13</w:t>
      </w:r>
      <w:r w:rsidR="0082679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2679C" w:rsidRPr="0014424E">
        <w:rPr>
          <w:rFonts w:ascii="Times New Roman" w:hAnsi="Times New Roman" w:cs="Times New Roman"/>
          <w:sz w:val="24"/>
          <w:szCs w:val="24"/>
        </w:rPr>
        <w:t xml:space="preserve">Long-term trends in (a) Maximum temperature; (b) Minimum temperature; (c) Temperature range; (d) Relative humidity; (e) Rainfall in the </w:t>
      </w:r>
      <w:r w:rsidR="0082679C">
        <w:rPr>
          <w:rFonts w:ascii="Times New Roman" w:hAnsi="Times New Roman" w:cs="Times New Roman"/>
          <w:sz w:val="24"/>
          <w:szCs w:val="24"/>
        </w:rPr>
        <w:t>Eastern</w:t>
      </w:r>
      <w:r w:rsidR="0082679C" w:rsidRPr="0014424E">
        <w:rPr>
          <w:rFonts w:ascii="Times New Roman" w:hAnsi="Times New Roman" w:cs="Times New Roman"/>
          <w:sz w:val="24"/>
          <w:szCs w:val="24"/>
        </w:rPr>
        <w:t xml:space="preserve"> regions </w:t>
      </w:r>
      <w:r w:rsidR="0082679C" w:rsidRPr="0014424E">
        <w:rPr>
          <w:rFonts w:ascii="Times New Roman" w:hAnsi="Times New Roman" w:cs="Times New Roman"/>
          <w:sz w:val="24"/>
          <w:szCs w:val="24"/>
        </w:rPr>
        <w:lastRenderedPageBreak/>
        <w:t>of Mizoram. The dotted lines in the graphs show Sen’s slope, the rate of change per year (Q)</w:t>
      </w:r>
      <w:r w:rsidR="00BA1E43">
        <w:rPr>
          <w:rFonts w:ascii="Times New Roman" w:hAnsi="Times New Roman" w:cs="Times New Roman"/>
          <w:sz w:val="24"/>
          <w:szCs w:val="24"/>
        </w:rPr>
        <w:t>, and</w:t>
      </w:r>
      <w:r w:rsidR="0082679C" w:rsidRPr="0014424E">
        <w:rPr>
          <w:rFonts w:ascii="Times New Roman" w:hAnsi="Times New Roman" w:cs="Times New Roman"/>
          <w:sz w:val="24"/>
          <w:szCs w:val="24"/>
        </w:rPr>
        <w:t xml:space="preserve"> statistical significance (based on Z-value)</w:t>
      </w:r>
      <w:r w:rsidR="0082679C">
        <w:rPr>
          <w:rFonts w:ascii="Times New Roman" w:hAnsi="Times New Roman" w:cs="Times New Roman"/>
          <w:sz w:val="24"/>
          <w:szCs w:val="24"/>
        </w:rPr>
        <w:t>.</w:t>
      </w:r>
    </w:p>
    <w:p w14:paraId="3AB7A0B6" w14:textId="77777777" w:rsidR="001015D5" w:rsidRDefault="00DB3B09"/>
    <w:sectPr w:rsidR="001015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ESRI NIMA VMAP1&amp;2 PT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S0MLU0MzM0NTcxs7BU0lEKTi0uzszPAykwrAUAHm6WoSwAAAA="/>
  </w:docVars>
  <w:rsids>
    <w:rsidRoot w:val="0082679C"/>
    <w:rsid w:val="000F1852"/>
    <w:rsid w:val="0082679C"/>
    <w:rsid w:val="00861303"/>
    <w:rsid w:val="00921453"/>
    <w:rsid w:val="00BA1E43"/>
    <w:rsid w:val="00D01716"/>
    <w:rsid w:val="00DB3B09"/>
    <w:rsid w:val="00FF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41C32"/>
  <w15:docId w15:val="{558BC4C2-0835-4B93-A7E4-E02E4A682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67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1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453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BA1E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2023-02-28T02:00:00Z</dcterms:created>
  <dcterms:modified xsi:type="dcterms:W3CDTF">2023-02-28T09:58:00Z</dcterms:modified>
</cp:coreProperties>
</file>