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584" w:rsidRPr="00DF7023" w:rsidRDefault="00CF5584" w:rsidP="00CF5584">
      <w:pPr>
        <w:pageBreakBefore/>
        <w:spacing w:line="480" w:lineRule="auto"/>
        <w:rPr>
          <w:b/>
          <w:lang w:val="en-US"/>
        </w:rPr>
      </w:pPr>
      <w:r w:rsidRPr="00DF7023">
        <w:rPr>
          <w:b/>
          <w:lang w:val="en-US"/>
        </w:rPr>
        <w:t>Appendix A</w:t>
      </w:r>
    </w:p>
    <w:p w:rsidR="00CF5584" w:rsidRPr="00DF7023" w:rsidRDefault="00CF5584" w:rsidP="00CF5584">
      <w:pPr>
        <w:spacing w:line="480" w:lineRule="auto"/>
        <w:rPr>
          <w:b/>
          <w:lang w:val="en-US"/>
        </w:rPr>
      </w:pPr>
      <w:r w:rsidRPr="00DF7023">
        <w:rPr>
          <w:b/>
          <w:lang w:val="en-US"/>
        </w:rPr>
        <w:t>Taylor approximation of mean and standard deviation of ratios</w:t>
      </w:r>
    </w:p>
    <w:p w:rsidR="00CF5584" w:rsidRPr="00DF7023" w:rsidRDefault="00CF5584" w:rsidP="00CF5584">
      <w:pPr>
        <w:spacing w:line="480" w:lineRule="auto"/>
        <w:rPr>
          <w:lang w:val="en-US"/>
        </w:rPr>
      </w:pP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lang w:val="en-US"/>
        </w:rPr>
        <w:t xml:space="preserve">Consider random variables </w:t>
      </w:r>
      <w:r w:rsidRPr="00DF7023">
        <w:rPr>
          <w:i/>
          <w:lang w:val="en-US"/>
        </w:rPr>
        <w:t xml:space="preserve">x </w:t>
      </w:r>
      <w:r w:rsidRPr="00DF7023">
        <w:rPr>
          <w:lang w:val="en-US"/>
        </w:rPr>
        <w:t xml:space="preserve">and </w:t>
      </w:r>
      <w:r w:rsidRPr="00DF7023">
        <w:rPr>
          <w:i/>
          <w:lang w:val="en-US"/>
        </w:rPr>
        <w:t>y</w:t>
      </w:r>
      <w:r w:rsidRPr="00DF7023">
        <w:rPr>
          <w:lang w:val="en-US"/>
        </w:rPr>
        <w:t>, where y has support [0,</w:t>
      </w:r>
      <w:r w:rsidRPr="00DF7023">
        <w:rPr>
          <w:rFonts w:cstheme="minorHAnsi"/>
          <w:lang w:val="en-US"/>
        </w:rPr>
        <w:t>∞</w:t>
      </w:r>
      <w:r w:rsidRPr="00DF7023">
        <w:rPr>
          <w:lang w:val="en-US"/>
        </w:rPr>
        <w:t xml:space="preserve">]. Mean and standard deviation of </w:t>
      </w:r>
      <m:oMath>
        <m:r>
          <w:rPr>
            <w:rFonts w:ascii="Cambria Math" w:hAnsi="Cambria Math"/>
            <w:lang w:val="en-US"/>
          </w:rPr>
          <m:t>x/y=</m:t>
        </m:r>
        <m:r>
          <m:rPr>
            <m:sty m:val="p"/>
          </m:rP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x,y</m:t>
            </m:r>
          </m:e>
        </m:d>
      </m:oMath>
      <w:r w:rsidRPr="00DF7023">
        <w:rPr>
          <w:rFonts w:eastAsiaTheme="minorEastAsia"/>
          <w:lang w:val="en-US"/>
        </w:rPr>
        <w:t xml:space="preserve"> can be approximated by Taylor series expansion.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 xml:space="preserve">The first order Taylor expansion of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x,y</m:t>
            </m:r>
          </m:e>
        </m:d>
      </m:oMath>
      <w:r w:rsidRPr="00DF7023">
        <w:rPr>
          <w:rFonts w:eastAsiaTheme="minorEastAsia"/>
          <w:lang w:val="en-US"/>
        </w:rPr>
        <w:t xml:space="preserve"> around </w:t>
      </w:r>
      <m:oMath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</m:sub>
            </m:sSub>
          </m:e>
        </m:d>
      </m:oMath>
      <w:r w:rsidRPr="00DF7023">
        <w:rPr>
          <w:rFonts w:eastAsiaTheme="minorEastAsia"/>
          <w:lang w:val="en-US"/>
        </w:rPr>
        <w:t xml:space="preserve"> is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≈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</m:e>
          </m:d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∂x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∂y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>Better precision can be reached by using second-order expansion: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≈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</m:e>
          </m:d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∂x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+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∂y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d>
            <m:dPr>
              <m:begChr m:val="{"/>
              <m:endChr m:val="}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+2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y-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∂x∂y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e>
          </m: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lang w:val="en-US"/>
        </w:rPr>
        <w:t xml:space="preserve">Let the finite mean of x and y be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μ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  <m: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E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</m:t>
            </m:r>
          </m:e>
        </m:d>
      </m:oMath>
      <w:r w:rsidRPr="00DF7023">
        <w:rPr>
          <w:rFonts w:eastAsiaTheme="minorEastAsia"/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μ</m:t>
            </m:r>
          </m:e>
          <m:sub>
            <m:r>
              <w:rPr>
                <w:rFonts w:ascii="Cambria Math" w:hAnsi="Cambria Math"/>
                <w:lang w:val="en-US"/>
              </w:rPr>
              <m:t>y</m:t>
            </m:r>
          </m:sub>
        </m:sSub>
        <m: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E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y</m:t>
            </m:r>
          </m:e>
        </m:d>
      </m:oMath>
      <w:r w:rsidRPr="00DF7023">
        <w:rPr>
          <w:rFonts w:eastAsiaTheme="minorEastAsia"/>
          <w:lang w:val="en-US"/>
        </w:rPr>
        <w:t xml:space="preserve">. Let us choose the expansion point to be </w:t>
      </w:r>
      <m:oMath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</m:sub>
            </m:sSub>
          </m:e>
        </m:d>
      </m:oMath>
      <w:r w:rsidRPr="00DF7023">
        <w:rPr>
          <w:rFonts w:eastAsiaTheme="minorEastAsia"/>
          <w:lang w:val="en-US"/>
        </w:rPr>
        <w:t xml:space="preserve">. Using the property of mean that when </w:t>
      </w:r>
      <w:r w:rsidRPr="00DF7023">
        <w:rPr>
          <w:rFonts w:eastAsiaTheme="minorEastAsia"/>
          <w:i/>
          <w:lang w:val="en-US"/>
        </w:rPr>
        <w:t>a</w:t>
      </w:r>
      <w:r w:rsidRPr="00DF7023">
        <w:rPr>
          <w:rFonts w:eastAsiaTheme="minorEastAsia"/>
          <w:lang w:val="en-US"/>
        </w:rPr>
        <w:t xml:space="preserve"> and </w:t>
      </w:r>
      <w:r w:rsidRPr="00DF7023">
        <w:rPr>
          <w:rFonts w:eastAsiaTheme="minorEastAsia"/>
          <w:i/>
          <w:lang w:val="en-US"/>
        </w:rPr>
        <w:t>b</w:t>
      </w:r>
      <w:r w:rsidRPr="00DF7023">
        <w:rPr>
          <w:rFonts w:eastAsiaTheme="minorEastAsia"/>
          <w:lang w:val="en-US"/>
        </w:rPr>
        <w:t xml:space="preserve"> are constant, </w:t>
      </w:r>
      <m:oMath>
        <m:r>
          <m:rPr>
            <m:sty m:val="p"/>
          </m:rPr>
          <w:rPr>
            <w:rFonts w:ascii="Cambria Math" w:eastAsiaTheme="minorEastAsia" w:hAnsi="Cambria Math"/>
            <w:lang w:val="en-US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aX+bY</m:t>
            </m:r>
          </m:e>
        </m:d>
        <m:r>
          <w:rPr>
            <w:rFonts w:ascii="Cambria Math" w:eastAsiaTheme="minorEastAsia" w:hAnsi="Cambria Math"/>
            <w:lang w:val="en-US"/>
          </w:rPr>
          <m:t>=a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lang w:val="en-US"/>
          </w:rPr>
          <m:t>+b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Y</m:t>
            </m:r>
          </m:e>
        </m:d>
      </m:oMath>
      <w:r w:rsidRPr="00DF7023">
        <w:rPr>
          <w:rFonts w:eastAsiaTheme="minorEastAsia"/>
          <w:lang w:val="en-US"/>
        </w:rPr>
        <w:t xml:space="preserve">, the first order approximation of </w:t>
      </w:r>
      <m:oMath>
        <m:r>
          <w:rPr>
            <w:rFonts w:ascii="Cambria Math" w:eastAsiaTheme="minorEastAsia" w:hAnsi="Cambria Math"/>
            <w:lang w:val="en-US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x,y</m:t>
                </m:r>
              </m:e>
            </m:d>
          </m:e>
        </m:d>
      </m:oMath>
      <w:r w:rsidRPr="00DF7023">
        <w:rPr>
          <w:rFonts w:eastAsiaTheme="minorEastAsia"/>
          <w:lang w:val="en-US"/>
        </w:rPr>
        <w:t xml:space="preserve"> is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E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x,y</m:t>
                  </m:r>
                </m:e>
              </m:d>
            </m:e>
          </m:d>
          <m:r>
            <w:rPr>
              <w:rFonts w:ascii="Cambria Math" w:hAnsi="Cambria Math"/>
              <w:lang w:val="en-US"/>
            </w:rPr>
            <m:t>≈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+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E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</m:e>
          </m:d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∂x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+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E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y-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∂y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 xml:space="preserve">Since </w:t>
      </w:r>
      <m:oMath>
        <m:r>
          <m:rPr>
            <m:sty m:val="p"/>
          </m:rPr>
          <w:rPr>
            <w:rFonts w:ascii="Cambria Math" w:hAnsi="Cambria Math"/>
            <w:lang w:val="en-US"/>
          </w:rPr>
          <m:t>E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sub>
            </m:sSub>
          </m:e>
        </m:d>
        <m:r>
          <w:rPr>
            <w:rFonts w:ascii="Cambria Math" w:eastAsiaTheme="minorEastAsia" w:hAnsi="Cambria Math"/>
            <w:lang w:val="en-US"/>
          </w:rPr>
          <m:t>=0</m:t>
        </m:r>
      </m:oMath>
      <w:r w:rsidRPr="00DF7023">
        <w:rPr>
          <w:rFonts w:eastAsiaTheme="minorEastAsia"/>
          <w:lang w:val="en-US"/>
        </w:rPr>
        <w:t xml:space="preserve"> and </w:t>
      </w:r>
      <m:oMath>
        <m:r>
          <m:rPr>
            <m:sty m:val="p"/>
          </m:rPr>
          <w:rPr>
            <w:rFonts w:ascii="Cambria Math" w:hAnsi="Cambria Math"/>
            <w:lang w:val="en-US"/>
          </w:rPr>
          <m:t>E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y-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</m:sub>
            </m:sSub>
          </m:e>
        </m:d>
        <m:r>
          <w:rPr>
            <w:rFonts w:ascii="Cambria Math" w:eastAsiaTheme="minorEastAsia" w:hAnsi="Cambria Math"/>
            <w:lang w:val="en-US"/>
          </w:rPr>
          <m:t>=0</m:t>
        </m:r>
      </m:oMath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E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lang w:val="en-US"/>
            </w:rPr>
            <m:t>=E</m:t>
          </m:r>
          <m:d>
            <m:dPr>
              <m:ctrlPr>
                <w:rPr>
                  <w:rFonts w:ascii="Cambria Math" w:hAnsi="Cambria Math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x,y</m:t>
                  </m:r>
                </m:e>
              </m:d>
            </m:e>
          </m:d>
          <m:r>
            <w:rPr>
              <w:rFonts w:ascii="Cambria Math" w:hAnsi="Cambria Math"/>
              <w:lang w:val="en-US"/>
            </w:rPr>
            <m:t>≈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den>
          </m:f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>We can get a more precise result by using a second-order approximation with the same expansion point: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≈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  <m:r>
                <w:rPr>
                  <w:rFonts w:ascii="Cambria Math" w:hAnsi="Cambria Math"/>
                  <w:lang w:val="en-US"/>
                </w:rPr>
                <m:t>+2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Cov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x,y</m:t>
                  </m:r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∂x∂y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e>
          </m: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 xml:space="preserve">where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  <m:sup>
            <m:r>
              <w:rPr>
                <w:rFonts w:ascii="Cambria Math" w:hAnsi="Cambria Math"/>
                <w:lang w:val="en-US"/>
              </w:rPr>
              <m:t>2</m:t>
            </m:r>
          </m:sup>
        </m:sSubSup>
        <m: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E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d>
      </m:oMath>
      <w:r w:rsidRPr="00DF7023">
        <w:rPr>
          <w:rFonts w:eastAsiaTheme="minorEastAsia"/>
          <w:lang w:val="en-US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lang w:val="en-US"/>
              </w:rPr>
              <m:t>y</m:t>
            </m:r>
          </m:sub>
          <m:sup>
            <m:r>
              <w:rPr>
                <w:rFonts w:ascii="Cambria Math" w:hAnsi="Cambria Math"/>
                <w:lang w:val="en-US"/>
              </w:rPr>
              <m:t>2</m:t>
            </m:r>
          </m:sup>
        </m:sSubSup>
        <m: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E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y-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y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d>
      </m:oMath>
      <w:r w:rsidRPr="00DF7023">
        <w:rPr>
          <w:rFonts w:eastAsiaTheme="minorEastAsia"/>
          <w:lang w:val="en-US"/>
        </w:rPr>
        <w:t xml:space="preserve"> are variances of x and y, respectively, while </w:t>
      </w:r>
      <m:oMath>
        <m:r>
          <m:rPr>
            <m:sty m:val="p"/>
          </m:rPr>
          <w:rPr>
            <w:rFonts w:ascii="Cambria Math" w:hAnsi="Cambria Math"/>
            <w:lang w:val="en-US"/>
          </w:rPr>
          <m:t>Cov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x,y</m:t>
            </m:r>
          </m:e>
        </m:d>
        <m:r>
          <w:rPr>
            <w:rFonts w:ascii="Cambria Math" w:hAnsi="Cambria Math"/>
            <w:lang w:val="en-US"/>
          </w:rPr>
          <m:t>=E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x-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y-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y</m:t>
                    </m:r>
                  </m:sub>
                </m:sSub>
              </m:e>
            </m:d>
          </m:e>
        </m:d>
      </m:oMath>
      <w:r w:rsidRPr="00DF7023">
        <w:rPr>
          <w:rFonts w:eastAsiaTheme="minorEastAsia"/>
          <w:lang w:val="en-US"/>
        </w:rPr>
        <w:t xml:space="preserve"> is their covariance.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 xml:space="preserve">If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x,y</m:t>
            </m:r>
          </m:e>
        </m:d>
        <m:r>
          <w:rPr>
            <w:rFonts w:ascii="Cambria Math" w:hAnsi="Cambria Math"/>
            <w:lang w:val="en-US"/>
          </w:rPr>
          <m:t>=x/y</m:t>
        </m:r>
      </m:oMath>
      <w:r w:rsidRPr="00DF7023">
        <w:rPr>
          <w:rFonts w:eastAsiaTheme="minorEastAsia"/>
          <w:lang w:val="en-US"/>
        </w:rPr>
        <w:t xml:space="preserve"> then</w:t>
      </w:r>
    </w:p>
    <w:p w:rsidR="00CF5584" w:rsidRPr="00DF7023" w:rsidRDefault="00DF7023" w:rsidP="00CF5584">
      <w:pPr>
        <w:spacing w:line="480" w:lineRule="auto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=0</m:t>
          </m:r>
        </m:oMath>
      </m:oMathPara>
    </w:p>
    <w:p w:rsidR="00CF5584" w:rsidRPr="00DF7023" w:rsidRDefault="00DF7023" w:rsidP="00CF5584">
      <w:pPr>
        <w:spacing w:line="480" w:lineRule="auto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p>
            </m:den>
          </m:f>
        </m:oMath>
      </m:oMathPara>
    </w:p>
    <w:p w:rsidR="00CF5584" w:rsidRPr="00DF7023" w:rsidRDefault="00DF7023" w:rsidP="00CF5584">
      <w:pPr>
        <w:spacing w:line="480" w:lineRule="auto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∂x∂y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>Therefore,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E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den>
              </m:f>
            </m:e>
          </m:d>
          <m:r>
            <w:rPr>
              <w:rFonts w:ascii="Cambria Math" w:hAnsi="Cambria Math"/>
              <w:lang w:val="en-US"/>
            </w:rPr>
            <m:t>≈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cov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x,y</m:t>
                  </m:r>
                </m:e>
              </m:d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sup>
              </m:sSubSup>
            </m:den>
          </m:f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>For approximating the standard deviation of the ratio we can use that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x,y</m:t>
                  </m:r>
                </m:e>
              </m:d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x,y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E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x,y</m:t>
                                  </m:r>
                                </m:e>
                              </m:d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ra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 xml:space="preserve">Using that </w:t>
      </w:r>
      <m:oMath>
        <m:r>
          <m:rPr>
            <m:sty m:val="p"/>
          </m:rPr>
          <w:rPr>
            <w:rFonts w:ascii="Cambria Math" w:eastAsiaTheme="minorEastAsia" w:hAnsi="Cambria Math"/>
            <w:lang w:val="en-US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x,y</m:t>
                </m:r>
              </m:e>
            </m:d>
          </m:e>
        </m:d>
        <m:r>
          <w:rPr>
            <w:rFonts w:ascii="Cambria Math" w:eastAsiaTheme="minorEastAsia" w:hAnsi="Cambria Math"/>
            <w:lang w:val="en-US"/>
          </w:rPr>
          <m:t>≈f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</m:sub>
            </m:sSub>
          </m:e>
        </m:d>
      </m:oMath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x,y</m:t>
                  </m:r>
                </m:e>
              </m:d>
            </m:e>
          </m:d>
          <m:r>
            <w:rPr>
              <w:rFonts w:ascii="Cambria Math" w:eastAsiaTheme="minorEastAsia" w:hAnsi="Cambria Math"/>
              <w:lang w:val="en-US"/>
            </w:rPr>
            <m:t>≈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x,y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-f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ra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 xml:space="preserve">Then using the first order Taylor expansion around </w:t>
      </w:r>
      <m:oMath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sub>
            </m:sSub>
            <m:r>
              <w:rPr>
                <w:rFonts w:ascii="Cambria Math" w:eastAsiaTheme="minorEastAsia" w:hAnsi="Cambria Math"/>
                <w:lang w:val="en-US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y</m:t>
                </m:r>
              </m:sub>
            </m:sSub>
          </m:e>
        </m:d>
      </m:oMath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x,y</m:t>
                  </m:r>
                </m:e>
              </m:d>
            </m:e>
          </m:d>
          <m:r>
            <w:rPr>
              <w:rFonts w:ascii="Cambria Math" w:eastAsiaTheme="minorEastAsia" w:hAnsi="Cambria Math"/>
              <w:lang w:val="en-US"/>
            </w:rPr>
            <m:t>≈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</m:e>
                          </m:d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∂x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y-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∂y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</m:e>
                          </m:d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∂x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y-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∂y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</m:e>
              </m:d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</m:e>
                          </m:d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∂x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lang w:val="en-US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y-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lang w:val="en-US"/>
                                </w:rPr>
                                <m:t>f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∂y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x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y</m:t>
                                  </m:r>
                                </m:sub>
                              </m:sSub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lang w:val="en-US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sub>
                      </m:sSub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∂x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sub>
                      </m:sSub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y-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sub>
                      </m:sSub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∂y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sub>
                      </m:sSub>
                    </m:e>
                  </m:d>
                </m:e>
              </m:d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∂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∂x</m:t>
                          </m:r>
                        </m:den>
                      </m:f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y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∂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f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∂y</m:t>
                          </m:r>
                        </m:den>
                      </m:f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x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y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Cov</m:t>
              </m:r>
              <m:r>
                <w:rPr>
                  <w:rFonts w:ascii="Cambria Math" w:hAnsi="Cambria Math"/>
                  <w:lang w:val="en-US"/>
                </w:rPr>
                <m:t>(x,y)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∂x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∂y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</m:sSub>
                </m:e>
              </m:d>
            </m:e>
          </m:ra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 xml:space="preserve">If </w:t>
      </w:r>
      <m:oMath>
        <m:r>
          <m:rPr>
            <m:sty m:val="p"/>
          </m:rP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x,y</m:t>
            </m:r>
          </m:e>
        </m:d>
        <m:r>
          <w:rPr>
            <w:rFonts w:ascii="Cambria Math" w:hAnsi="Cambria Math"/>
            <w:lang w:val="en-US"/>
          </w:rPr>
          <m:t>=x/y</m:t>
        </m:r>
      </m:oMath>
      <w:r w:rsidRPr="00DF7023">
        <w:rPr>
          <w:rFonts w:eastAsiaTheme="minorEastAsia"/>
          <w:lang w:val="en-US"/>
        </w:rPr>
        <w:t xml:space="preserve"> then</w:t>
      </w:r>
    </w:p>
    <w:p w:rsidR="00CF5584" w:rsidRPr="00DF7023" w:rsidRDefault="00DF7023" w:rsidP="00CF5584">
      <w:pPr>
        <w:spacing w:line="480" w:lineRule="auto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∂x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y</m:t>
              </m:r>
            </m:den>
          </m:f>
        </m:oMath>
      </m:oMathPara>
    </w:p>
    <w:p w:rsidR="00CF5584" w:rsidRPr="00DF7023" w:rsidRDefault="00DF7023" w:rsidP="00CF5584">
      <w:pPr>
        <w:spacing w:line="480" w:lineRule="auto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∂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f</m:t>
              </m:r>
            </m:num>
            <m:den>
              <m:r>
                <w:rPr>
                  <w:rFonts w:ascii="Cambria Math" w:hAnsi="Cambria Math"/>
                  <w:lang w:val="en-US"/>
                </w:rPr>
                <m:t>∂y</m:t>
              </m:r>
            </m:den>
          </m:f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x,y</m:t>
              </m:r>
            </m:e>
          </m:d>
          <m:r>
            <w:rPr>
              <w:rFonts w:ascii="Cambria Math" w:hAnsi="Cambria Math"/>
              <w:lang w:val="en-US"/>
            </w:rPr>
            <m:t>=-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w:r w:rsidRPr="00DF7023">
        <w:rPr>
          <w:rFonts w:eastAsiaTheme="minorEastAsia"/>
          <w:lang w:val="en-US"/>
        </w:rPr>
        <w:t>Therefore</w:t>
      </w:r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y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en-US"/>
            </w:rPr>
            <m:t>≈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4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x,y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sup>
                  </m:sSubSup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bSup>
                    </m:num>
                    <m:den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y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Cov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x,y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y</m:t>
                          </m:r>
                        </m:sub>
                      </m:sSub>
                    </m:den>
                  </m:f>
                </m:e>
              </m:d>
            </m:e>
          </m:rad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</m:den>
          </m:f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x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y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Cov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x,y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y</m:t>
                      </m:r>
                    </m:sub>
                  </m:sSub>
                </m:den>
              </m:f>
            </m:e>
          </m:rad>
        </m:oMath>
      </m:oMathPara>
    </w:p>
    <w:p w:rsidR="00CF5584" w:rsidRPr="00DF7023" w:rsidRDefault="00CF5584" w:rsidP="00CF5584">
      <w:pPr>
        <w:spacing w:line="480" w:lineRule="auto"/>
        <w:rPr>
          <w:rFonts w:eastAsiaTheme="minorEastAsia"/>
          <w:lang w:val="en-US"/>
        </w:rPr>
      </w:pPr>
    </w:p>
    <w:p w:rsidR="00CF5584" w:rsidRPr="00DF7023" w:rsidRDefault="00CF5584" w:rsidP="00544804">
      <w:pPr>
        <w:pageBreakBefore/>
        <w:spacing w:line="480" w:lineRule="auto"/>
        <w:rPr>
          <w:rFonts w:eastAsiaTheme="minorEastAsia"/>
          <w:b/>
          <w:lang w:val="en-US"/>
        </w:rPr>
      </w:pPr>
      <w:r w:rsidRPr="00DF7023">
        <w:rPr>
          <w:rFonts w:eastAsiaTheme="minorEastAsia"/>
          <w:b/>
          <w:lang w:val="en-US"/>
        </w:rPr>
        <w:t>Appendix B</w:t>
      </w:r>
    </w:p>
    <w:p w:rsidR="00CF5584" w:rsidRPr="00DF7023" w:rsidRDefault="00CF5584" w:rsidP="00CF5584">
      <w:pPr>
        <w:spacing w:line="480" w:lineRule="auto"/>
        <w:rPr>
          <w:rFonts w:eastAsiaTheme="minorEastAsia"/>
          <w:b/>
          <w:lang w:val="en-US"/>
        </w:rPr>
      </w:pPr>
      <w:r w:rsidRPr="00DF7023">
        <w:rPr>
          <w:rFonts w:eastAsiaTheme="minorEastAsia"/>
          <w:b/>
          <w:lang w:val="en-US"/>
        </w:rPr>
        <w:t>R function for calculating four alternative in</w:t>
      </w:r>
      <w:bookmarkStart w:id="0" w:name="_GoBack"/>
      <w:bookmarkEnd w:id="0"/>
      <w:r w:rsidRPr="00DF7023">
        <w:rPr>
          <w:rFonts w:eastAsiaTheme="minorEastAsia"/>
          <w:b/>
          <w:lang w:val="en-US"/>
        </w:rPr>
        <w:t>dices of relative variation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>cv&lt;-function(x, method=c("standard","lognorm","geometric","quartile"))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 xml:space="preserve">  {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 xml:space="preserve">  method&lt;-match.arg(method)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 xml:space="preserve">  if (method=="standard") return(sd(x)/mean(x))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 xml:space="preserve">  if (method=="lognorm") return(sqrt(exp(var(log(x)))-1)) 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 xml:space="preserve">  if (method=="geometric") return(exp(sd(log(x)))-1)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 xml:space="preserve">  if (method=="quartile")  return(IQR(x)/sum(quantile(x,probs=c(0.25,0.75))))</w:t>
      </w:r>
    </w:p>
    <w:p w:rsidR="00CF5584" w:rsidRPr="00DF7023" w:rsidRDefault="00CF5584" w:rsidP="00CF5584">
      <w:pPr>
        <w:spacing w:line="480" w:lineRule="auto"/>
        <w:rPr>
          <w:rFonts w:ascii="Courier New" w:eastAsiaTheme="minorEastAsia" w:hAnsi="Courier New" w:cs="Courier New"/>
          <w:lang w:val="en-US"/>
        </w:rPr>
      </w:pPr>
      <w:r w:rsidRPr="00DF7023">
        <w:rPr>
          <w:rFonts w:ascii="Courier New" w:eastAsiaTheme="minorEastAsia" w:hAnsi="Courier New" w:cs="Courier New"/>
          <w:lang w:val="en-US"/>
        </w:rPr>
        <w:t xml:space="preserve">  }</w:t>
      </w:r>
    </w:p>
    <w:p w:rsidR="00A40438" w:rsidRPr="00DF7023" w:rsidRDefault="00A40438"/>
    <w:sectPr w:rsidR="00A40438" w:rsidRPr="00DF7023" w:rsidSect="00DF7023">
      <w:footerReference w:type="default" r:id="rId7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F7023">
      <w:pPr>
        <w:spacing w:after="0" w:line="240" w:lineRule="auto"/>
      </w:pPr>
      <w:r>
        <w:separator/>
      </w:r>
    </w:p>
  </w:endnote>
  <w:endnote w:type="continuationSeparator" w:id="0">
    <w:p w:rsidR="00000000" w:rsidRDefault="00DF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777900"/>
      <w:docPartObj>
        <w:docPartGallery w:val="Page Numbers (Bottom of Page)"/>
        <w:docPartUnique/>
      </w:docPartObj>
    </w:sdtPr>
    <w:sdtEndPr/>
    <w:sdtContent>
      <w:p w:rsidR="003E1E3D" w:rsidRDefault="0054480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E1E3D" w:rsidRDefault="00DF70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F7023">
      <w:pPr>
        <w:spacing w:after="0" w:line="240" w:lineRule="auto"/>
      </w:pPr>
      <w:r>
        <w:separator/>
      </w:r>
    </w:p>
  </w:footnote>
  <w:footnote w:type="continuationSeparator" w:id="0">
    <w:p w:rsidR="00000000" w:rsidRDefault="00DF7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4AF1"/>
    <w:multiLevelType w:val="hybridMultilevel"/>
    <w:tmpl w:val="08A4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34B66"/>
    <w:multiLevelType w:val="hybridMultilevel"/>
    <w:tmpl w:val="7DD00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C5EB0"/>
    <w:multiLevelType w:val="hybridMultilevel"/>
    <w:tmpl w:val="D2F23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84"/>
    <w:rsid w:val="00544804"/>
    <w:rsid w:val="00A40438"/>
    <w:rsid w:val="00CF5584"/>
    <w:rsid w:val="00D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172082-BBE3-4D7F-943C-787C2339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5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584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CF5584"/>
    <w:pPr>
      <w:spacing w:after="240" w:line="240" w:lineRule="auto"/>
      <w:ind w:left="720" w:hanging="720"/>
    </w:pPr>
  </w:style>
  <w:style w:type="character" w:styleId="PlaceholderText">
    <w:name w:val="Placeholder Text"/>
    <w:basedOn w:val="DefaultParagraphFont"/>
    <w:uiPriority w:val="99"/>
    <w:semiHidden/>
    <w:rsid w:val="00CF5584"/>
    <w:rPr>
      <w:color w:val="808080"/>
    </w:rPr>
  </w:style>
  <w:style w:type="table" w:styleId="TableGrid">
    <w:name w:val="Table Grid"/>
    <w:basedOn w:val="TableNormal"/>
    <w:uiPriority w:val="39"/>
    <w:rsid w:val="00CF5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F5584"/>
  </w:style>
  <w:style w:type="paragraph" w:styleId="Header">
    <w:name w:val="header"/>
    <w:basedOn w:val="Normal"/>
    <w:link w:val="HeaderChar"/>
    <w:uiPriority w:val="99"/>
    <w:unhideWhenUsed/>
    <w:rsid w:val="00CF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584"/>
  </w:style>
  <w:style w:type="paragraph" w:styleId="Footer">
    <w:name w:val="footer"/>
    <w:basedOn w:val="Normal"/>
    <w:link w:val="FooterChar"/>
    <w:uiPriority w:val="99"/>
    <w:unhideWhenUsed/>
    <w:rsid w:val="00CF55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584"/>
  </w:style>
  <w:style w:type="character" w:styleId="Hyperlink">
    <w:name w:val="Hyperlink"/>
    <w:basedOn w:val="DefaultParagraphFont"/>
    <w:uiPriority w:val="99"/>
    <w:unhideWhenUsed/>
    <w:rsid w:val="00CF558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558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558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5584"/>
    <w:rPr>
      <w:vertAlign w:val="superscript"/>
    </w:rPr>
  </w:style>
  <w:style w:type="character" w:customStyle="1" w:styleId="fontstyle01">
    <w:name w:val="fontstyle01"/>
    <w:basedOn w:val="DefaultParagraphFont"/>
    <w:rsid w:val="00CF5584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F55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Botta-Dukát Zoltán</dc:creator>
  <cp:keywords/>
  <dc:description/>
  <cp:lastModifiedBy>Dhanalakshmi Vairavan</cp:lastModifiedBy>
  <cp:revision>3</cp:revision>
  <dcterms:created xsi:type="dcterms:W3CDTF">2022-06-03T07:45:00Z</dcterms:created>
  <dcterms:modified xsi:type="dcterms:W3CDTF">2023-03-16T08:59:00Z</dcterms:modified>
</cp:coreProperties>
</file>