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0BD9" w14:textId="77777777" w:rsidR="004B27CE" w:rsidRDefault="00285ECE">
      <w:r w:rsidRPr="00285ECE">
        <w:rPr>
          <w:noProof/>
        </w:rPr>
        <w:drawing>
          <wp:inline distT="0" distB="0" distL="0" distR="0" wp14:anchorId="31301867" wp14:editId="1D24E769">
            <wp:extent cx="5943600" cy="3806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E781E" w14:textId="77777777" w:rsidR="00285ECE" w:rsidRDefault="001148D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S1</w:t>
      </w:r>
      <w:r w:rsidR="00D473B5">
        <w:rPr>
          <w:rFonts w:ascii="Arial" w:hAnsi="Arial" w:cs="Arial"/>
          <w:b/>
        </w:rPr>
        <w:t>: Summary of significant genera across analyses</w:t>
      </w:r>
    </w:p>
    <w:p w14:paraId="5EA31381" w14:textId="38994781" w:rsidR="004B27CE" w:rsidRPr="004B27CE" w:rsidRDefault="004B27CE" w:rsidP="003107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Our initial PRS analysis in the discovery sample (ADc12-Blue) identified 20 genera significantly associated with AD in</w:t>
      </w:r>
      <w:r w:rsidR="003107C0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risk </w:t>
      </w:r>
      <w:r w:rsidR="003107C0">
        <w:rPr>
          <w:rFonts w:ascii="Arial" w:hAnsi="Arial" w:cs="Arial"/>
        </w:rPr>
        <w:t>direction for six genera (Red) and</w:t>
      </w:r>
      <w:r>
        <w:rPr>
          <w:rFonts w:ascii="Arial" w:hAnsi="Arial" w:cs="Arial"/>
        </w:rPr>
        <w:t xml:space="preserve"> </w:t>
      </w:r>
      <w:r w:rsidR="003107C0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protective direction</w:t>
      </w:r>
      <w:r w:rsidR="003107C0">
        <w:rPr>
          <w:rFonts w:ascii="Arial" w:hAnsi="Arial" w:cs="Arial"/>
        </w:rPr>
        <w:t xml:space="preserve"> for 14 genera (Green)</w:t>
      </w:r>
      <w:r>
        <w:rPr>
          <w:rFonts w:ascii="Arial" w:hAnsi="Arial" w:cs="Arial"/>
        </w:rPr>
        <w:t xml:space="preserve">. Of these 20 genera, </w:t>
      </w:r>
      <w:r w:rsidR="003107C0">
        <w:rPr>
          <w:rFonts w:ascii="Arial" w:hAnsi="Arial" w:cs="Arial"/>
        </w:rPr>
        <w:t>three</w:t>
      </w:r>
      <w:r>
        <w:rPr>
          <w:rFonts w:ascii="Arial" w:hAnsi="Arial" w:cs="Arial"/>
        </w:rPr>
        <w:t xml:space="preserve"> </w:t>
      </w:r>
      <w:r w:rsidR="003107C0">
        <w:rPr>
          <w:rFonts w:ascii="Arial" w:hAnsi="Arial" w:cs="Arial"/>
        </w:rPr>
        <w:t xml:space="preserve">remained </w:t>
      </w:r>
      <w:r>
        <w:rPr>
          <w:rFonts w:ascii="Arial" w:hAnsi="Arial" w:cs="Arial"/>
        </w:rPr>
        <w:t xml:space="preserve">significant in the </w:t>
      </w:r>
      <w:r w:rsidR="003107C0">
        <w:rPr>
          <w:rFonts w:ascii="Arial" w:hAnsi="Arial" w:cs="Arial"/>
        </w:rPr>
        <w:t>independent</w:t>
      </w:r>
      <w:r w:rsidR="003107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replication sample (</w:t>
      </w:r>
      <w:proofErr w:type="spellStart"/>
      <w:r>
        <w:rPr>
          <w:rFonts w:ascii="Arial" w:hAnsi="Arial" w:cs="Arial"/>
        </w:rPr>
        <w:t>GenADA</w:t>
      </w:r>
      <w:proofErr w:type="spellEnd"/>
      <w:r>
        <w:rPr>
          <w:rFonts w:ascii="Arial" w:hAnsi="Arial" w:cs="Arial"/>
        </w:rPr>
        <w:t>-Orange). A meta-analysis (Purple) of the</w:t>
      </w:r>
      <w:r w:rsidR="002529B1">
        <w:rPr>
          <w:rFonts w:ascii="Arial" w:hAnsi="Arial" w:cs="Arial"/>
        </w:rPr>
        <w:t xml:space="preserve"> 20 genera </w:t>
      </w:r>
      <w:r w:rsidR="003107C0">
        <w:rPr>
          <w:rFonts w:ascii="Arial" w:hAnsi="Arial" w:cs="Arial"/>
        </w:rPr>
        <w:t xml:space="preserve">from both </w:t>
      </w:r>
      <w:r w:rsidR="002529B1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discovery and replication samples</w:t>
      </w:r>
      <w:r w:rsidR="002529B1">
        <w:rPr>
          <w:rFonts w:ascii="Arial" w:hAnsi="Arial" w:cs="Arial"/>
        </w:rPr>
        <w:t xml:space="preserve"> identified </w:t>
      </w:r>
      <w:r w:rsidR="003107C0">
        <w:rPr>
          <w:rFonts w:ascii="Arial" w:hAnsi="Arial" w:cs="Arial"/>
        </w:rPr>
        <w:t>ten</w:t>
      </w:r>
      <w:r w:rsidR="002529B1">
        <w:rPr>
          <w:rFonts w:ascii="Arial" w:hAnsi="Arial" w:cs="Arial"/>
        </w:rPr>
        <w:t xml:space="preserve"> genera </w:t>
      </w:r>
      <w:r w:rsidR="003107C0">
        <w:rPr>
          <w:rFonts w:ascii="Arial" w:hAnsi="Arial" w:cs="Arial"/>
        </w:rPr>
        <w:t xml:space="preserve">(in bold) </w:t>
      </w:r>
      <w:r w:rsidR="002529B1">
        <w:rPr>
          <w:rFonts w:ascii="Arial" w:hAnsi="Arial" w:cs="Arial"/>
        </w:rPr>
        <w:t xml:space="preserve">as significant, including the 3 from the replication sample. </w:t>
      </w:r>
      <w:r w:rsidR="003107C0">
        <w:rPr>
          <w:rFonts w:ascii="Arial" w:hAnsi="Arial" w:cs="Arial"/>
        </w:rPr>
        <w:t xml:space="preserve">Of the ten genera, four were risk factors (Red) for AD and six were protective factors against AD. </w:t>
      </w:r>
      <w:proofErr w:type="gramStart"/>
      <w:r w:rsidR="003107C0">
        <w:rPr>
          <w:rFonts w:ascii="Arial" w:hAnsi="Arial" w:cs="Arial"/>
        </w:rPr>
        <w:t>The</w:t>
      </w:r>
      <w:proofErr w:type="gramEnd"/>
      <w:r w:rsidR="003107C0">
        <w:rPr>
          <w:rFonts w:ascii="Arial" w:hAnsi="Arial" w:cs="Arial"/>
        </w:rPr>
        <w:t xml:space="preserve"> ten g</w:t>
      </w:r>
      <w:r w:rsidR="002529B1">
        <w:rPr>
          <w:rFonts w:ascii="Arial" w:hAnsi="Arial" w:cs="Arial"/>
        </w:rPr>
        <w:t xml:space="preserve">enera </w:t>
      </w:r>
      <w:r w:rsidR="003107C0">
        <w:rPr>
          <w:rFonts w:ascii="Arial" w:hAnsi="Arial" w:cs="Arial"/>
        </w:rPr>
        <w:t>outside the meta-analysis</w:t>
      </w:r>
      <w:r w:rsidR="002529B1">
        <w:rPr>
          <w:rFonts w:ascii="Arial" w:hAnsi="Arial" w:cs="Arial"/>
        </w:rPr>
        <w:t xml:space="preserve"> </w:t>
      </w:r>
      <w:r w:rsidR="003107C0">
        <w:rPr>
          <w:rFonts w:ascii="Arial" w:hAnsi="Arial" w:cs="Arial"/>
        </w:rPr>
        <w:t>we</w:t>
      </w:r>
      <w:r w:rsidR="002529B1">
        <w:rPr>
          <w:rFonts w:ascii="Arial" w:hAnsi="Arial" w:cs="Arial"/>
        </w:rPr>
        <w:t xml:space="preserve">re only significant in the discovery sample. </w:t>
      </w:r>
    </w:p>
    <w:sectPr w:rsidR="004B27CE" w:rsidRPr="004B2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xNTU1szQwsjAzs7RQ0lEKTi0uzszPAykwrAUA//KjgSwAAAA="/>
  </w:docVars>
  <w:rsids>
    <w:rsidRoot w:val="00285ECE"/>
    <w:rsid w:val="001148D9"/>
    <w:rsid w:val="002529B1"/>
    <w:rsid w:val="00285ECE"/>
    <w:rsid w:val="003107C0"/>
    <w:rsid w:val="004B27CE"/>
    <w:rsid w:val="005D5E5F"/>
    <w:rsid w:val="005F7628"/>
    <w:rsid w:val="00820A56"/>
    <w:rsid w:val="00A3199A"/>
    <w:rsid w:val="00D473B5"/>
    <w:rsid w:val="00E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98F6B"/>
  <w15:chartTrackingRefBased/>
  <w15:docId w15:val="{210A50C9-18BA-4CCA-BCEF-18BFC764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Cammann</dc:creator>
  <cp:keywords/>
  <dc:description/>
  <cp:lastModifiedBy>Jingchun Chen</cp:lastModifiedBy>
  <cp:revision>6</cp:revision>
  <dcterms:created xsi:type="dcterms:W3CDTF">2023-02-09T01:43:00Z</dcterms:created>
  <dcterms:modified xsi:type="dcterms:W3CDTF">2023-02-09T22:43:00Z</dcterms:modified>
</cp:coreProperties>
</file>