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CAC77" w14:textId="2B872F64" w:rsidR="0013057A" w:rsidRPr="003E18B7" w:rsidRDefault="003E18B7" w:rsidP="003E18B7">
      <w:pPr>
        <w:jc w:val="center"/>
        <w:rPr>
          <w:b/>
          <w:bCs/>
        </w:rPr>
      </w:pPr>
      <w:r w:rsidRPr="003E18B7">
        <w:rPr>
          <w:b/>
          <w:bCs/>
        </w:rPr>
        <w:t>Supplementary information</w:t>
      </w:r>
    </w:p>
    <w:p w14:paraId="7C31C8CB" w14:textId="1CF1202A" w:rsidR="003E18B7" w:rsidRDefault="003E18B7"/>
    <w:p w14:paraId="62FFC996" w14:textId="77777777" w:rsidR="003E18B7" w:rsidRPr="00D66F34" w:rsidRDefault="003E18B7" w:rsidP="003E18B7">
      <w:pPr>
        <w:pStyle w:val="Heading2"/>
        <w:ind w:left="567"/>
        <w:rPr>
          <w:sz w:val="24"/>
          <w:lang w:val="en-GB"/>
        </w:rPr>
      </w:pPr>
      <w:bookmarkStart w:id="0" w:name="_Toc481083983"/>
      <w:r w:rsidRPr="00D66F34">
        <w:rPr>
          <w:sz w:val="24"/>
          <w:lang w:val="en-GB"/>
        </w:rPr>
        <w:t>Study Design and Treatments</w:t>
      </w:r>
      <w:bookmarkEnd w:id="0"/>
    </w:p>
    <w:p w14:paraId="09E55C2F" w14:textId="50ED156B" w:rsidR="003E18B7" w:rsidRPr="0074272E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 xml:space="preserve">This will be a randomized, blinded, placebo-controlled study of 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 xml:space="preserve"> in adults ages 18-55.</w:t>
      </w:r>
    </w:p>
    <w:p w14:paraId="3F0E1EA3" w14:textId="70F87E44" w:rsidR="003E18B7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iCs/>
          <w:sz w:val="24"/>
        </w:rPr>
      </w:pPr>
      <w:r w:rsidRPr="0016791F">
        <w:rPr>
          <w:rFonts w:asciiTheme="minorHAnsi" w:hAnsiTheme="minorHAnsi"/>
          <w:iCs/>
          <w:sz w:val="24"/>
        </w:rPr>
        <w:t xml:space="preserve">This is a </w:t>
      </w:r>
      <w:r w:rsidRPr="0016791F">
        <w:rPr>
          <w:rFonts w:asciiTheme="minorHAnsi" w:hAnsiTheme="minorHAnsi"/>
          <w:iCs/>
          <w:sz w:val="24"/>
          <w:lang w:val="en-US"/>
        </w:rPr>
        <w:t xml:space="preserve">Phase 1 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randomized, double-blind, single and multiple ascending dose </w:t>
      </w:r>
      <w:r w:rsidRPr="0016791F">
        <w:rPr>
          <w:rFonts w:asciiTheme="minorHAnsi" w:hAnsiTheme="minorHAnsi"/>
          <w:iCs/>
          <w:sz w:val="24"/>
        </w:rPr>
        <w:t xml:space="preserve">study </w:t>
      </w:r>
      <w:r w:rsidRPr="0016791F">
        <w:rPr>
          <w:rFonts w:asciiTheme="minorHAnsi" w:hAnsiTheme="minorHAnsi"/>
          <w:bCs/>
          <w:sz w:val="24"/>
          <w:lang w:val="en-US"/>
        </w:rPr>
        <w:t xml:space="preserve">consisting of a single ascending dose (SAD) part (Part A) and a multiple ascending dose (MAD) part (Part B) to assess the safety, tolerability, PK and PD of ascending single </w:t>
      </w:r>
      <w:bookmarkStart w:id="1" w:name="_GoBack"/>
      <w:bookmarkEnd w:id="1"/>
      <w:r w:rsidRPr="0016791F">
        <w:rPr>
          <w:rFonts w:asciiTheme="minorHAnsi" w:hAnsiTheme="minorHAnsi"/>
          <w:bCs/>
          <w:sz w:val="24"/>
          <w:lang w:val="en-US"/>
        </w:rPr>
        <w:t xml:space="preserve">and multiple doses of 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>. Each treatment (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 xml:space="preserve"> or placebo)</w:t>
      </w:r>
      <w:r w:rsidRPr="0016791F">
        <w:rPr>
          <w:rFonts w:asciiTheme="minorHAnsi" w:hAnsiTheme="minorHAnsi"/>
          <w:iCs/>
          <w:sz w:val="24"/>
        </w:rPr>
        <w:t xml:space="preserve"> will be administered via a </w:t>
      </w:r>
      <w:r w:rsidRPr="0016791F">
        <w:rPr>
          <w:rFonts w:asciiTheme="minorHAnsi" w:hAnsiTheme="minorHAnsi"/>
          <w:iCs/>
          <w:sz w:val="24"/>
          <w:u w:val="single"/>
        </w:rPr>
        <w:t>2</w:t>
      </w:r>
      <w:r w:rsidRPr="0016791F">
        <w:rPr>
          <w:rFonts w:asciiTheme="minorHAnsi" w:hAnsiTheme="minorHAnsi"/>
          <w:iCs/>
          <w:sz w:val="24"/>
          <w:u w:val="single"/>
        </w:rPr>
        <w:noBreakHyphen/>
        <w:t>hour intravenous (IV) infusion</w:t>
      </w:r>
      <w:r w:rsidRPr="0016791F">
        <w:rPr>
          <w:rFonts w:asciiTheme="minorHAnsi" w:hAnsiTheme="minorHAnsi"/>
          <w:iCs/>
          <w:sz w:val="24"/>
        </w:rPr>
        <w:t xml:space="preserve">. </w:t>
      </w:r>
    </w:p>
    <w:p w14:paraId="1BBA2976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iCs/>
          <w:sz w:val="24"/>
        </w:rPr>
      </w:pPr>
    </w:p>
    <w:p w14:paraId="4FD549F7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iCs/>
          <w:sz w:val="24"/>
        </w:rPr>
      </w:pPr>
      <w:r w:rsidRPr="0016791F">
        <w:rPr>
          <w:rFonts w:asciiTheme="minorHAnsi" w:hAnsiTheme="minorHAnsi"/>
          <w:iCs/>
          <w:sz w:val="24"/>
        </w:rPr>
        <w:t>A total of 4</w:t>
      </w:r>
      <w:r>
        <w:rPr>
          <w:rFonts w:asciiTheme="minorHAnsi" w:hAnsiTheme="minorHAnsi"/>
          <w:iCs/>
          <w:sz w:val="24"/>
        </w:rPr>
        <w:t>8</w:t>
      </w:r>
      <w:r w:rsidRPr="0016791F">
        <w:rPr>
          <w:rFonts w:asciiTheme="minorHAnsi" w:hAnsiTheme="minorHAnsi"/>
          <w:iCs/>
          <w:sz w:val="24"/>
        </w:rPr>
        <w:t xml:space="preserve"> healthy subjects will be enrolled in </w:t>
      </w:r>
      <w:r>
        <w:rPr>
          <w:rFonts w:asciiTheme="minorHAnsi" w:hAnsiTheme="minorHAnsi"/>
          <w:iCs/>
          <w:sz w:val="24"/>
        </w:rPr>
        <w:t>4</w:t>
      </w:r>
      <w:r w:rsidRPr="0016791F">
        <w:rPr>
          <w:rFonts w:asciiTheme="minorHAnsi" w:hAnsiTheme="minorHAnsi"/>
          <w:iCs/>
          <w:sz w:val="24"/>
        </w:rPr>
        <w:t xml:space="preserve"> single dose groups and in 2 multiple dose groups.</w:t>
      </w:r>
      <w:r w:rsidRPr="0016791F">
        <w:rPr>
          <w:rFonts w:asciiTheme="minorHAnsi" w:hAnsiTheme="minorHAnsi"/>
          <w:sz w:val="24"/>
        </w:rPr>
        <w:t xml:space="preserve"> </w:t>
      </w:r>
      <w:r w:rsidRPr="0016791F">
        <w:rPr>
          <w:rFonts w:asciiTheme="minorHAnsi" w:hAnsiTheme="minorHAnsi"/>
          <w:iCs/>
          <w:sz w:val="24"/>
        </w:rPr>
        <w:t>Before each dose escalation, the sponsor and Principal Investigator must agree on a next dose level as described in a dose escalation report (DER), which will be sent to the MHRA for a statement of no objection. The dose levels may be lowered depending on the safety or available PK observations at each dose level.</w:t>
      </w:r>
    </w:p>
    <w:p w14:paraId="4483681D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</w:p>
    <w:p w14:paraId="003E0325" w14:textId="77777777" w:rsidR="003E18B7" w:rsidRPr="0016791F" w:rsidRDefault="003E18B7" w:rsidP="003E18B7">
      <w:pPr>
        <w:pStyle w:val="synopsis"/>
        <w:spacing w:line="240" w:lineRule="auto"/>
        <w:ind w:left="56" w:firstLine="1"/>
        <w:rPr>
          <w:rFonts w:asciiTheme="minorHAnsi" w:hAnsiTheme="minorHAnsi"/>
          <w:sz w:val="24"/>
          <w:u w:val="single"/>
        </w:rPr>
      </w:pPr>
      <w:r w:rsidRPr="0016791F">
        <w:rPr>
          <w:rFonts w:asciiTheme="minorHAnsi" w:hAnsiTheme="minorHAnsi"/>
          <w:sz w:val="24"/>
          <w:u w:val="single"/>
        </w:rPr>
        <w:t xml:space="preserve">Part A (SAD) </w:t>
      </w:r>
    </w:p>
    <w:p w14:paraId="660B576A" w14:textId="77777777" w:rsidR="003E18B7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>SAD Study will have a</w:t>
      </w:r>
      <w:r>
        <w:rPr>
          <w:rFonts w:asciiTheme="minorHAnsi" w:hAnsiTheme="minorHAnsi"/>
          <w:bCs/>
          <w:sz w:val="24"/>
          <w:lang w:val="en-US"/>
        </w:rPr>
        <w:t>n at least</w:t>
      </w:r>
      <w:r w:rsidRPr="0016791F">
        <w:rPr>
          <w:rFonts w:asciiTheme="minorHAnsi" w:hAnsiTheme="minorHAnsi"/>
          <w:bCs/>
          <w:sz w:val="24"/>
          <w:lang w:val="en-US"/>
        </w:rPr>
        <w:t xml:space="preserve"> biweekly dose escalation setup, in which the first cohort will be dosed at a low dose of 0.</w:t>
      </w:r>
      <w:r>
        <w:rPr>
          <w:rFonts w:asciiTheme="minorHAnsi" w:hAnsiTheme="minorHAnsi"/>
          <w:bCs/>
          <w:sz w:val="24"/>
          <w:lang w:val="en-US"/>
        </w:rPr>
        <w:t>05</w:t>
      </w:r>
      <w:r w:rsidRPr="0016791F">
        <w:rPr>
          <w:rFonts w:asciiTheme="minorHAnsi" w:hAnsiTheme="minorHAnsi"/>
          <w:bCs/>
          <w:sz w:val="24"/>
          <w:lang w:val="en-US"/>
        </w:rPr>
        <w:t xml:space="preserve"> mg/kg. </w:t>
      </w:r>
    </w:p>
    <w:p w14:paraId="5C256775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</w:p>
    <w:p w14:paraId="21FED596" w14:textId="09E641C2" w:rsidR="003E18B7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 xml:space="preserve">In this first-in-human study, the subjects participating at each dose level (8 volunteers) will be dosed according to a sentinel dosing design to ensure optimal safety. Initially, 2 subjects will be dosed on the same day: 1 with 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 xml:space="preserve"> and 1 with placebo. If the safety and tolerability results of the first 24 hours following dosing for the initial subjects are acceptable to the PI, the other 6 subjects (5 active and 1 placebo) may be dosed over 3 consecutive days, meaning that in all groups of the SAD part a maximum of 2 subjects will be dosed per day. </w:t>
      </w:r>
    </w:p>
    <w:p w14:paraId="4854AC6A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</w:p>
    <w:p w14:paraId="73673EF0" w14:textId="77777777" w:rsidR="003E18B7" w:rsidRPr="0016791F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 xml:space="preserve">After the first </w:t>
      </w:r>
      <w:r w:rsidRPr="00810E67">
        <w:rPr>
          <w:rFonts w:asciiTheme="minorHAnsi" w:hAnsiTheme="minorHAnsi"/>
          <w:bCs/>
          <w:sz w:val="24"/>
          <w:lang w:val="en-US"/>
        </w:rPr>
        <w:t xml:space="preserve">dose is completed and safety and PK-PD data are available, we would apply stopping criteria to proceed with subsequent doses. Further doses are intended to reach a </w:t>
      </w:r>
      <w:proofErr w:type="spellStart"/>
      <w:r w:rsidRPr="00810E67">
        <w:rPr>
          <w:rFonts w:asciiTheme="minorHAnsi" w:hAnsiTheme="minorHAnsi"/>
          <w:bCs/>
          <w:sz w:val="24"/>
          <w:lang w:val="en-US"/>
        </w:rPr>
        <w:t>C</w:t>
      </w:r>
      <w:r w:rsidRPr="00810E67">
        <w:rPr>
          <w:rFonts w:asciiTheme="minorHAnsi" w:hAnsiTheme="minorHAnsi"/>
          <w:bCs/>
          <w:sz w:val="24"/>
          <w:vertAlign w:val="subscript"/>
          <w:lang w:val="en-US"/>
        </w:rPr>
        <w:t>max</w:t>
      </w:r>
      <w:proofErr w:type="spellEnd"/>
      <w:r w:rsidRPr="00810E67">
        <w:rPr>
          <w:rFonts w:asciiTheme="minorHAnsi" w:hAnsiTheme="minorHAnsi"/>
          <w:bCs/>
          <w:sz w:val="24"/>
          <w:lang w:val="en-US"/>
        </w:rPr>
        <w:t xml:space="preserve"> always below 13.</w:t>
      </w:r>
      <w:r>
        <w:rPr>
          <w:rFonts w:asciiTheme="minorHAnsi" w:hAnsiTheme="minorHAnsi"/>
          <w:bCs/>
          <w:sz w:val="24"/>
          <w:lang w:val="en-US"/>
        </w:rPr>
        <w:t>3</w:t>
      </w:r>
      <w:r w:rsidRPr="00810E67">
        <w:rPr>
          <w:rFonts w:asciiTheme="minorHAnsi" w:hAnsiTheme="minorHAnsi"/>
          <w:bCs/>
          <w:sz w:val="24"/>
          <w:lang w:val="en-US"/>
        </w:rPr>
        <w:t xml:space="preserve"> µg/mL, which</w:t>
      </w:r>
      <w:r w:rsidRPr="0016791F">
        <w:rPr>
          <w:rFonts w:asciiTheme="minorHAnsi" w:hAnsiTheme="minorHAnsi"/>
          <w:bCs/>
          <w:sz w:val="24"/>
          <w:lang w:val="en-US"/>
        </w:rPr>
        <w:t xml:space="preserve"> is significantly lower than the </w:t>
      </w:r>
      <w:proofErr w:type="spellStart"/>
      <w:r w:rsidRPr="00810E67">
        <w:rPr>
          <w:rFonts w:asciiTheme="minorHAnsi" w:hAnsiTheme="minorHAnsi"/>
          <w:bCs/>
          <w:sz w:val="24"/>
          <w:lang w:val="en-US"/>
        </w:rPr>
        <w:t>C</w:t>
      </w:r>
      <w:r w:rsidRPr="00810E67">
        <w:rPr>
          <w:rFonts w:asciiTheme="minorHAnsi" w:hAnsiTheme="minorHAnsi"/>
          <w:bCs/>
          <w:sz w:val="24"/>
          <w:vertAlign w:val="subscript"/>
          <w:lang w:val="en-US"/>
        </w:rPr>
        <w:t>max</w:t>
      </w:r>
      <w:proofErr w:type="spellEnd"/>
      <w:r w:rsidRPr="0016791F">
        <w:rPr>
          <w:rFonts w:asciiTheme="minorHAnsi" w:hAnsiTheme="minorHAnsi"/>
          <w:bCs/>
          <w:sz w:val="24"/>
          <w:lang w:val="en-US"/>
        </w:rPr>
        <w:t xml:space="preserve"> associated with side-effects in rodents and dog studies.</w:t>
      </w:r>
    </w:p>
    <w:p w14:paraId="5AE6749F" w14:textId="77777777" w:rsidR="003E18B7" w:rsidRPr="0074272E" w:rsidRDefault="003E18B7" w:rsidP="003E18B7">
      <w:pPr>
        <w:pStyle w:val="synopsis"/>
        <w:spacing w:line="240" w:lineRule="auto"/>
        <w:ind w:left="0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>The following treatments are planned to be administered:</w:t>
      </w:r>
    </w:p>
    <w:p w14:paraId="5614E648" w14:textId="77777777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</w:p>
    <w:p w14:paraId="7AD32EEC" w14:textId="70F18A55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/>
          <w:sz w:val="24"/>
        </w:rPr>
      </w:pPr>
      <w:r w:rsidRPr="0016791F">
        <w:rPr>
          <w:rFonts w:asciiTheme="minorHAnsi" w:hAnsiTheme="minorHAnsi"/>
          <w:iCs/>
          <w:sz w:val="24"/>
          <w:lang w:val="en-US"/>
        </w:rPr>
        <w:t xml:space="preserve">Period 1: </w:t>
      </w: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>Group SD1</w:t>
      </w:r>
      <w:r w:rsidRPr="0016791F">
        <w:rPr>
          <w:rFonts w:asciiTheme="minorHAnsi" w:hAnsiTheme="minorHAnsi"/>
          <w:iCs/>
          <w:sz w:val="24"/>
          <w:lang w:val="en-US"/>
        </w:rPr>
        <w:tab/>
        <w:t>a single IV infusion of 0.</w:t>
      </w:r>
      <w:r>
        <w:rPr>
          <w:rFonts w:asciiTheme="minorHAnsi" w:hAnsiTheme="minorHAnsi"/>
          <w:iCs/>
          <w:sz w:val="24"/>
          <w:lang w:val="en-US"/>
        </w:rPr>
        <w:t>05</w:t>
      </w:r>
      <w:r w:rsidRPr="0016791F">
        <w:rPr>
          <w:rFonts w:asciiTheme="minorHAnsi" w:hAnsiTheme="minorHAnsi"/>
          <w:iCs/>
          <w:sz w:val="24"/>
          <w:lang w:val="en-US"/>
        </w:rPr>
        <w:t xml:space="preserve">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12BBFA9D" w14:textId="3C52568D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 xml:space="preserve">Group SD2 </w:t>
      </w:r>
      <w:r w:rsidRPr="0016791F">
        <w:rPr>
          <w:rFonts w:asciiTheme="minorHAnsi" w:hAnsiTheme="minorHAnsi"/>
          <w:iCs/>
          <w:sz w:val="24"/>
          <w:lang w:val="en-US"/>
        </w:rPr>
        <w:tab/>
        <w:t>a single IV infusion of 0.</w:t>
      </w:r>
      <w:r>
        <w:rPr>
          <w:rFonts w:asciiTheme="minorHAnsi" w:hAnsiTheme="minorHAnsi"/>
          <w:iCs/>
          <w:sz w:val="24"/>
          <w:lang w:val="en-US"/>
        </w:rPr>
        <w:t>2</w:t>
      </w:r>
      <w:r w:rsidRPr="0016791F">
        <w:rPr>
          <w:rFonts w:asciiTheme="minorHAnsi" w:hAnsiTheme="minorHAnsi"/>
          <w:iCs/>
          <w:sz w:val="24"/>
          <w:lang w:val="en-US"/>
        </w:rPr>
        <w:t xml:space="preserve">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508A1BA5" w14:textId="5114F4C3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 xml:space="preserve">Group SD3 </w:t>
      </w:r>
      <w:r w:rsidRPr="0016791F">
        <w:rPr>
          <w:rFonts w:asciiTheme="minorHAnsi" w:hAnsiTheme="minorHAnsi"/>
          <w:iCs/>
          <w:sz w:val="24"/>
          <w:lang w:val="en-US"/>
        </w:rPr>
        <w:tab/>
        <w:t>a single IV infusion of 0.</w:t>
      </w:r>
      <w:r>
        <w:rPr>
          <w:rFonts w:asciiTheme="minorHAnsi" w:hAnsiTheme="minorHAnsi"/>
          <w:iCs/>
          <w:sz w:val="24"/>
          <w:lang w:val="en-US"/>
        </w:rPr>
        <w:t>4</w:t>
      </w:r>
      <w:r w:rsidRPr="0016791F">
        <w:rPr>
          <w:rFonts w:asciiTheme="minorHAnsi" w:hAnsiTheme="minorHAnsi"/>
          <w:iCs/>
          <w:sz w:val="24"/>
          <w:lang w:val="en-US"/>
        </w:rPr>
        <w:t xml:space="preserve">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5D537523" w14:textId="64E9CBEF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>Group SD</w:t>
      </w:r>
      <w:r>
        <w:rPr>
          <w:rFonts w:asciiTheme="minorHAnsi" w:hAnsiTheme="minorHAnsi"/>
          <w:iCs/>
          <w:sz w:val="24"/>
          <w:lang w:val="en-US"/>
        </w:rPr>
        <w:t>4</w:t>
      </w:r>
      <w:r w:rsidRPr="0016791F">
        <w:rPr>
          <w:rFonts w:asciiTheme="minorHAnsi" w:hAnsiTheme="minorHAnsi"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ab/>
        <w:t xml:space="preserve">a single IV infusion of 0.8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65C1A4A4" w14:textId="77777777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</w:p>
    <w:p w14:paraId="50D61B1E" w14:textId="036ACECF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 xml:space="preserve">Period 2: </w:t>
      </w: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>Group SD1</w:t>
      </w:r>
      <w:r w:rsidRPr="0016791F">
        <w:rPr>
          <w:rFonts w:asciiTheme="minorHAnsi" w:hAnsiTheme="minorHAnsi"/>
          <w:iCs/>
          <w:sz w:val="24"/>
          <w:lang w:val="en-US"/>
        </w:rPr>
        <w:tab/>
        <w:t xml:space="preserve">a single IV infusion of 1.6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40DB2B2F" w14:textId="32A65062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 xml:space="preserve">Group SD2 </w:t>
      </w:r>
      <w:r w:rsidRPr="0016791F">
        <w:rPr>
          <w:rFonts w:asciiTheme="minorHAnsi" w:hAnsiTheme="minorHAnsi"/>
          <w:iCs/>
          <w:sz w:val="24"/>
          <w:lang w:val="en-US"/>
        </w:rPr>
        <w:tab/>
        <w:t xml:space="preserve">a single IV infusion of 3.2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33148962" w14:textId="45843378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 xml:space="preserve">Group SD3 </w:t>
      </w:r>
      <w:r w:rsidRPr="0016791F">
        <w:rPr>
          <w:rFonts w:asciiTheme="minorHAnsi" w:hAnsiTheme="minorHAnsi"/>
          <w:iCs/>
          <w:sz w:val="24"/>
          <w:lang w:val="en-US"/>
        </w:rPr>
        <w:tab/>
        <w:t xml:space="preserve">a single IV infusion of 6.0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35E7503D" w14:textId="42A1742C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Cs/>
          <w:sz w:val="24"/>
          <w:lang w:val="en-US"/>
        </w:rPr>
      </w:pPr>
      <w:r w:rsidRPr="0016791F">
        <w:rPr>
          <w:rFonts w:asciiTheme="minorHAnsi" w:hAnsiTheme="minorHAnsi"/>
          <w:iCs/>
          <w:sz w:val="24"/>
          <w:lang w:val="en-US"/>
        </w:rPr>
        <w:tab/>
      </w:r>
      <w:r>
        <w:rPr>
          <w:rFonts w:asciiTheme="minorHAnsi" w:hAnsiTheme="minorHAnsi"/>
          <w:iCs/>
          <w:sz w:val="24"/>
          <w:lang w:val="en-US"/>
        </w:rPr>
        <w:tab/>
      </w:r>
      <w:r w:rsidRPr="0016791F">
        <w:rPr>
          <w:rFonts w:asciiTheme="minorHAnsi" w:hAnsiTheme="minorHAnsi"/>
          <w:iCs/>
          <w:sz w:val="24"/>
          <w:lang w:val="en-US"/>
        </w:rPr>
        <w:t>Group SD</w:t>
      </w:r>
      <w:r>
        <w:rPr>
          <w:rFonts w:asciiTheme="minorHAnsi" w:hAnsiTheme="minorHAnsi"/>
          <w:iCs/>
          <w:sz w:val="24"/>
          <w:lang w:val="en-US"/>
        </w:rPr>
        <w:t>4</w:t>
      </w:r>
      <w:r w:rsidRPr="0016791F">
        <w:rPr>
          <w:rFonts w:asciiTheme="minorHAnsi" w:hAnsiTheme="minorHAnsi"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ab/>
        <w:t xml:space="preserve">a single IV infusion of </w:t>
      </w:r>
      <w:r>
        <w:rPr>
          <w:rFonts w:asciiTheme="minorHAnsi" w:hAnsiTheme="minorHAnsi"/>
          <w:iCs/>
          <w:sz w:val="24"/>
          <w:lang w:val="en-US"/>
        </w:rPr>
        <w:t>TBC*</w:t>
      </w:r>
      <w:r w:rsidRPr="0016791F">
        <w:rPr>
          <w:rFonts w:asciiTheme="minorHAnsi" w:hAnsiTheme="minorHAnsi"/>
          <w:iCs/>
          <w:sz w:val="24"/>
          <w:lang w:val="en-US"/>
        </w:rPr>
        <w:t xml:space="preserve"> mg/kg </w:t>
      </w:r>
      <w:r>
        <w:rPr>
          <w:rFonts w:asciiTheme="minorHAnsi" w:hAnsiTheme="minorHAnsi"/>
          <w:bCs/>
          <w:iCs/>
          <w:sz w:val="24"/>
          <w:lang w:val="en-US"/>
        </w:rPr>
        <w:t>OCS-05</w:t>
      </w:r>
      <w:r w:rsidRPr="0016791F">
        <w:rPr>
          <w:rFonts w:asciiTheme="minorHAnsi" w:hAnsiTheme="minorHAnsi"/>
          <w:bCs/>
          <w:iCs/>
          <w:sz w:val="24"/>
          <w:lang w:val="en-US"/>
        </w:rPr>
        <w:t xml:space="preserve"> </w:t>
      </w:r>
      <w:r w:rsidRPr="0016791F">
        <w:rPr>
          <w:rFonts w:asciiTheme="minorHAnsi" w:hAnsiTheme="minorHAnsi"/>
          <w:iCs/>
          <w:sz w:val="24"/>
          <w:lang w:val="en-US"/>
        </w:rPr>
        <w:t>(n=6) or placebo (n=2)</w:t>
      </w:r>
    </w:p>
    <w:p w14:paraId="05FE139F" w14:textId="77777777" w:rsidR="003E18B7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1560" w:right="113" w:hanging="1560"/>
        <w:jc w:val="both"/>
        <w:rPr>
          <w:rFonts w:asciiTheme="minorHAnsi" w:hAnsiTheme="minorHAnsi"/>
          <w:i/>
          <w:sz w:val="24"/>
          <w:lang w:val="en-US"/>
        </w:rPr>
      </w:pPr>
    </w:p>
    <w:p w14:paraId="7F437DF8" w14:textId="77777777" w:rsidR="003E18B7" w:rsidRPr="0016791F" w:rsidRDefault="003E18B7" w:rsidP="003E18B7">
      <w:pPr>
        <w:pStyle w:val="synopsis"/>
        <w:tabs>
          <w:tab w:val="left" w:pos="993"/>
          <w:tab w:val="left" w:pos="1276"/>
        </w:tabs>
        <w:spacing w:line="240" w:lineRule="auto"/>
        <w:ind w:left="0" w:right="113"/>
        <w:jc w:val="both"/>
        <w:rPr>
          <w:rFonts w:asciiTheme="minorHAnsi" w:hAnsiTheme="minorHAnsi"/>
          <w:i/>
          <w:sz w:val="24"/>
          <w:lang w:val="en-US"/>
        </w:rPr>
      </w:pPr>
      <w:r w:rsidRPr="00327381">
        <w:rPr>
          <w:rFonts w:asciiTheme="minorHAnsi" w:hAnsiTheme="minorHAnsi"/>
          <w:i/>
          <w:sz w:val="24"/>
          <w:lang w:val="en-US"/>
        </w:rPr>
        <w:lastRenderedPageBreak/>
        <w:t>*Optional; 7 Dose levels are planned but an optional 8th</w:t>
      </w:r>
      <w:r>
        <w:rPr>
          <w:rFonts w:asciiTheme="minorHAnsi" w:hAnsiTheme="minorHAnsi"/>
          <w:i/>
          <w:sz w:val="24"/>
          <w:lang w:val="en-US"/>
        </w:rPr>
        <w:t xml:space="preserve"> dose level may be evaluated if </w:t>
      </w:r>
      <w:r w:rsidRPr="00327381">
        <w:rPr>
          <w:rFonts w:asciiTheme="minorHAnsi" w:hAnsiTheme="minorHAnsi"/>
          <w:i/>
          <w:sz w:val="24"/>
          <w:lang w:val="en-US"/>
        </w:rPr>
        <w:t>required</w:t>
      </w:r>
    </w:p>
    <w:p w14:paraId="5B4490AC" w14:textId="77777777" w:rsidR="003E18B7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</w:p>
    <w:p w14:paraId="706F00CE" w14:textId="77777777" w:rsidR="003E18B7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3171F2">
        <w:rPr>
          <w:rFonts w:asciiTheme="minorHAnsi" w:hAnsiTheme="minorHAnsi"/>
          <w:bCs/>
          <w:sz w:val="24"/>
          <w:lang w:val="en-US"/>
        </w:rPr>
        <w:t>The alternating panel design of Group SD1, SD2</w:t>
      </w:r>
      <w:r>
        <w:rPr>
          <w:rFonts w:asciiTheme="minorHAnsi" w:hAnsiTheme="minorHAnsi"/>
          <w:bCs/>
          <w:sz w:val="24"/>
          <w:lang w:val="en-US"/>
        </w:rPr>
        <w:t>, SD3</w:t>
      </w:r>
      <w:r w:rsidRPr="003171F2">
        <w:rPr>
          <w:rFonts w:asciiTheme="minorHAnsi" w:hAnsiTheme="minorHAnsi"/>
          <w:bCs/>
          <w:sz w:val="24"/>
          <w:lang w:val="en-US"/>
        </w:rPr>
        <w:t xml:space="preserve"> and SD</w:t>
      </w:r>
      <w:r>
        <w:rPr>
          <w:rFonts w:asciiTheme="minorHAnsi" w:hAnsiTheme="minorHAnsi"/>
          <w:bCs/>
          <w:sz w:val="24"/>
          <w:lang w:val="en-US"/>
        </w:rPr>
        <w:t>4</w:t>
      </w:r>
      <w:r w:rsidRPr="003171F2">
        <w:rPr>
          <w:rFonts w:asciiTheme="minorHAnsi" w:hAnsiTheme="minorHAnsi"/>
          <w:bCs/>
          <w:sz w:val="24"/>
          <w:lang w:val="en-US"/>
        </w:rPr>
        <w:t xml:space="preserve"> is presented schematically in </w:t>
      </w:r>
      <w:r>
        <w:fldChar w:fldCharType="begin"/>
      </w:r>
      <w:r>
        <w:instrText xml:space="preserve"> REF _Ref419978243 \h  \* MERGEFORMAT </w:instrText>
      </w:r>
      <w:r>
        <w:fldChar w:fldCharType="separate"/>
      </w:r>
      <w:r w:rsidRPr="00C72C80">
        <w:rPr>
          <w:rFonts w:asciiTheme="minorHAnsi" w:hAnsiTheme="minorHAnsi"/>
          <w:bCs/>
          <w:sz w:val="24"/>
          <w:lang w:val="en-US"/>
        </w:rPr>
        <w:t>Figure 1</w:t>
      </w:r>
      <w:r>
        <w:fldChar w:fldCharType="end"/>
      </w:r>
      <w:r w:rsidRPr="003171F2">
        <w:rPr>
          <w:rFonts w:asciiTheme="minorHAnsi" w:hAnsiTheme="minorHAnsi"/>
          <w:bCs/>
          <w:sz w:val="24"/>
          <w:lang w:val="en-US"/>
        </w:rPr>
        <w:t xml:space="preserve"> below.</w:t>
      </w:r>
    </w:p>
    <w:p w14:paraId="6D7ED55F" w14:textId="77777777" w:rsidR="003E18B7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</w:p>
    <w:tbl>
      <w:tblPr>
        <w:tblW w:w="9276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1098"/>
        <w:gridCol w:w="399"/>
        <w:gridCol w:w="700"/>
        <w:gridCol w:w="1098"/>
        <w:gridCol w:w="34"/>
        <w:gridCol w:w="949"/>
        <w:gridCol w:w="116"/>
        <w:gridCol w:w="1099"/>
        <w:gridCol w:w="769"/>
        <w:gridCol w:w="329"/>
        <w:gridCol w:w="1099"/>
        <w:gridCol w:w="1099"/>
      </w:tblGrid>
      <w:tr w:rsidR="003E18B7" w:rsidRPr="00E2652F" w14:paraId="600BF1C6" w14:textId="77777777" w:rsidTr="006A493B">
        <w:trPr>
          <w:trHeight w:val="304"/>
        </w:trPr>
        <w:tc>
          <w:tcPr>
            <w:tcW w:w="1984" w:type="dxa"/>
            <w:gridSpan w:val="3"/>
            <w:shd w:val="clear" w:color="auto" w:fill="auto"/>
          </w:tcPr>
          <w:p w14:paraId="35CC8523" w14:textId="77777777" w:rsidR="003E18B7" w:rsidRPr="00E2652F" w:rsidRDefault="003E18B7" w:rsidP="006A493B">
            <w:pPr>
              <w:spacing w:before="120"/>
              <w:jc w:val="both"/>
              <w:rPr>
                <w:rFonts w:eastAsia="MS Mincho"/>
                <w:b/>
                <w:iCs/>
                <w:sz w:val="20"/>
                <w:u w:val="single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u w:val="single"/>
                <w:lang w:val="en-GB"/>
              </w:rPr>
              <w:t>Group</w:t>
            </w:r>
          </w:p>
        </w:tc>
        <w:tc>
          <w:tcPr>
            <w:tcW w:w="1832" w:type="dxa"/>
            <w:gridSpan w:val="3"/>
            <w:shd w:val="clear" w:color="auto" w:fill="auto"/>
            <w:vAlign w:val="center"/>
          </w:tcPr>
          <w:p w14:paraId="021C71A6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b/>
                <w:iCs/>
                <w:sz w:val="20"/>
                <w:u w:val="single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u w:val="single"/>
                <w:lang w:val="en-GB"/>
              </w:rPr>
              <w:t>Period 1</w:t>
            </w:r>
          </w:p>
        </w:tc>
        <w:tc>
          <w:tcPr>
            <w:tcW w:w="949" w:type="dxa"/>
          </w:tcPr>
          <w:p w14:paraId="1840B04B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b/>
                <w:iCs/>
                <w:sz w:val="20"/>
                <w:u w:val="single"/>
                <w:lang w:val="en-GB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04B7EF9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b/>
                <w:iCs/>
                <w:sz w:val="20"/>
                <w:u w:val="single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u w:val="single"/>
                <w:lang w:val="en-GB"/>
              </w:rPr>
              <w:t>Period 2</w:t>
            </w:r>
          </w:p>
        </w:tc>
        <w:tc>
          <w:tcPr>
            <w:tcW w:w="2527" w:type="dxa"/>
            <w:gridSpan w:val="3"/>
          </w:tcPr>
          <w:p w14:paraId="1F6E2847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b/>
                <w:iCs/>
                <w:sz w:val="20"/>
                <w:u w:val="single"/>
                <w:lang w:val="en-GB"/>
              </w:rPr>
            </w:pPr>
          </w:p>
        </w:tc>
      </w:tr>
      <w:tr w:rsidR="003E18B7" w:rsidRPr="00E2652F" w14:paraId="3C062D5C" w14:textId="77777777" w:rsidTr="006A493B">
        <w:trPr>
          <w:trHeight w:val="508"/>
        </w:trPr>
        <w:tc>
          <w:tcPr>
            <w:tcW w:w="487" w:type="dxa"/>
            <w:tcBorders>
              <w:right w:val="single" w:sz="4" w:space="0" w:color="auto"/>
            </w:tcBorders>
            <w:shd w:val="clear" w:color="auto" w:fill="auto"/>
          </w:tcPr>
          <w:p w14:paraId="45472BCB" w14:textId="77777777" w:rsidR="003E18B7" w:rsidRPr="00E2652F" w:rsidRDefault="003E18B7" w:rsidP="006A493B">
            <w:pPr>
              <w:spacing w:before="120"/>
              <w:rPr>
                <w:rFonts w:eastAsia="MS Mincho"/>
                <w:b/>
                <w:iCs/>
                <w:sz w:val="20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>SD1: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7F60B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SD1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(0.05</w:t>
            </w: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> 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mg/kg)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E207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sym w:font="Wingdings" w:char="F0E0"/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252C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E1ED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80BE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SD1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(1.6</w:t>
            </w: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 xml:space="preserve"> 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mg/kg)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74DA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F5D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967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</w:tr>
      <w:tr w:rsidR="003E18B7" w:rsidRPr="00E2652F" w14:paraId="27DCBDD6" w14:textId="77777777" w:rsidTr="006A493B">
        <w:trPr>
          <w:trHeight w:val="497"/>
        </w:trPr>
        <w:tc>
          <w:tcPr>
            <w:tcW w:w="487" w:type="dxa"/>
            <w:tcBorders>
              <w:right w:val="single" w:sz="4" w:space="0" w:color="auto"/>
            </w:tcBorders>
            <w:shd w:val="clear" w:color="auto" w:fill="auto"/>
          </w:tcPr>
          <w:p w14:paraId="5406ED33" w14:textId="77777777" w:rsidR="003E18B7" w:rsidRPr="00E2652F" w:rsidRDefault="003E18B7" w:rsidP="006A493B">
            <w:pPr>
              <w:spacing w:before="120"/>
              <w:rPr>
                <w:rFonts w:eastAsia="MS Mincho"/>
                <w:b/>
                <w:iCs/>
                <w:sz w:val="20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>SD2: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A202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1F074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SD2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(0.2 mg/kg)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8827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sym w:font="Wingdings" w:char="F0E0"/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1D3B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2AD6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C3BBE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SD2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(3.2 mg/kg)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CC65B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28532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</w:tr>
      <w:tr w:rsidR="003E18B7" w:rsidRPr="00E2652F" w14:paraId="145179DD" w14:textId="77777777" w:rsidTr="006A493B">
        <w:trPr>
          <w:trHeight w:val="436"/>
        </w:trPr>
        <w:tc>
          <w:tcPr>
            <w:tcW w:w="487" w:type="dxa"/>
            <w:tcBorders>
              <w:right w:val="single" w:sz="4" w:space="0" w:color="auto"/>
            </w:tcBorders>
            <w:shd w:val="clear" w:color="auto" w:fill="auto"/>
          </w:tcPr>
          <w:p w14:paraId="5A6B7915" w14:textId="77777777" w:rsidR="003E18B7" w:rsidRPr="00E2652F" w:rsidRDefault="003E18B7" w:rsidP="006A493B">
            <w:pPr>
              <w:spacing w:before="120"/>
              <w:rPr>
                <w:rFonts w:eastAsia="MS Mincho"/>
                <w:b/>
                <w:iCs/>
                <w:sz w:val="20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>SD3: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F943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68FC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C39018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SD3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(0.4 mg/kg)</w:t>
            </w: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F0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sym w:font="Wingdings" w:char="F0E0"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E428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D8C0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F0C20E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SD3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(6.0 mg/kg)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55B2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</w:tr>
      <w:tr w:rsidR="003E18B7" w:rsidRPr="00E2652F" w14:paraId="27026041" w14:textId="77777777" w:rsidTr="006A493B">
        <w:trPr>
          <w:trHeight w:val="534"/>
        </w:trPr>
        <w:tc>
          <w:tcPr>
            <w:tcW w:w="487" w:type="dxa"/>
            <w:tcBorders>
              <w:right w:val="single" w:sz="4" w:space="0" w:color="auto"/>
            </w:tcBorders>
            <w:shd w:val="clear" w:color="auto" w:fill="auto"/>
          </w:tcPr>
          <w:p w14:paraId="14BCD1DA" w14:textId="77777777" w:rsidR="003E18B7" w:rsidRPr="00E2652F" w:rsidRDefault="003E18B7" w:rsidP="006A493B">
            <w:pPr>
              <w:spacing w:before="120"/>
              <w:rPr>
                <w:rFonts w:eastAsia="MS Mincho"/>
                <w:b/>
                <w:iCs/>
                <w:sz w:val="20"/>
                <w:lang w:val="en-GB"/>
              </w:rPr>
            </w:pPr>
            <w:r w:rsidRPr="00E2652F">
              <w:rPr>
                <w:rFonts w:eastAsia="MS Mincho"/>
                <w:b/>
                <w:iCs/>
                <w:sz w:val="20"/>
                <w:szCs w:val="22"/>
                <w:lang w:val="en-GB"/>
              </w:rPr>
              <w:t>SD4: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656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CACC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D36C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78B82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t>SD4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(0.8 mg/kg)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D9B0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sym w:font="Wingdings" w:char="F0E0"/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EF825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A105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F82725" w14:textId="77777777" w:rsidR="003E18B7" w:rsidRPr="00E2652F" w:rsidRDefault="003E18B7" w:rsidP="006A493B">
            <w:pPr>
              <w:spacing w:before="120"/>
              <w:jc w:val="center"/>
              <w:rPr>
                <w:rFonts w:eastAsia="MS Mincho"/>
                <w:iCs/>
                <w:sz w:val="20"/>
                <w:lang w:val="en-GB"/>
              </w:rPr>
            </w:pPr>
            <w:r>
              <w:rPr>
                <w:rFonts w:eastAsia="MS Mincho"/>
                <w:iCs/>
                <w:sz w:val="20"/>
                <w:szCs w:val="22"/>
                <w:lang w:val="en-GB"/>
              </w:rPr>
              <w:t>SD4</w:t>
            </w:r>
            <w:r w:rsidRPr="00E2652F">
              <w:rPr>
                <w:rFonts w:eastAsia="MS Mincho"/>
                <w:iCs/>
                <w:sz w:val="20"/>
                <w:szCs w:val="22"/>
                <w:lang w:val="en-GB"/>
              </w:rPr>
              <w:br/>
              <w:t>(TBC mg/kg)</w:t>
            </w:r>
          </w:p>
        </w:tc>
      </w:tr>
    </w:tbl>
    <w:p w14:paraId="21335EBA" w14:textId="77777777" w:rsidR="003E18B7" w:rsidRPr="003171F2" w:rsidRDefault="003E18B7" w:rsidP="003E18B7">
      <w:pPr>
        <w:pStyle w:val="synopsis"/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</w:p>
    <w:p w14:paraId="4AC5D97D" w14:textId="77777777" w:rsidR="003E18B7" w:rsidRPr="00647E53" w:rsidRDefault="003E18B7" w:rsidP="003E18B7">
      <w:pPr>
        <w:pStyle w:val="Text"/>
        <w:rPr>
          <w:iCs/>
          <w:sz w:val="22"/>
          <w:szCs w:val="22"/>
          <w:lang w:val="en-US"/>
        </w:rPr>
      </w:pPr>
    </w:p>
    <w:p w14:paraId="23357B09" w14:textId="61FAA1E0" w:rsidR="003E18B7" w:rsidRPr="003171F2" w:rsidRDefault="003E18B7" w:rsidP="003E18B7">
      <w:pPr>
        <w:pStyle w:val="Caption"/>
        <w:spacing w:before="60"/>
        <w:rPr>
          <w:rFonts w:asciiTheme="minorHAnsi" w:hAnsiTheme="minorHAnsi"/>
          <w:iCs/>
          <w:sz w:val="24"/>
          <w:szCs w:val="24"/>
        </w:rPr>
      </w:pPr>
      <w:bookmarkStart w:id="2" w:name="_Ref419978243"/>
      <w:bookmarkStart w:id="3" w:name="_Toc455052091"/>
      <w:r w:rsidRPr="003171F2">
        <w:rPr>
          <w:rFonts w:asciiTheme="minorHAnsi" w:hAnsiTheme="minorHAnsi"/>
          <w:sz w:val="24"/>
          <w:szCs w:val="24"/>
        </w:rPr>
        <w:t xml:space="preserve">Figure </w:t>
      </w:r>
      <w:r w:rsidRPr="003171F2">
        <w:rPr>
          <w:rFonts w:asciiTheme="minorHAnsi" w:hAnsiTheme="minorHAnsi"/>
          <w:sz w:val="24"/>
          <w:szCs w:val="24"/>
        </w:rPr>
        <w:fldChar w:fldCharType="begin"/>
      </w:r>
      <w:r w:rsidRPr="003171F2">
        <w:rPr>
          <w:rFonts w:asciiTheme="minorHAnsi" w:hAnsiTheme="minorHAnsi"/>
          <w:sz w:val="24"/>
          <w:szCs w:val="24"/>
        </w:rPr>
        <w:instrText xml:space="preserve"> SEQ Figure \* ARABIC </w:instrText>
      </w:r>
      <w:r w:rsidRPr="003171F2">
        <w:rPr>
          <w:rFonts w:asciiTheme="minorHAnsi" w:hAnsiTheme="minorHAnsi"/>
          <w:sz w:val="24"/>
          <w:szCs w:val="24"/>
        </w:rPr>
        <w:fldChar w:fldCharType="separate"/>
      </w:r>
      <w:r>
        <w:rPr>
          <w:rFonts w:asciiTheme="minorHAnsi" w:hAnsiTheme="minorHAnsi"/>
          <w:noProof/>
          <w:sz w:val="24"/>
          <w:szCs w:val="24"/>
        </w:rPr>
        <w:t>1</w:t>
      </w:r>
      <w:r w:rsidRPr="003171F2">
        <w:rPr>
          <w:rFonts w:asciiTheme="minorHAnsi" w:hAnsiTheme="minorHAnsi"/>
          <w:sz w:val="24"/>
          <w:szCs w:val="24"/>
        </w:rPr>
        <w:fldChar w:fldCharType="end"/>
      </w:r>
      <w:bookmarkEnd w:id="2"/>
      <w:r w:rsidRPr="003171F2">
        <w:rPr>
          <w:rFonts w:asciiTheme="minorHAnsi" w:hAnsiTheme="minorHAnsi"/>
          <w:sz w:val="24"/>
          <w:szCs w:val="24"/>
        </w:rPr>
        <w:tab/>
        <w:t xml:space="preserve">Flowchart for Single Ascending Dose Administration of </w:t>
      </w:r>
      <w:r>
        <w:rPr>
          <w:rFonts w:asciiTheme="minorHAnsi" w:hAnsiTheme="minorHAnsi"/>
          <w:sz w:val="24"/>
          <w:szCs w:val="24"/>
        </w:rPr>
        <w:t>OCS-05</w:t>
      </w:r>
      <w:r w:rsidRPr="003171F2">
        <w:rPr>
          <w:rFonts w:asciiTheme="minorHAnsi" w:hAnsiTheme="minorHAnsi"/>
          <w:sz w:val="24"/>
          <w:szCs w:val="24"/>
        </w:rPr>
        <w:t xml:space="preserve"> in Part A</w:t>
      </w:r>
      <w:bookmarkEnd w:id="3"/>
    </w:p>
    <w:p w14:paraId="55BDCDF4" w14:textId="77777777" w:rsidR="003E18B7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</w:p>
    <w:p w14:paraId="6D92E0A1" w14:textId="77777777" w:rsidR="003E18B7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</w:p>
    <w:p w14:paraId="36C07C45" w14:textId="77777777" w:rsidR="003E18B7" w:rsidRPr="0016791F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  <w:r w:rsidRPr="0016791F">
        <w:rPr>
          <w:rFonts w:asciiTheme="minorHAnsi" w:hAnsiTheme="minorHAnsi"/>
          <w:bCs/>
          <w:i/>
          <w:sz w:val="24"/>
          <w:lang w:val="en-US"/>
        </w:rPr>
        <w:t>Study Schedule</w:t>
      </w:r>
    </w:p>
    <w:p w14:paraId="116C3F9B" w14:textId="77777777" w:rsidR="003E18B7" w:rsidRPr="0016791F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  <w:r w:rsidRPr="0016791F">
        <w:rPr>
          <w:rFonts w:asciiTheme="minorHAnsi" w:hAnsiTheme="minorHAnsi"/>
          <w:bCs/>
          <w:i/>
          <w:sz w:val="24"/>
          <w:lang w:val="en-US"/>
        </w:rPr>
        <w:t xml:space="preserve">Volunteers will stay from Day -1 to Day 2 at the clinical center for pretreatment procedure on Day -1, treatment on Day 1 and 24h after treatment observation until Day 2. </w:t>
      </w:r>
    </w:p>
    <w:p w14:paraId="00D0DD4D" w14:textId="77777777" w:rsidR="003E18B7" w:rsidRPr="0016791F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  <w:r w:rsidRPr="0016791F">
        <w:rPr>
          <w:rFonts w:asciiTheme="minorHAnsi" w:hAnsiTheme="minorHAnsi"/>
          <w:bCs/>
          <w:i/>
          <w:sz w:val="24"/>
          <w:lang w:val="en-US"/>
        </w:rPr>
        <w:t xml:space="preserve">A follow-up will be done on Day 8. </w:t>
      </w:r>
      <w:r>
        <w:rPr>
          <w:rFonts w:asciiTheme="minorHAnsi" w:hAnsiTheme="minorHAnsi"/>
          <w:bCs/>
          <w:i/>
          <w:sz w:val="24"/>
          <w:lang w:val="en-US"/>
        </w:rPr>
        <w:t>See table 1 for schedule of assessments.</w:t>
      </w:r>
    </w:p>
    <w:p w14:paraId="67C68B18" w14:textId="77777777" w:rsidR="003E18B7" w:rsidRPr="0016791F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i/>
          <w:sz w:val="24"/>
          <w:lang w:val="en-US"/>
        </w:rPr>
      </w:pPr>
    </w:p>
    <w:p w14:paraId="46D2F36F" w14:textId="77777777" w:rsidR="003E18B7" w:rsidRPr="0016791F" w:rsidRDefault="003E18B7" w:rsidP="003E18B7">
      <w:pPr>
        <w:pStyle w:val="synopsis"/>
        <w:spacing w:line="240" w:lineRule="auto"/>
        <w:ind w:left="56" w:firstLine="1"/>
        <w:rPr>
          <w:rFonts w:asciiTheme="minorHAnsi" w:hAnsiTheme="minorHAnsi"/>
          <w:sz w:val="24"/>
          <w:u w:val="single"/>
        </w:rPr>
      </w:pPr>
      <w:r w:rsidRPr="0016791F">
        <w:rPr>
          <w:rFonts w:asciiTheme="minorHAnsi" w:hAnsiTheme="minorHAnsi"/>
          <w:sz w:val="24"/>
          <w:u w:val="single"/>
        </w:rPr>
        <w:t xml:space="preserve">Part B (MAD) </w:t>
      </w:r>
    </w:p>
    <w:p w14:paraId="25D1B4DB" w14:textId="3D925F38" w:rsidR="003E18B7" w:rsidRPr="0016791F" w:rsidRDefault="003E18B7" w:rsidP="003E18B7">
      <w:pPr>
        <w:pStyle w:val="synopsis"/>
        <w:spacing w:line="240" w:lineRule="auto"/>
        <w:ind w:left="56" w:firstLine="1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iCs/>
          <w:sz w:val="24"/>
        </w:rPr>
        <w:t>Part B will be conducted in 2 multiple dose (MD) groups (Group MD1 and MD2) of 8 healthy subjects each.</w:t>
      </w:r>
      <w:r w:rsidRPr="0016791F">
        <w:rPr>
          <w:rFonts w:asciiTheme="minorHAnsi" w:hAnsiTheme="minorHAnsi"/>
          <w:sz w:val="24"/>
        </w:rPr>
        <w:t xml:space="preserve"> </w:t>
      </w:r>
      <w:r w:rsidRPr="0016791F">
        <w:rPr>
          <w:rFonts w:asciiTheme="minorHAnsi" w:hAnsiTheme="minorHAnsi"/>
          <w:iCs/>
          <w:sz w:val="24"/>
        </w:rPr>
        <w:t xml:space="preserve">In each group, subjects will be randomized to receive </w:t>
      </w:r>
      <w:r>
        <w:rPr>
          <w:rFonts w:asciiTheme="minorHAnsi" w:hAnsiTheme="minorHAnsi"/>
          <w:iCs/>
          <w:sz w:val="24"/>
        </w:rPr>
        <w:t>OCS-05</w:t>
      </w:r>
      <w:r w:rsidRPr="0016791F">
        <w:rPr>
          <w:rFonts w:asciiTheme="minorHAnsi" w:hAnsiTheme="minorHAnsi"/>
          <w:iCs/>
          <w:sz w:val="24"/>
        </w:rPr>
        <w:t xml:space="preserve"> (6 per group) or placebo (2 per group) </w:t>
      </w:r>
      <w:r w:rsidRPr="0016791F">
        <w:rPr>
          <w:rFonts w:asciiTheme="minorHAnsi" w:hAnsiTheme="minorHAnsi"/>
          <w:sz w:val="24"/>
        </w:rPr>
        <w:t xml:space="preserve">once daily for 5 </w:t>
      </w:r>
      <w:r w:rsidRPr="0016791F">
        <w:rPr>
          <w:rFonts w:asciiTheme="minorHAnsi" w:hAnsiTheme="minorHAnsi"/>
          <w:bCs/>
          <w:sz w:val="24"/>
          <w:lang w:val="en-US"/>
        </w:rPr>
        <w:t xml:space="preserve">consecutive </w:t>
      </w:r>
      <w:r w:rsidRPr="0016791F">
        <w:rPr>
          <w:rFonts w:asciiTheme="minorHAnsi" w:hAnsiTheme="minorHAnsi"/>
          <w:sz w:val="24"/>
        </w:rPr>
        <w:t>days (from Day 1 to Day 5)</w:t>
      </w:r>
      <w:r w:rsidRPr="0016791F">
        <w:rPr>
          <w:rFonts w:asciiTheme="minorHAnsi" w:hAnsiTheme="minorHAnsi"/>
          <w:iCs/>
          <w:sz w:val="24"/>
        </w:rPr>
        <w:t xml:space="preserve">.  </w:t>
      </w:r>
      <w:r w:rsidRPr="0016791F">
        <w:rPr>
          <w:rFonts w:asciiTheme="minorHAnsi" w:hAnsiTheme="minorHAnsi"/>
          <w:bCs/>
          <w:sz w:val="24"/>
          <w:lang w:val="en-US"/>
        </w:rPr>
        <w:t>The dose levels to be administered will be based on the safety, tolerability and PK results of Part A. Group MD1 can only be started if a higher dose level in the SAD was well tolerated.</w:t>
      </w:r>
      <w:r w:rsidRPr="0016791F">
        <w:rPr>
          <w:rFonts w:asciiTheme="minorHAnsi" w:hAnsiTheme="minorHAnsi"/>
          <w:bCs/>
          <w:color w:val="FF0000"/>
          <w:sz w:val="24"/>
          <w:lang w:val="en-US"/>
        </w:rPr>
        <w:t xml:space="preserve"> </w:t>
      </w:r>
      <w:r w:rsidRPr="0016791F">
        <w:rPr>
          <w:rFonts w:asciiTheme="minorHAnsi" w:hAnsiTheme="minorHAnsi"/>
          <w:bCs/>
          <w:sz w:val="24"/>
          <w:lang w:val="en-US"/>
        </w:rPr>
        <w:t xml:space="preserve">Before dose escalation to Group MD2, the safety and tolerability of the subjects in Group MD1 will be assessed up to 24 hours post-last-dose. </w:t>
      </w:r>
    </w:p>
    <w:p w14:paraId="7913ECA1" w14:textId="77777777" w:rsidR="003E18B7" w:rsidRPr="0016791F" w:rsidRDefault="003E18B7" w:rsidP="003E18B7">
      <w:pPr>
        <w:pStyle w:val="synopsis"/>
        <w:spacing w:line="240" w:lineRule="auto"/>
        <w:ind w:left="56" w:right="113" w:firstLine="1"/>
        <w:jc w:val="both"/>
        <w:rPr>
          <w:rFonts w:asciiTheme="minorHAnsi" w:hAnsiTheme="minorHAnsi"/>
          <w:bCs/>
          <w:sz w:val="24"/>
          <w:lang w:val="en-US"/>
        </w:rPr>
      </w:pPr>
    </w:p>
    <w:p w14:paraId="0C69C9BD" w14:textId="77777777" w:rsidR="003E18B7" w:rsidRPr="0016791F" w:rsidRDefault="003E18B7" w:rsidP="003E18B7">
      <w:pPr>
        <w:pStyle w:val="synopsis"/>
        <w:tabs>
          <w:tab w:val="left" w:pos="2268"/>
        </w:tabs>
        <w:spacing w:line="240" w:lineRule="auto"/>
        <w:ind w:left="57" w:right="113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>The following treatments are planned to be administered:</w:t>
      </w:r>
    </w:p>
    <w:p w14:paraId="516D04D7" w14:textId="77777777" w:rsidR="003E18B7" w:rsidRDefault="003E18B7" w:rsidP="003E18B7">
      <w:pPr>
        <w:pStyle w:val="synopsis"/>
        <w:tabs>
          <w:tab w:val="left" w:pos="1701"/>
        </w:tabs>
        <w:spacing w:line="240" w:lineRule="auto"/>
        <w:ind w:left="1701" w:right="113" w:hanging="1617"/>
        <w:jc w:val="both"/>
        <w:rPr>
          <w:rFonts w:asciiTheme="minorHAnsi" w:hAnsiTheme="minorHAnsi"/>
          <w:bCs/>
          <w:sz w:val="24"/>
          <w:lang w:val="en-US"/>
        </w:rPr>
      </w:pPr>
    </w:p>
    <w:p w14:paraId="5E5F9A40" w14:textId="634E0B64" w:rsidR="003E18B7" w:rsidRPr="0016791F" w:rsidRDefault="003E18B7" w:rsidP="003E18B7">
      <w:pPr>
        <w:pStyle w:val="synopsis"/>
        <w:tabs>
          <w:tab w:val="left" w:pos="1701"/>
        </w:tabs>
        <w:spacing w:line="240" w:lineRule="auto"/>
        <w:ind w:left="1701" w:right="113" w:hanging="1617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>Group MD1:</w:t>
      </w:r>
      <w:r w:rsidRPr="0016791F">
        <w:rPr>
          <w:rFonts w:asciiTheme="minorHAnsi" w:hAnsiTheme="minorHAnsi"/>
          <w:bCs/>
          <w:sz w:val="24"/>
          <w:lang w:val="en-US"/>
        </w:rPr>
        <w:tab/>
        <w:t xml:space="preserve">once daily IV infusion of xx mg/kg* 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 xml:space="preserve"> (n=6) or placebo (n=2) for 5 consecutive days</w:t>
      </w:r>
    </w:p>
    <w:p w14:paraId="14AD638B" w14:textId="61B88006" w:rsidR="003E18B7" w:rsidRPr="0016791F" w:rsidRDefault="003E18B7" w:rsidP="003E18B7">
      <w:pPr>
        <w:pStyle w:val="synopsis"/>
        <w:tabs>
          <w:tab w:val="left" w:pos="1701"/>
        </w:tabs>
        <w:spacing w:line="240" w:lineRule="auto"/>
        <w:ind w:left="1701" w:right="113" w:hanging="1617"/>
        <w:jc w:val="both"/>
        <w:rPr>
          <w:rFonts w:asciiTheme="minorHAnsi" w:hAnsiTheme="minorHAnsi"/>
          <w:bCs/>
          <w:sz w:val="24"/>
          <w:lang w:val="en-US"/>
        </w:rPr>
      </w:pPr>
      <w:r w:rsidRPr="0016791F">
        <w:rPr>
          <w:rFonts w:asciiTheme="minorHAnsi" w:hAnsiTheme="minorHAnsi"/>
          <w:bCs/>
          <w:sz w:val="24"/>
          <w:lang w:val="en-US"/>
        </w:rPr>
        <w:t>Group MD2:</w:t>
      </w:r>
      <w:r w:rsidRPr="0016791F">
        <w:rPr>
          <w:rFonts w:asciiTheme="minorHAnsi" w:hAnsiTheme="minorHAnsi"/>
          <w:bCs/>
          <w:sz w:val="24"/>
          <w:lang w:val="en-US"/>
        </w:rPr>
        <w:tab/>
        <w:t xml:space="preserve">once daily IV infusion of xx mg/kg* </w:t>
      </w:r>
      <w:r>
        <w:rPr>
          <w:rFonts w:asciiTheme="minorHAnsi" w:hAnsiTheme="minorHAnsi"/>
          <w:bCs/>
          <w:sz w:val="24"/>
          <w:lang w:val="en-US"/>
        </w:rPr>
        <w:t>OCS-05</w:t>
      </w:r>
      <w:r w:rsidRPr="0016791F">
        <w:rPr>
          <w:rFonts w:asciiTheme="minorHAnsi" w:hAnsiTheme="minorHAnsi"/>
          <w:bCs/>
          <w:sz w:val="24"/>
          <w:lang w:val="en-US"/>
        </w:rPr>
        <w:t xml:space="preserve"> (n=6) or placebo (n=2) for 5 consecutive days</w:t>
      </w:r>
    </w:p>
    <w:p w14:paraId="696BAE04" w14:textId="3B740762" w:rsidR="003E18B7" w:rsidRDefault="003E18B7"/>
    <w:p w14:paraId="6D4C1C15" w14:textId="1BDE3789" w:rsidR="003E18B7" w:rsidRDefault="003E18B7"/>
    <w:p w14:paraId="37053772" w14:textId="5E2CDE7D" w:rsidR="003E18B7" w:rsidRDefault="003E18B7"/>
    <w:p w14:paraId="7A604596" w14:textId="5A5A8613" w:rsidR="003E18B7" w:rsidRDefault="003E18B7"/>
    <w:p w14:paraId="053B9FD6" w14:textId="77777777" w:rsidR="003E18B7" w:rsidRDefault="003E18B7" w:rsidP="003E18B7">
      <w:pPr>
        <w:pStyle w:val="Caption"/>
        <w:tabs>
          <w:tab w:val="left" w:pos="1134"/>
        </w:tabs>
        <w:spacing w:after="40"/>
        <w:ind w:left="1134" w:hanging="1134"/>
        <w:rPr>
          <w:rFonts w:cs="Arial"/>
          <w:szCs w:val="22"/>
        </w:rPr>
      </w:pPr>
      <w:bookmarkStart w:id="4" w:name="_Toc425762579"/>
      <w:r w:rsidRPr="00EB6EE1">
        <w:rPr>
          <w:rFonts w:cs="Arial"/>
          <w:szCs w:val="22"/>
        </w:rPr>
        <w:t>Table </w:t>
      </w:r>
      <w:r>
        <w:rPr>
          <w:rFonts w:cs="Arial"/>
          <w:szCs w:val="22"/>
        </w:rPr>
        <w:fldChar w:fldCharType="begin"/>
      </w:r>
      <w:r>
        <w:rPr>
          <w:rFonts w:cs="Arial"/>
          <w:szCs w:val="22"/>
        </w:rPr>
        <w:instrText xml:space="preserve"> SEQ Table \* ARABIC </w:instrText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1</w:t>
      </w:r>
      <w:r>
        <w:rPr>
          <w:rFonts w:cs="Arial"/>
          <w:szCs w:val="22"/>
        </w:rPr>
        <w:fldChar w:fldCharType="end"/>
      </w:r>
      <w:r w:rsidRPr="00EB6EE1">
        <w:rPr>
          <w:rFonts w:cs="Arial"/>
          <w:szCs w:val="22"/>
        </w:rPr>
        <w:tab/>
        <w:t>Schedule of Assessments – Part </w:t>
      </w:r>
      <w:proofErr w:type="gramStart"/>
      <w:r w:rsidRPr="00EB6EE1">
        <w:rPr>
          <w:rFonts w:cs="Arial"/>
          <w:szCs w:val="22"/>
        </w:rPr>
        <w:t>A</w:t>
      </w:r>
      <w:proofErr w:type="gramEnd"/>
      <w:r w:rsidRPr="00EB6EE1">
        <w:rPr>
          <w:rFonts w:cs="Arial"/>
          <w:szCs w:val="22"/>
        </w:rPr>
        <w:t xml:space="preserve"> (SAD</w:t>
      </w:r>
      <w:r>
        <w:rPr>
          <w:rFonts w:cs="Arial"/>
          <w:szCs w:val="22"/>
        </w:rPr>
        <w:t xml:space="preserve"> Part</w:t>
      </w:r>
      <w:r w:rsidRPr="00EB6EE1">
        <w:rPr>
          <w:rFonts w:cs="Arial"/>
          <w:szCs w:val="22"/>
        </w:rPr>
        <w:t>)</w:t>
      </w:r>
      <w:bookmarkEnd w:id="4"/>
    </w:p>
    <w:p w14:paraId="5B6F86DE" w14:textId="77777777" w:rsidR="003E18B7" w:rsidRDefault="003E18B7" w:rsidP="003E18B7"/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1134"/>
        <w:gridCol w:w="992"/>
        <w:gridCol w:w="1134"/>
        <w:gridCol w:w="992"/>
        <w:gridCol w:w="992"/>
        <w:gridCol w:w="993"/>
        <w:gridCol w:w="1134"/>
      </w:tblGrid>
      <w:tr w:rsidR="003E18B7" w:rsidRPr="0066476F" w14:paraId="6C91010B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6095E057" w14:textId="77777777" w:rsidR="003E18B7" w:rsidRPr="0066476F" w:rsidRDefault="003E18B7" w:rsidP="006A493B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371" w:type="dxa"/>
            <w:gridSpan w:val="7"/>
          </w:tcPr>
          <w:p w14:paraId="70CC66C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Assessment Period</w:t>
            </w:r>
            <w:r w:rsidRPr="0066476F">
              <w:rPr>
                <w:rFonts w:ascii="Arial" w:eastAsia="Calibri" w:hAnsi="Arial" w:cs="Arial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3E18B7" w:rsidRPr="0066476F" w14:paraId="1AD614A6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1E1E7ED" w14:textId="77777777" w:rsidR="003E18B7" w:rsidRPr="0066476F" w:rsidRDefault="003E18B7" w:rsidP="006A493B">
            <w:pPr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Visit</w:t>
            </w:r>
          </w:p>
        </w:tc>
        <w:tc>
          <w:tcPr>
            <w:tcW w:w="1134" w:type="dxa"/>
            <w:vAlign w:val="center"/>
          </w:tcPr>
          <w:p w14:paraId="228B3C5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Screening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297069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Pre</w:t>
            </w: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noBreakHyphen/>
              <w:t>Treatment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6E483A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9C863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Follow</w:t>
            </w: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noBreakHyphen/>
              <w:t>up</w:t>
            </w:r>
          </w:p>
        </w:tc>
      </w:tr>
      <w:tr w:rsidR="003E18B7" w:rsidRPr="0066476F" w14:paraId="1EFD4A3D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1E2D2EA" w14:textId="77777777" w:rsidR="003E18B7" w:rsidRPr="0066476F" w:rsidRDefault="003E18B7" w:rsidP="006A493B">
            <w:pPr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sz w:val="18"/>
                <w:szCs w:val="18"/>
                <w:lang w:val="en-GB"/>
              </w:rPr>
              <w:t>Study Day</w:t>
            </w:r>
          </w:p>
        </w:tc>
        <w:tc>
          <w:tcPr>
            <w:tcW w:w="1134" w:type="dxa"/>
          </w:tcPr>
          <w:p w14:paraId="15C20DB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noBreakHyphen/>
              <w:t xml:space="preserve">28 to </w:t>
            </w: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noBreakHyphen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95BE0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 xml:space="preserve">Day </w:t>
            </w: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noBreakHyphen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7555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>Day 1 (Pre</w:t>
            </w: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noBreakHyphen/>
              <w:t>dose)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8141F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>Day 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CD9C3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>Day 2</w:t>
            </w:r>
          </w:p>
        </w:tc>
        <w:tc>
          <w:tcPr>
            <w:tcW w:w="993" w:type="dxa"/>
            <w:vAlign w:val="center"/>
          </w:tcPr>
          <w:p w14:paraId="04EFD0D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>Day 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A90A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t>Day 12</w:t>
            </w:r>
            <w:r w:rsidRPr="0066476F">
              <w:rPr>
                <w:rFonts w:ascii="Arial" w:eastAsia="Calibri" w:hAnsi="Arial" w:cs="Arial"/>
                <w:b/>
                <w:iCs/>
                <w:sz w:val="18"/>
                <w:szCs w:val="18"/>
                <w:lang w:val="en-GB"/>
              </w:rPr>
              <w:noBreakHyphen/>
              <w:t>16 days</w:t>
            </w:r>
          </w:p>
        </w:tc>
      </w:tr>
      <w:tr w:rsidR="003E18B7" w:rsidRPr="0066476F" w14:paraId="2FF9B5AD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7615D6B5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Confinement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1134" w:type="dxa"/>
          </w:tcPr>
          <w:p w14:paraId="3EDAC1B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6229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9823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F4B0B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2C8D0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492A83D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050D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</w:tr>
      <w:tr w:rsidR="003E18B7" w:rsidRPr="0066476F" w14:paraId="38AB88BF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9BB6D9D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Ambulatory</w:t>
            </w:r>
          </w:p>
        </w:tc>
        <w:tc>
          <w:tcPr>
            <w:tcW w:w="1134" w:type="dxa"/>
          </w:tcPr>
          <w:p w14:paraId="4668E99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7141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2B5B7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6120F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3ADF9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7B9FF28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28F77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118AC263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7A9D769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Admission</w:t>
            </w:r>
          </w:p>
        </w:tc>
        <w:tc>
          <w:tcPr>
            <w:tcW w:w="1134" w:type="dxa"/>
          </w:tcPr>
          <w:p w14:paraId="39B9B0A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BC05B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34E72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954FB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1FD2F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51ECD2A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5B103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40026358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3501BB8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Informed Consent </w:t>
            </w:r>
          </w:p>
        </w:tc>
        <w:tc>
          <w:tcPr>
            <w:tcW w:w="1134" w:type="dxa"/>
          </w:tcPr>
          <w:p w14:paraId="03442DD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9EB22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26168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3A3F8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A3469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6BD85CC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6B5E0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</w:tr>
      <w:tr w:rsidR="003E18B7" w:rsidRPr="0066476F" w14:paraId="61B1A013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36AA0109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Discharge</w:t>
            </w:r>
          </w:p>
        </w:tc>
        <w:tc>
          <w:tcPr>
            <w:tcW w:w="1134" w:type="dxa"/>
          </w:tcPr>
          <w:p w14:paraId="32F6767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2C401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A2E84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B4C6C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3B815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73DE8CE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1262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</w:p>
        </w:tc>
      </w:tr>
      <w:tr w:rsidR="003E18B7" w:rsidRPr="0066476F" w14:paraId="7055E443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7656E70B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Physical examination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</w:tcPr>
          <w:p w14:paraId="7EEA91A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E2628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903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4E149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824A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7F228E3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7416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74AA5044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A22CD4F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Medical History </w:t>
            </w:r>
          </w:p>
        </w:tc>
        <w:tc>
          <w:tcPr>
            <w:tcW w:w="1134" w:type="dxa"/>
          </w:tcPr>
          <w:p w14:paraId="142B29F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F6A40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FF879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00BC8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4CCA9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404533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F8B7A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4AF42395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44D62F4C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Demographics</w:t>
            </w:r>
          </w:p>
        </w:tc>
        <w:tc>
          <w:tcPr>
            <w:tcW w:w="1134" w:type="dxa"/>
          </w:tcPr>
          <w:p w14:paraId="67E1545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6D96B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3C207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B6F06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3100C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5F77A9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275BA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53D9590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305E605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Body weight and height (including BMI calculation)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1134" w:type="dxa"/>
          </w:tcPr>
          <w:p w14:paraId="64560DF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62361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0D74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FCC5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1EB74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16A66A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EFF2A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3E18B7" w:rsidRPr="0066476F" w14:paraId="732D6067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369F906D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β</w:t>
            </w: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noBreakHyphen/>
            </w:r>
            <w:proofErr w:type="spellStart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hCG</w:t>
            </w:r>
            <w:proofErr w:type="spellEnd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 pregnancy test (females only)</w:t>
            </w:r>
          </w:p>
        </w:tc>
        <w:tc>
          <w:tcPr>
            <w:tcW w:w="1134" w:type="dxa"/>
          </w:tcPr>
          <w:p w14:paraId="22747AA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91C5A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57D2D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3F2BC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80918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55B75C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C1502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64CEC4AB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ED84701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FSH (females only)</w:t>
            </w:r>
          </w:p>
        </w:tc>
        <w:tc>
          <w:tcPr>
            <w:tcW w:w="1134" w:type="dxa"/>
          </w:tcPr>
          <w:p w14:paraId="3A28C74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72E24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5FFA6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15891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3860F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6ECAD0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6184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1F2E4FD2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6B5BC2A4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Serology (HIV, </w:t>
            </w:r>
            <w:proofErr w:type="spellStart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HBsAg</w:t>
            </w:r>
            <w:proofErr w:type="spellEnd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, HCV)</w:t>
            </w:r>
          </w:p>
        </w:tc>
        <w:tc>
          <w:tcPr>
            <w:tcW w:w="1134" w:type="dxa"/>
          </w:tcPr>
          <w:p w14:paraId="3A46EFC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AB72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00728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35D94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DDD3A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C0DC3E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12FA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4C0174DC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4EB8F492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Drug and alcohol screen</w:t>
            </w:r>
          </w:p>
        </w:tc>
        <w:tc>
          <w:tcPr>
            <w:tcW w:w="1134" w:type="dxa"/>
          </w:tcPr>
          <w:p w14:paraId="288B513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886F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1DE06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37D91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902E3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654A765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AA801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339BCE2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6EECE8DF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Clinical laboratory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</w:tcPr>
          <w:p w14:paraId="11AEA1C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054E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473D4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6885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AA1AC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52D1E03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947AD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4B86EA27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69101313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12</w:t>
            </w: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noBreakHyphen/>
              <w:t>lead ECG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5</w:t>
            </w:r>
          </w:p>
        </w:tc>
        <w:tc>
          <w:tcPr>
            <w:tcW w:w="1134" w:type="dxa"/>
          </w:tcPr>
          <w:p w14:paraId="28B8AC1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AF200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BE04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876DF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93623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282BD9F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651A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10CD3EC3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1D1B163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Telemetry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6</w:t>
            </w:r>
          </w:p>
        </w:tc>
        <w:tc>
          <w:tcPr>
            <w:tcW w:w="1134" w:type="dxa"/>
          </w:tcPr>
          <w:p w14:paraId="348EE6E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3DE24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1E588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7A06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1ED2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14C2F70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8BEB4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020D5217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CED7504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proofErr w:type="spellStart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Holter</w:t>
            </w:r>
            <w:proofErr w:type="spellEnd"/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 monitoring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7</w:t>
            </w:r>
          </w:p>
        </w:tc>
        <w:tc>
          <w:tcPr>
            <w:tcW w:w="1134" w:type="dxa"/>
          </w:tcPr>
          <w:p w14:paraId="2CAEDA7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FEFF8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9E067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6B831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1AEA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AE507B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65DE4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9B976BF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5412FF6A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EEG monitoring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8</w:t>
            </w:r>
          </w:p>
        </w:tc>
        <w:tc>
          <w:tcPr>
            <w:tcW w:w="1134" w:type="dxa"/>
          </w:tcPr>
          <w:p w14:paraId="77DD752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43C6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ECF53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8C7C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4F3F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0DF0EA7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5F512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27A3C4F5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3B0D6A1C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Vital signs and body temperature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9</w:t>
            </w:r>
          </w:p>
        </w:tc>
        <w:tc>
          <w:tcPr>
            <w:tcW w:w="1134" w:type="dxa"/>
          </w:tcPr>
          <w:p w14:paraId="0CAC7D2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4A17D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8232D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E4DC0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DA2A2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788ED3D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173C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68D3F36C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50C7A3CD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Eligibility check</w:t>
            </w:r>
          </w:p>
        </w:tc>
        <w:tc>
          <w:tcPr>
            <w:tcW w:w="1134" w:type="dxa"/>
          </w:tcPr>
          <w:p w14:paraId="15E3BD2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DD28A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EAA6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8BE95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828F3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CBDBD3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11180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75F6F8B9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62E747E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Randomisation</w:t>
            </w:r>
          </w:p>
        </w:tc>
        <w:tc>
          <w:tcPr>
            <w:tcW w:w="1134" w:type="dxa"/>
          </w:tcPr>
          <w:p w14:paraId="5F37BBB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2979A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2CE68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9430B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1CCED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B38E8F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4D851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6197F2F1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EB0D4B5" w14:textId="77777777" w:rsidR="003E18B7" w:rsidRPr="0066476F" w:rsidRDefault="003E18B7" w:rsidP="006A493B">
            <w:pPr>
              <w:pStyle w:val="AttachmentText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</w:tabs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Study drug administration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11</w:t>
            </w:r>
          </w:p>
        </w:tc>
        <w:tc>
          <w:tcPr>
            <w:tcW w:w="1134" w:type="dxa"/>
          </w:tcPr>
          <w:p w14:paraId="00DCF53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B7906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2A8D7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81E45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2112A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4D65E7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F329D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5A7D689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1D4FF459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Infusion site reaction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12</w:t>
            </w:r>
          </w:p>
        </w:tc>
        <w:tc>
          <w:tcPr>
            <w:tcW w:w="1134" w:type="dxa"/>
          </w:tcPr>
          <w:p w14:paraId="1F5DCA4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5FEB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AA05D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AF65C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E00DC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4A7D9BF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D5BC5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22F95B82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22DE19B1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Blood sampling for PK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13</w:t>
            </w:r>
          </w:p>
        </w:tc>
        <w:tc>
          <w:tcPr>
            <w:tcW w:w="1134" w:type="dxa"/>
          </w:tcPr>
          <w:p w14:paraId="3D8C5F9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3ADCF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3CF9A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416AE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F22D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4DD7924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138C47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1911471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53384A4A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Blood sampling for PD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14</w:t>
            </w:r>
          </w:p>
        </w:tc>
        <w:tc>
          <w:tcPr>
            <w:tcW w:w="1134" w:type="dxa"/>
          </w:tcPr>
          <w:p w14:paraId="3186DE5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0C60D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EBB22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F70A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312CE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29568E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E703FE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6421BD16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45CA25EA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Blood sample for genotyping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15</w:t>
            </w:r>
          </w:p>
        </w:tc>
        <w:tc>
          <w:tcPr>
            <w:tcW w:w="1134" w:type="dxa"/>
          </w:tcPr>
          <w:p w14:paraId="771D6D4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F7275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AE3FDB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D46DF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B08B9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21DA8E6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94EBAA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  <w:tr w:rsidR="003E18B7" w:rsidRPr="0066476F" w14:paraId="5C38F418" w14:textId="77777777" w:rsidTr="006A493B">
        <w:trPr>
          <w:trHeight w:val="153"/>
        </w:trPr>
        <w:tc>
          <w:tcPr>
            <w:tcW w:w="2411" w:type="dxa"/>
            <w:shd w:val="clear" w:color="auto" w:fill="auto"/>
            <w:vAlign w:val="center"/>
          </w:tcPr>
          <w:p w14:paraId="7D5FD725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Previous and concomitant medication</w:t>
            </w:r>
          </w:p>
        </w:tc>
        <w:tc>
          <w:tcPr>
            <w:tcW w:w="1134" w:type="dxa"/>
          </w:tcPr>
          <w:p w14:paraId="60CDA4B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341D0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4B542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7A97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5C2F0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5784738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521D4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44FB33E0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0FF92060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Adverse event monitoring</w:t>
            </w:r>
          </w:p>
        </w:tc>
        <w:tc>
          <w:tcPr>
            <w:tcW w:w="1134" w:type="dxa"/>
          </w:tcPr>
          <w:p w14:paraId="635BCCA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C805D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46EF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7177C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D182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3" w:type="dxa"/>
          </w:tcPr>
          <w:p w14:paraId="4563C072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DAA51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4B0096A9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7401E2C7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Brain MRI scan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16</w:t>
            </w:r>
          </w:p>
        </w:tc>
        <w:tc>
          <w:tcPr>
            <w:tcW w:w="1134" w:type="dxa"/>
          </w:tcPr>
          <w:p w14:paraId="0765D44C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8E1F94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5E64E8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51E09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1BF33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4B0BFCD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ADEC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</w:tr>
      <w:tr w:rsidR="003E18B7" w:rsidRPr="0066476F" w14:paraId="6BAA1799" w14:textId="77777777" w:rsidTr="006A493B">
        <w:trPr>
          <w:trHeight w:val="220"/>
        </w:trPr>
        <w:tc>
          <w:tcPr>
            <w:tcW w:w="2411" w:type="dxa"/>
            <w:shd w:val="clear" w:color="auto" w:fill="auto"/>
            <w:vAlign w:val="center"/>
          </w:tcPr>
          <w:p w14:paraId="70A0B7AB" w14:textId="77777777" w:rsidR="003E18B7" w:rsidRPr="0066476F" w:rsidRDefault="003E18B7" w:rsidP="006A493B">
            <w:pPr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sz w:val="18"/>
                <w:szCs w:val="18"/>
                <w:lang w:val="en-GB"/>
              </w:rPr>
              <w:t>Urine collection for sodium/potassium monitoring</w:t>
            </w:r>
            <w:r w:rsidRPr="0066476F">
              <w:rPr>
                <w:rFonts w:ascii="Arial" w:eastAsia="Calibri" w:hAnsi="Arial" w:cs="Arial"/>
                <w:sz w:val="18"/>
                <w:szCs w:val="18"/>
                <w:vertAlign w:val="superscript"/>
                <w:lang w:val="en-GB"/>
              </w:rPr>
              <w:t>17</w:t>
            </w:r>
          </w:p>
        </w:tc>
        <w:tc>
          <w:tcPr>
            <w:tcW w:w="1134" w:type="dxa"/>
          </w:tcPr>
          <w:p w14:paraId="60B3190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D2F4D5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7756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0E5F0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  <w:r w:rsidRPr="0066476F"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1EE06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4C451ABF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1FDE91" w14:textId="77777777" w:rsidR="003E18B7" w:rsidRPr="0066476F" w:rsidRDefault="003E18B7" w:rsidP="006A493B">
            <w:pPr>
              <w:jc w:val="center"/>
              <w:rPr>
                <w:rFonts w:ascii="Arial" w:eastAsia="Calibri" w:hAnsi="Arial" w:cs="Arial"/>
                <w:caps/>
                <w:sz w:val="18"/>
                <w:szCs w:val="18"/>
                <w:lang w:val="en-GB"/>
              </w:rPr>
            </w:pPr>
          </w:p>
        </w:tc>
      </w:tr>
    </w:tbl>
    <w:p w14:paraId="775827E3" w14:textId="77777777" w:rsidR="003E18B7" w:rsidRPr="0066476F" w:rsidRDefault="003E18B7" w:rsidP="003E18B7">
      <w:pPr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β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hCG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>: β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 xml:space="preserve">human chorionic gonadotropin; BMI: body mass index; ECG: electrocardiogram; EEG: electroencephalogram; FSH: follicle stimulating hormone; </w:t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HBsAg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 xml:space="preserve">: hepatitis B surface antigen; HCV: hepatitis C virus; HIV: human immunodeficiency virus; PD: </w:t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pharmacodynamic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>(s); PK: pharmacokinetic(s); SAD: single ascending dose</w:t>
      </w:r>
    </w:p>
    <w:p w14:paraId="0BFF3178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i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 xml:space="preserve">Subjects will be in the clinic for 2 periods, each period from Day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 until completion of the morning assessments on Day 3. There will be a washout period of at least 14 days between drug administrations. Subjects will return for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up on Day 12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16 of Period 2.</w:t>
      </w:r>
    </w:p>
    <w:p w14:paraId="581981C3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2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At discharge only a symptom directed physical examination.</w:t>
      </w:r>
    </w:p>
    <w:p w14:paraId="65940661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3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For each subject, the intravenous dose of BN201 or placebo will be based on bodyweight as measured on Day 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1.</w:t>
      </w:r>
    </w:p>
    <w:p w14:paraId="7AC5B0B2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4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 xml:space="preserve">Clinical laboratory (haematology, serum chemistry and urinalysis): at screening, Day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and 1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 on Day 1, at 24 and 48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 and at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up. Troponin I will be measured in the serum chemistry samples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and at 24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infusion.</w:t>
      </w:r>
    </w:p>
    <w:p w14:paraId="0D18875E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5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12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lead ECG: single at screening and at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 xml:space="preserve">up. Triplicates on Day 1: at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 xml:space="preserve">0.25,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 xml:space="preserve">0.5 and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0.75 h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dose, at 0.25, 0.5, 0.75, 1 h, 1.25, 1.5, 1.75, 2 h (immediately after the end of infusion), 2.5, 3, 4, 5, 6, 8, 12, 24, 48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infusion. During the treatment period, ECGs are to be taken during the last 5 </w:t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mins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 xml:space="preserve"> of a 10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min period of rest in the supine position, just before blood sampling and vital signs.</w:t>
      </w:r>
    </w:p>
    <w:p w14:paraId="010DC771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6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Telemetry: recorded on Day 1 from at least 1 h before start infusion until at least 8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infusion.</w:t>
      </w:r>
    </w:p>
    <w:p w14:paraId="08A8E690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7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Holter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 xml:space="preserve"> monitoring: recorded on Day 1 from at least 1 h before start infusion until at least 24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infusion.</w:t>
      </w:r>
    </w:p>
    <w:p w14:paraId="52A1D1BE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8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EEGs will be obtained at screening and on Day 1 from 0.5 h before start infusion until at least 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infusion.</w:t>
      </w:r>
    </w:p>
    <w:p w14:paraId="24F84A8B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9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 xml:space="preserve">Vital signs (supine systolic and diastolic blood pressure, pulse): at screening, Day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and 0.5, 1, 2, 4, 12, 24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 on Day 1, and at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 xml:space="preserve">up. Body temperature: at screening, Day 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on Day 1, 24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infusion, and at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up.</w:t>
      </w:r>
    </w:p>
    <w:p w14:paraId="6450707D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10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Only in Period 1.</w:t>
      </w:r>
    </w:p>
    <w:p w14:paraId="7CF85BE0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11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Intravenous infusion with BN201 or placebo for 120 </w:t>
      </w:r>
      <w:proofErr w:type="spellStart"/>
      <w:r w:rsidRPr="0066476F">
        <w:rPr>
          <w:rFonts w:ascii="Arial" w:eastAsia="Calibri" w:hAnsi="Arial" w:cs="Arial"/>
          <w:sz w:val="16"/>
          <w:szCs w:val="16"/>
          <w:lang w:val="en-GB"/>
        </w:rPr>
        <w:t>mins</w:t>
      </w:r>
      <w:proofErr w:type="spellEnd"/>
      <w:r w:rsidRPr="0066476F">
        <w:rPr>
          <w:rFonts w:ascii="Arial" w:eastAsia="Calibri" w:hAnsi="Arial" w:cs="Arial"/>
          <w:sz w:val="16"/>
          <w:szCs w:val="16"/>
          <w:lang w:val="en-GB"/>
        </w:rPr>
        <w:t>. Note: start of infusion is t=0 for all assessments.</w:t>
      </w:r>
    </w:p>
    <w:p w14:paraId="5EE992DD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12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Infusion site reaction: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on Day 1, and at 1, 2, 8, 24, 48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infusion, and at follow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up.</w:t>
      </w:r>
    </w:p>
    <w:p w14:paraId="41B4171B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13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Blood sampling for PK of BN201 in plasma: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and 0.5 h, 1, 1.5, 2 h (immediately after the end of infusion), 2.5, 3, 4, 6, 8, 12, 16, 24 h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infusion on Day 1.</w:t>
      </w:r>
    </w:p>
    <w:p w14:paraId="34E73316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14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Blood sampling for PD of BN201: at pre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dose on Day 1 and at 0.5, 1 and 2 h (immediately after the end of infusion) post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noBreakHyphen/>
        <w:t>start infusion.</w:t>
      </w:r>
    </w:p>
    <w:p w14:paraId="249FA963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15   A blood sample for genotyping will be taken post-dose on Day 1 of period 1 only</w:t>
      </w:r>
    </w:p>
    <w:p w14:paraId="1C31FF01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16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</w:r>
      <w:r w:rsidRPr="0066476F">
        <w:rPr>
          <w:rFonts w:ascii="Arial" w:hAnsi="Arial" w:cs="Arial"/>
          <w:sz w:val="16"/>
          <w:szCs w:val="16"/>
        </w:rPr>
        <w:t>A brain MRI scan will be performed during the screening period which will also serve as a baseline measurement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>.</w:t>
      </w:r>
    </w:p>
    <w:p w14:paraId="45107A24" w14:textId="77777777" w:rsidR="003E18B7" w:rsidRPr="0066476F" w:rsidRDefault="003E18B7" w:rsidP="003E18B7">
      <w:pPr>
        <w:tabs>
          <w:tab w:val="left" w:pos="284"/>
        </w:tabs>
        <w:ind w:left="284" w:hanging="284"/>
        <w:rPr>
          <w:rFonts w:ascii="Arial" w:eastAsia="Calibri" w:hAnsi="Arial" w:cs="Arial"/>
          <w:sz w:val="16"/>
          <w:szCs w:val="16"/>
          <w:lang w:val="en-GB"/>
        </w:rPr>
      </w:pPr>
      <w:r w:rsidRPr="0066476F">
        <w:rPr>
          <w:rFonts w:ascii="Arial" w:eastAsia="Calibri" w:hAnsi="Arial" w:cs="Arial"/>
          <w:sz w:val="16"/>
          <w:szCs w:val="16"/>
          <w:lang w:val="en-GB"/>
        </w:rPr>
        <w:t>17</w:t>
      </w:r>
      <w:r w:rsidRPr="0066476F">
        <w:rPr>
          <w:rFonts w:ascii="Arial" w:eastAsia="Calibri" w:hAnsi="Arial" w:cs="Arial"/>
          <w:sz w:val="16"/>
          <w:szCs w:val="16"/>
          <w:lang w:val="en-GB"/>
        </w:rPr>
        <w:tab/>
        <w:t>Urine will be collected for sodium/potassium monitoring from admission to the clinic on Day -1 until pre-dose, then from dosing until 24 h post dose.</w:t>
      </w:r>
    </w:p>
    <w:p w14:paraId="5DD66709" w14:textId="5207B71B" w:rsidR="00B11FBC" w:rsidRDefault="00B11FBC">
      <w:r>
        <w:br w:type="page"/>
      </w:r>
    </w:p>
    <w:p w14:paraId="17143F19" w14:textId="77777777" w:rsidR="00B11FBC" w:rsidRDefault="00B11FBC" w:rsidP="00B11FBC">
      <w:pPr>
        <w:pStyle w:val="Caption"/>
        <w:pageBreakBefore/>
        <w:tabs>
          <w:tab w:val="left" w:pos="1134"/>
        </w:tabs>
        <w:spacing w:after="40"/>
        <w:ind w:left="1134" w:hanging="1134"/>
        <w:rPr>
          <w:rFonts w:cs="Arial"/>
          <w:szCs w:val="22"/>
        </w:rPr>
      </w:pPr>
      <w:bookmarkStart w:id="5" w:name="_Toc425762580"/>
      <w:r w:rsidRPr="004C5CBA">
        <w:rPr>
          <w:rFonts w:cs="Arial"/>
          <w:szCs w:val="22"/>
        </w:rPr>
        <w:t>Table </w:t>
      </w:r>
      <w:r>
        <w:rPr>
          <w:rFonts w:cs="Arial"/>
          <w:szCs w:val="22"/>
        </w:rPr>
        <w:fldChar w:fldCharType="begin"/>
      </w:r>
      <w:r>
        <w:rPr>
          <w:rFonts w:cs="Arial"/>
          <w:szCs w:val="22"/>
        </w:rPr>
        <w:instrText xml:space="preserve"> SEQ Table \* ARABIC </w:instrText>
      </w:r>
      <w:r>
        <w:rPr>
          <w:rFonts w:cs="Arial"/>
          <w:szCs w:val="22"/>
        </w:rPr>
        <w:fldChar w:fldCharType="separate"/>
      </w:r>
      <w:r>
        <w:rPr>
          <w:rFonts w:cs="Arial"/>
          <w:noProof/>
          <w:szCs w:val="22"/>
        </w:rPr>
        <w:t>2</w:t>
      </w:r>
      <w:r>
        <w:rPr>
          <w:rFonts w:cs="Arial"/>
          <w:szCs w:val="22"/>
        </w:rPr>
        <w:fldChar w:fldCharType="end"/>
      </w:r>
      <w:r w:rsidRPr="004C5CBA">
        <w:rPr>
          <w:rFonts w:cs="Arial"/>
          <w:szCs w:val="22"/>
        </w:rPr>
        <w:tab/>
        <w:t>Schedule of Assessments – Part B (MAD</w:t>
      </w:r>
      <w:r>
        <w:rPr>
          <w:rFonts w:cs="Arial"/>
          <w:szCs w:val="22"/>
        </w:rPr>
        <w:t xml:space="preserve"> Part</w:t>
      </w:r>
      <w:r w:rsidRPr="004C5CBA">
        <w:rPr>
          <w:rFonts w:cs="Arial"/>
          <w:szCs w:val="22"/>
        </w:rPr>
        <w:t>)</w:t>
      </w:r>
      <w:bookmarkEnd w:id="5"/>
    </w:p>
    <w:p w14:paraId="7EC5613E" w14:textId="77777777" w:rsidR="00B11FBC" w:rsidRDefault="00B11FBC" w:rsidP="00B11FBC"/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992"/>
        <w:gridCol w:w="777"/>
        <w:gridCol w:w="782"/>
        <w:gridCol w:w="599"/>
        <w:gridCol w:w="599"/>
        <w:gridCol w:w="599"/>
        <w:gridCol w:w="599"/>
        <w:gridCol w:w="599"/>
        <w:gridCol w:w="599"/>
        <w:gridCol w:w="599"/>
        <w:gridCol w:w="844"/>
      </w:tblGrid>
      <w:tr w:rsidR="00B11FBC" w:rsidRPr="008558C9" w14:paraId="36433ED8" w14:textId="77777777" w:rsidTr="006A493B">
        <w:trPr>
          <w:trHeight w:val="41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5308C71" w14:textId="77777777" w:rsidR="00B11FBC" w:rsidRPr="008558C9" w:rsidRDefault="00B11FBC" w:rsidP="006A493B">
            <w:pPr>
              <w:rPr>
                <w:rFonts w:ascii="Arial" w:eastAsia="Calibri" w:hAnsi="Arial" w:cs="Arial"/>
                <w:b/>
                <w:bCs/>
                <w:sz w:val="17"/>
                <w:szCs w:val="17"/>
                <w:lang w:val="en-GB"/>
              </w:rPr>
            </w:pPr>
          </w:p>
        </w:tc>
        <w:tc>
          <w:tcPr>
            <w:tcW w:w="7588" w:type="dxa"/>
            <w:gridSpan w:val="11"/>
            <w:vAlign w:val="center"/>
          </w:tcPr>
          <w:p w14:paraId="6288D43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Assessment Period</w:t>
            </w:r>
            <w:r w:rsidRPr="008558C9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en-GB"/>
              </w:rPr>
              <w:t>1</w:t>
            </w:r>
          </w:p>
        </w:tc>
      </w:tr>
      <w:tr w:rsidR="00B11FBC" w:rsidRPr="008558C9" w14:paraId="59CFB7AA" w14:textId="77777777" w:rsidTr="006A493B">
        <w:trPr>
          <w:trHeight w:val="359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CCEA2A9" w14:textId="77777777" w:rsidR="00B11FBC" w:rsidRPr="008558C9" w:rsidRDefault="00B11FBC" w:rsidP="006A493B">
            <w:pPr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Visit</w:t>
            </w:r>
          </w:p>
        </w:tc>
        <w:tc>
          <w:tcPr>
            <w:tcW w:w="992" w:type="dxa"/>
            <w:vMerge w:val="restart"/>
            <w:vAlign w:val="center"/>
          </w:tcPr>
          <w:p w14:paraId="2E42FE18" w14:textId="77777777" w:rsidR="00B11FBC" w:rsidRPr="008558C9" w:rsidRDefault="00B11FBC" w:rsidP="006A493B">
            <w:pPr>
              <w:ind w:left="-108" w:right="-108"/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Screening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B1AAA3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Pre</w:t>
            </w: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noBreakHyphen/>
              <w:t>Treatment</w:t>
            </w:r>
          </w:p>
        </w:tc>
        <w:tc>
          <w:tcPr>
            <w:tcW w:w="4193" w:type="dxa"/>
            <w:gridSpan w:val="7"/>
            <w:shd w:val="clear" w:color="auto" w:fill="auto"/>
            <w:vAlign w:val="center"/>
          </w:tcPr>
          <w:p w14:paraId="2902105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Treatment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F39070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Follow</w:t>
            </w: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noBreakHyphen/>
              <w:t>up</w:t>
            </w:r>
            <w:r w:rsidRPr="008558C9">
              <w:rPr>
                <w:rFonts w:ascii="Arial" w:eastAsia="Calibri" w:hAnsi="Arial" w:cs="Arial"/>
                <w:b/>
                <w:sz w:val="17"/>
                <w:szCs w:val="17"/>
                <w:vertAlign w:val="superscript"/>
                <w:lang w:val="en-GB"/>
              </w:rPr>
              <w:t>1</w:t>
            </w:r>
          </w:p>
        </w:tc>
      </w:tr>
      <w:tr w:rsidR="00B11FBC" w:rsidRPr="008558C9" w14:paraId="2A17E238" w14:textId="77777777" w:rsidTr="006A493B">
        <w:trPr>
          <w:trHeight w:val="722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0C5D4F8" w14:textId="77777777" w:rsidR="00B11FBC" w:rsidRPr="008558C9" w:rsidRDefault="00B11FBC" w:rsidP="006A493B">
            <w:pPr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sz w:val="17"/>
                <w:szCs w:val="17"/>
                <w:lang w:val="en-GB"/>
              </w:rPr>
              <w:t>Study Day</w:t>
            </w:r>
          </w:p>
        </w:tc>
        <w:tc>
          <w:tcPr>
            <w:tcW w:w="992" w:type="dxa"/>
            <w:vMerge/>
            <w:vAlign w:val="center"/>
          </w:tcPr>
          <w:p w14:paraId="1087EA4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4932E0B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noBreakHyphen/>
              <w:t>1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FE36DD3" w14:textId="77777777" w:rsidR="00B11FBC" w:rsidRPr="008558C9" w:rsidRDefault="00B11FBC" w:rsidP="006A493B">
            <w:pPr>
              <w:ind w:left="-98" w:right="-111"/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1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br/>
              <w:t>(Pre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noBreakHyphen/>
            </w:r>
            <w:r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 xml:space="preserve"> 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dose)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2F90AF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</w:t>
            </w:r>
            <w:r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 xml:space="preserve"> 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1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726CBB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 2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661525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 3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E9FC19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 4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1D1D73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 5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A39C5B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 6</w:t>
            </w:r>
          </w:p>
        </w:tc>
        <w:tc>
          <w:tcPr>
            <w:tcW w:w="599" w:type="dxa"/>
            <w:vAlign w:val="center"/>
          </w:tcPr>
          <w:p w14:paraId="1563304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</w:t>
            </w:r>
            <w:r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 xml:space="preserve"> 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 xml:space="preserve"> 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93F3D1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Day 15</w:t>
            </w:r>
            <w:r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 xml:space="preserve"> </w:t>
            </w:r>
            <w:r w:rsidRPr="008558C9">
              <w:rPr>
                <w:rFonts w:ascii="Arial" w:eastAsia="Calibri" w:hAnsi="Arial" w:cs="Arial"/>
                <w:b/>
                <w:iCs/>
                <w:sz w:val="17"/>
                <w:szCs w:val="17"/>
                <w:lang w:val="en-GB"/>
              </w:rPr>
              <w:t>(±2 days)</w:t>
            </w:r>
          </w:p>
        </w:tc>
      </w:tr>
      <w:tr w:rsidR="00B11FBC" w:rsidRPr="008558C9" w14:paraId="6EA058A9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14E34AA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Confinement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</w:t>
            </w:r>
          </w:p>
        </w:tc>
        <w:tc>
          <w:tcPr>
            <w:tcW w:w="992" w:type="dxa"/>
          </w:tcPr>
          <w:p w14:paraId="6047520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2B236C9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90A2C6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656712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D403AD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41F0B9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60DBCB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80D65D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507B25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1352261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518B78A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</w:tr>
      <w:tr w:rsidR="00B11FBC" w:rsidRPr="008558C9" w14:paraId="41682527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8763BDD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Ambulatory</w:t>
            </w:r>
          </w:p>
        </w:tc>
        <w:tc>
          <w:tcPr>
            <w:tcW w:w="992" w:type="dxa"/>
          </w:tcPr>
          <w:p w14:paraId="0AE3597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EECDFD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053DCE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C4E3A5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02042D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0B01C6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3E520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4DE336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B67EF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7D4BD69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6174302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6BA84A6F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36632F7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Admission</w:t>
            </w:r>
          </w:p>
        </w:tc>
        <w:tc>
          <w:tcPr>
            <w:tcW w:w="992" w:type="dxa"/>
          </w:tcPr>
          <w:p w14:paraId="12BE19D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21F29E2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3AA35D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3DFE2E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F1180E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D8BF45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D298B3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DCDABB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6409DD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47F4E4B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8F78B5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70ABD265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23C8461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Informed Consent?</w:t>
            </w:r>
          </w:p>
        </w:tc>
        <w:tc>
          <w:tcPr>
            <w:tcW w:w="992" w:type="dxa"/>
          </w:tcPr>
          <w:p w14:paraId="56AF410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X?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C5F51F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FD813B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9736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14C1B8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FC96C1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D44FBA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77508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E59CFB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76829CE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BCA730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</w:tr>
      <w:tr w:rsidR="00B11FBC" w:rsidRPr="008558C9" w14:paraId="3846AB6F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AB35A64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Discharge</w:t>
            </w:r>
          </w:p>
        </w:tc>
        <w:tc>
          <w:tcPr>
            <w:tcW w:w="992" w:type="dxa"/>
          </w:tcPr>
          <w:p w14:paraId="1D9F5EC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0604F2A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6DEE1F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F908C8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6B631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DC6547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CA2EF2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1BEC06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DE72F1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1905733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1230A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</w:p>
        </w:tc>
      </w:tr>
      <w:tr w:rsidR="00B11FBC" w:rsidRPr="008558C9" w14:paraId="7B846E76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A2B9912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Physical examination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</w:tcPr>
          <w:p w14:paraId="459BFB0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BF99A2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19A970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2A042A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92AD8F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BD2533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ECF07D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76BEEF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2BB2DE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61DBFAC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F2FE58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7B63AC79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28E9496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Medical History</w:t>
            </w:r>
          </w:p>
        </w:tc>
        <w:tc>
          <w:tcPr>
            <w:tcW w:w="992" w:type="dxa"/>
          </w:tcPr>
          <w:p w14:paraId="52E711B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5A051E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274023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7868B6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F9F569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ECAE7E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9306AF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183F62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E86CBA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4440646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5593C1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646F1A86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9DCA80D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Demographics</w:t>
            </w:r>
          </w:p>
        </w:tc>
        <w:tc>
          <w:tcPr>
            <w:tcW w:w="992" w:type="dxa"/>
          </w:tcPr>
          <w:p w14:paraId="6127CB9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EB9798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C771F0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0EF4A1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6F9D3F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946218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281B7C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573FE7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DF53B4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3EEDCF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D9EE97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719CAEA9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5596B89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Body weight and height (including BMI calculation)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3</w:t>
            </w:r>
          </w:p>
        </w:tc>
        <w:tc>
          <w:tcPr>
            <w:tcW w:w="992" w:type="dxa"/>
          </w:tcPr>
          <w:p w14:paraId="227F2CF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3ED543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3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2C5140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D9D498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61A676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DFCDBF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88E6F0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B45A45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9BED78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595E3C5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F3EA7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3</w:t>
            </w:r>
          </w:p>
        </w:tc>
      </w:tr>
      <w:tr w:rsidR="00B11FBC" w:rsidRPr="008558C9" w14:paraId="78FB79AC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2E58807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β</w:t>
            </w: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noBreakHyphen/>
            </w:r>
            <w:proofErr w:type="spellStart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hCG</w:t>
            </w:r>
            <w:proofErr w:type="spellEnd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 xml:space="preserve"> pregnancy test (females only)</w:t>
            </w:r>
          </w:p>
        </w:tc>
        <w:tc>
          <w:tcPr>
            <w:tcW w:w="992" w:type="dxa"/>
          </w:tcPr>
          <w:p w14:paraId="5AA0271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D099B0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48DB31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B1D294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8C4E55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49F8AC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79AFEE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030E5D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EED41D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F04AB4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12CA67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77530CDC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277B624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FSH (females only)</w:t>
            </w:r>
          </w:p>
        </w:tc>
        <w:tc>
          <w:tcPr>
            <w:tcW w:w="992" w:type="dxa"/>
          </w:tcPr>
          <w:p w14:paraId="25936A4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3601E0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96CA0E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766684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EBB773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8DA13E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13AA6B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2198DF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969443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766B680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1835B5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59F29533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8215D57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 xml:space="preserve">Serology (HIV, </w:t>
            </w:r>
            <w:proofErr w:type="spellStart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HBsAg</w:t>
            </w:r>
            <w:proofErr w:type="spellEnd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, HCV)</w:t>
            </w:r>
          </w:p>
        </w:tc>
        <w:tc>
          <w:tcPr>
            <w:tcW w:w="992" w:type="dxa"/>
          </w:tcPr>
          <w:p w14:paraId="4306B18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2D5DA4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1243CF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642F7B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2250AB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219821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79FDA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A7E46E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972B54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00A148D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6738CE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5BE05364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A52ABCE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Drug and alcohol screen</w:t>
            </w:r>
          </w:p>
        </w:tc>
        <w:tc>
          <w:tcPr>
            <w:tcW w:w="992" w:type="dxa"/>
          </w:tcPr>
          <w:p w14:paraId="6095D55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6F26BD8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C41CA1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2F2E3D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B1BA93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3865D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1A803D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5A7DFA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43C5C1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6AA4D3D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505EB20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61F64394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7EBFA8B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Clinical laboratory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4</w:t>
            </w:r>
          </w:p>
        </w:tc>
        <w:tc>
          <w:tcPr>
            <w:tcW w:w="992" w:type="dxa"/>
          </w:tcPr>
          <w:p w14:paraId="42F790D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E7B987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694CE5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5BCD9E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8FFC4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7126C0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8C792A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B50D98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7B6860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1040C74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0290D7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3BB6736F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F8B6B31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12</w:t>
            </w: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noBreakHyphen/>
              <w:t>lead ECG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5</w:t>
            </w:r>
          </w:p>
        </w:tc>
        <w:tc>
          <w:tcPr>
            <w:tcW w:w="992" w:type="dxa"/>
          </w:tcPr>
          <w:p w14:paraId="629C1C4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9F4C13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5DA4CEB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69A3E3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65246C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D724F5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55A403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25DD9F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57EBE4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6A57825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A2F17F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16D9902D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1773EF7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Telemetry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6</w:t>
            </w:r>
          </w:p>
        </w:tc>
        <w:tc>
          <w:tcPr>
            <w:tcW w:w="992" w:type="dxa"/>
          </w:tcPr>
          <w:p w14:paraId="36B77B2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37FD20F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4E6D01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5C8ED5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845582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752AEB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04D22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FF2D2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974558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5F033CD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A42FC6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431D39E3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37CCDE3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Vital signs, and body temperature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7</w:t>
            </w:r>
          </w:p>
        </w:tc>
        <w:tc>
          <w:tcPr>
            <w:tcW w:w="992" w:type="dxa"/>
          </w:tcPr>
          <w:p w14:paraId="55F3588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3971AF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6F14D5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231E37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EEF4D2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D6FA89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FA4419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B75EED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657863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76C3DD7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3140C0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13775F62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34283CB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Eligibility check</w:t>
            </w:r>
          </w:p>
        </w:tc>
        <w:tc>
          <w:tcPr>
            <w:tcW w:w="992" w:type="dxa"/>
          </w:tcPr>
          <w:p w14:paraId="39C6E3C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E1D2BC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6024322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7A4CDF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87F829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EC16AE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D2E81B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C33685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B363B5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3A8FC7A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8EA66D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7EB07957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592E4F4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Randomisation</w:t>
            </w:r>
          </w:p>
        </w:tc>
        <w:tc>
          <w:tcPr>
            <w:tcW w:w="992" w:type="dxa"/>
          </w:tcPr>
          <w:p w14:paraId="4F6640E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20D3C23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6CEA6F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0E7927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EEBB9E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4487DF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C14F72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B5A29C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D024B6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C13958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65BE6C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4ADDE715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32BE8C7" w14:textId="77777777" w:rsidR="00B11FBC" w:rsidRPr="008558C9" w:rsidRDefault="00B11FBC" w:rsidP="006A493B">
            <w:pPr>
              <w:pStyle w:val="AttachmentText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</w:tabs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Study drug administration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8</w:t>
            </w:r>
          </w:p>
        </w:tc>
        <w:tc>
          <w:tcPr>
            <w:tcW w:w="992" w:type="dxa"/>
          </w:tcPr>
          <w:p w14:paraId="568E02F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2114B46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25A3BE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AB9986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D18DF8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E43AFF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5C21E2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30B70F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8F9B9C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trike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F58DF6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2F7F8A0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2CFBB93F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DF6FC9A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Infusion site reaction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9</w:t>
            </w:r>
          </w:p>
        </w:tc>
        <w:tc>
          <w:tcPr>
            <w:tcW w:w="992" w:type="dxa"/>
          </w:tcPr>
          <w:p w14:paraId="47456FF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4DE556A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7239610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E4B99F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55E658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169F33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8A4528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2FF052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C7633D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7DAF843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516F116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2B1218AA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FFE6008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C</w:t>
            </w: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noBreakHyphen/>
              <w:t>SSRS questionnaire</w:t>
            </w:r>
          </w:p>
        </w:tc>
        <w:tc>
          <w:tcPr>
            <w:tcW w:w="992" w:type="dxa"/>
          </w:tcPr>
          <w:p w14:paraId="6CB6EAF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060302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524849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5004E3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7C5128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E65C07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09601E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4D9C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41B4A59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4A40EE4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80175D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2F881D20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048F2A5" w14:textId="77777777" w:rsidR="00B11FBC" w:rsidRPr="008558C9" w:rsidRDefault="00B11FBC" w:rsidP="006A493B">
            <w:pPr>
              <w:pStyle w:val="AttachmentText"/>
              <w:widowControl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</w:tabs>
              <w:rPr>
                <w:rFonts w:ascii="Arial" w:eastAsia="Calibri" w:hAnsi="Arial" w:cs="Arial"/>
                <w:iC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iCs/>
                <w:sz w:val="17"/>
                <w:szCs w:val="17"/>
                <w:lang w:val="en-GB"/>
              </w:rPr>
              <w:t>QST and VAS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10</w:t>
            </w:r>
          </w:p>
        </w:tc>
        <w:tc>
          <w:tcPr>
            <w:tcW w:w="992" w:type="dxa"/>
          </w:tcPr>
          <w:p w14:paraId="3991895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1F4DDF7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098389F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64F99A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6C5560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B815E1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D04AB7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732FD2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A2588F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D05665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334114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0ED68257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3D214FE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Blood sampling for PK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11</w:t>
            </w:r>
          </w:p>
        </w:tc>
        <w:tc>
          <w:tcPr>
            <w:tcW w:w="992" w:type="dxa"/>
          </w:tcPr>
          <w:p w14:paraId="7D7C08D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1A6D407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6C4F970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462F54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367EAE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4AA5D8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6D3E3A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9D274E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9DBDB4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6278C57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E3CD57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2A8BD15A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652EEFD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Blood sampling for PD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12</w:t>
            </w:r>
          </w:p>
        </w:tc>
        <w:tc>
          <w:tcPr>
            <w:tcW w:w="992" w:type="dxa"/>
          </w:tcPr>
          <w:p w14:paraId="46A7404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1959612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4F1A11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4BE9DF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FBFE58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FD6289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5E0F98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2D0CE5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F88987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364E54F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61F51A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67C2ACE8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0EB3C57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Blood sample for genotyping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13</w:t>
            </w:r>
          </w:p>
        </w:tc>
        <w:tc>
          <w:tcPr>
            <w:tcW w:w="992" w:type="dxa"/>
          </w:tcPr>
          <w:p w14:paraId="6B76BCD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453802F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10D581E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9E4ACF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4CD69B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5D320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D53FD6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2CEBE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862B91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7E63555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3CE98A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63981F26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2703E9D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Previous and concomitant medication</w:t>
            </w:r>
          </w:p>
        </w:tc>
        <w:tc>
          <w:tcPr>
            <w:tcW w:w="992" w:type="dxa"/>
          </w:tcPr>
          <w:p w14:paraId="171EC9F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33662F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287F88F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FB5CFB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CEE2F2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893507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683D88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B15817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314795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337FC09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70D483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20E84710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DEFE558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Adverse event monitoring</w:t>
            </w:r>
          </w:p>
        </w:tc>
        <w:tc>
          <w:tcPr>
            <w:tcW w:w="992" w:type="dxa"/>
          </w:tcPr>
          <w:p w14:paraId="573E5A6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0E1FF24D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7A9F1A4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4BF4F3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7A4EA08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357274E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2FB8B9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7264F1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63B4B9D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2749419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4065EAA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2B31394D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9FAF959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EEG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14</w:t>
            </w:r>
          </w:p>
        </w:tc>
        <w:tc>
          <w:tcPr>
            <w:tcW w:w="992" w:type="dxa"/>
          </w:tcPr>
          <w:p w14:paraId="7C3C783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36DCA84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A2F8A2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D49B8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35FEA0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1A0FF4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86E3B9C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7F189F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846AEB5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2AA937C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8CCFDC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354C2BC0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A700FAC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</w:pPr>
            <w:proofErr w:type="spellStart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Holter</w:t>
            </w:r>
            <w:proofErr w:type="spellEnd"/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 xml:space="preserve"> monitoring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15</w:t>
            </w:r>
          </w:p>
        </w:tc>
        <w:tc>
          <w:tcPr>
            <w:tcW w:w="992" w:type="dxa"/>
          </w:tcPr>
          <w:p w14:paraId="5816050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5FCB218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0ED1FEE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92D9D7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5FFCAF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1AE1B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F51FDD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845BE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BC6803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59327D6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010198B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  <w:tr w:rsidR="00B11FBC" w:rsidRPr="008558C9" w14:paraId="541A137F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6372FFB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MRI Scan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16</w:t>
            </w:r>
          </w:p>
        </w:tc>
        <w:tc>
          <w:tcPr>
            <w:tcW w:w="992" w:type="dxa"/>
          </w:tcPr>
          <w:p w14:paraId="4E387D3F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6829BFF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4B5432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8DE681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74C1F48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E5900B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77C89F3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FC50EA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04C00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599" w:type="dxa"/>
          </w:tcPr>
          <w:p w14:paraId="13007757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13EF0832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</w:tr>
      <w:tr w:rsidR="00B11FBC" w:rsidRPr="008558C9" w14:paraId="6B284618" w14:textId="77777777" w:rsidTr="006A493B">
        <w:trPr>
          <w:trHeight w:val="18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76AC4DC" w14:textId="77777777" w:rsidR="00B11FBC" w:rsidRPr="008558C9" w:rsidRDefault="00B11FBC" w:rsidP="006A493B">
            <w:pPr>
              <w:rPr>
                <w:rFonts w:ascii="Arial" w:eastAsia="Calibri" w:hAnsi="Arial" w:cs="Arial"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sz w:val="17"/>
                <w:szCs w:val="17"/>
                <w:lang w:val="en-GB"/>
              </w:rPr>
              <w:t>Urine collection for sodium/potassium monitoring</w:t>
            </w:r>
            <w:r w:rsidRPr="008558C9">
              <w:rPr>
                <w:rFonts w:ascii="Arial" w:eastAsia="Calibri" w:hAnsi="Arial" w:cs="Arial"/>
                <w:sz w:val="17"/>
                <w:szCs w:val="17"/>
                <w:vertAlign w:val="superscript"/>
                <w:lang w:val="en-GB"/>
              </w:rPr>
              <w:t>17</w:t>
            </w:r>
          </w:p>
        </w:tc>
        <w:tc>
          <w:tcPr>
            <w:tcW w:w="992" w:type="dxa"/>
          </w:tcPr>
          <w:p w14:paraId="260ED79B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22722B2E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10EF3D5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4510B381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2CC33C9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8F8802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5059A924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1ABABAC6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  <w:shd w:val="clear" w:color="auto" w:fill="auto"/>
            <w:vAlign w:val="center"/>
          </w:tcPr>
          <w:p w14:paraId="089BF89A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  <w:r w:rsidRPr="008558C9"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  <w:t>X</w:t>
            </w:r>
          </w:p>
        </w:tc>
        <w:tc>
          <w:tcPr>
            <w:tcW w:w="599" w:type="dxa"/>
          </w:tcPr>
          <w:p w14:paraId="629CE80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387E9509" w14:textId="77777777" w:rsidR="00B11FBC" w:rsidRPr="008558C9" w:rsidRDefault="00B11FBC" w:rsidP="006A493B">
            <w:pPr>
              <w:jc w:val="center"/>
              <w:rPr>
                <w:rFonts w:ascii="Arial" w:eastAsia="Calibri" w:hAnsi="Arial" w:cs="Arial"/>
                <w:caps/>
                <w:sz w:val="17"/>
                <w:szCs w:val="17"/>
                <w:lang w:val="en-GB"/>
              </w:rPr>
            </w:pPr>
          </w:p>
        </w:tc>
      </w:tr>
    </w:tbl>
    <w:p w14:paraId="03160008" w14:textId="77777777" w:rsidR="00B11FBC" w:rsidRPr="008558C9" w:rsidRDefault="00B11FBC" w:rsidP="00B11FBC">
      <w:pPr>
        <w:pStyle w:val="ListParagraph"/>
        <w:ind w:left="0"/>
        <w:rPr>
          <w:rFonts w:ascii="Arial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β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hCG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>: β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human chorionic gonadotropin; BMI: body mass index; C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SSRS: Columbia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 xml:space="preserve">Suicide Severity Rating Scale; ECG: electrocardiogram; FSH: follicle stimulating hormone; 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HBsAg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: hepatitis B surface antigen; HCV: hepatitis C virus; HIV: human immunodeficiency virus; MAD: multiple ascending dose; PD: 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pharmacodynamic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>(s); PK: pharmacokinetic(s); QST: quantitative sensory testing; VAS: visual analogue scale</w:t>
      </w:r>
    </w:p>
    <w:p w14:paraId="7E0BE960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rPr>
          <w:rFonts w:ascii="Arial" w:hAnsi="Arial" w:cs="Arial"/>
          <w:sz w:val="16"/>
          <w:szCs w:val="16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Subjects will be in the clinical research centre from the morning of Day 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1 until completion of the morning assessments on Day 7.</w:t>
      </w:r>
    </w:p>
    <w:p w14:paraId="2A050A1B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At discharge only a symptom directed physical examination.</w:t>
      </w:r>
    </w:p>
    <w:p w14:paraId="1E616C87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For each subject, the intravenous dose of BN201 or placebo will be based on bodyweight as measured on Day 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1.</w:t>
      </w:r>
    </w:p>
    <w:p w14:paraId="1A8D2BCC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Clinical laboratory (haematology, serum chemistry and urinalysis) at screening, on Day 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on Days 1, 3 and 5, on Day 6 , Day 7 , and at follow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up. Troponin I will be measured in the serum chemistry samples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on Day 1 and on Day 6.</w:t>
      </w:r>
    </w:p>
    <w:p w14:paraId="34D5DFCA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Standard single 12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lead ECG: at screening, from Day 1 to Day 4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and 2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infusion, on Day 5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and at 0.5 h, 1 h, 1.5, 2 (immediately after the end of infusion), 3, 4, 6, 8, 16, 24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infusion, and at follow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up. During treatment period the ECGs are to be taken after 10 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mins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 rest in the supine position, before blood sampling and vital signs. </w:t>
      </w:r>
    </w:p>
    <w:p w14:paraId="0BF72872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Telemetry: On Day 1 and Day 5 from at least 1 h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until at least 12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 xml:space="preserve">infusion. </w:t>
      </w:r>
    </w:p>
    <w:p w14:paraId="23D74BA6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Vital signs (supine systolic and diastolic blood pressure, pulse): at screening, on Day 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and 0.5, 1, 2, 4, 12, 24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 on Days 1 and 5,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on Days 2, 3 and 4, and at follow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 xml:space="preserve">up. Body temperature at screening, on Day 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1,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on Days 1, 3 and 5, on Day 6, and at follow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up.</w:t>
      </w:r>
    </w:p>
    <w:p w14:paraId="157DD58E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Intravenous infusion with BN201 or placebo for 120 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mins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 once daily for consecutive 5 days (from Day 1 to Day 5). Note: start of infusion is t=0 for all assessments.</w:t>
      </w:r>
    </w:p>
    <w:p w14:paraId="17766F8C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Infusion site reaction: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from Day 1 to Day 6, and at follow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up.</w:t>
      </w:r>
    </w:p>
    <w:p w14:paraId="35A201DC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QST for 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mechano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 xml:space="preserve">sensitivity and VAS for spontaneous pain: at baseline on Day 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 xml:space="preserve">1 and on Day 5 (close to </w:t>
      </w: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t</w:t>
      </w:r>
      <w:r w:rsidRPr="008558C9">
        <w:rPr>
          <w:rFonts w:ascii="Arial" w:eastAsia="Calibri" w:hAnsi="Arial" w:cs="Arial"/>
          <w:sz w:val="16"/>
          <w:szCs w:val="16"/>
          <w:vertAlign w:val="subscript"/>
          <w:lang w:val="en-GB"/>
        </w:rPr>
        <w:t>max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>, to be decided based on logistical feasibility)</w:t>
      </w:r>
    </w:p>
    <w:p w14:paraId="232E3103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Blood sampling for PK of BN201 in plasma: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and 0.5 h, 1 h, 1.5, 2 (immediately after the end of infusion), 2.5, 3, 4, 6, 8, 12, 16, 24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 on Days 1 and 5, and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on Days 3 and 4.</w:t>
      </w:r>
    </w:p>
    <w:p w14:paraId="3E1AFCA2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Blood sampling for PD of BN201: on each dosing day (Day 1 to Day 5) at pre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dose and at 0.5, 1 and 2 h (immediately after the end of infusion)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 infusion and on Day 6.</w:t>
      </w:r>
    </w:p>
    <w:p w14:paraId="2C5AA3B3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A blood sample for genotyping will be taken post-dose on Day 1 of period 1 only.</w:t>
      </w:r>
    </w:p>
    <w:p w14:paraId="2C46E37E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EEGs will be obtained at screening and on Day 1 and Day 5 from 0.5 h before start infusion until at least 4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infusion. EEG monitoring only performed for Part B Cohort 2 if indicated from results from Part B Cohort 1.</w:t>
      </w:r>
      <w:r w:rsidRPr="008558C9" w:rsidDel="00A721B4">
        <w:rPr>
          <w:rFonts w:ascii="Arial" w:eastAsia="Calibri" w:hAnsi="Arial" w:cs="Arial"/>
          <w:sz w:val="16"/>
          <w:szCs w:val="16"/>
          <w:lang w:val="en-GB"/>
        </w:rPr>
        <w:t xml:space="preserve"> </w:t>
      </w:r>
    </w:p>
    <w:p w14:paraId="36922DF8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proofErr w:type="spellStart"/>
      <w:r w:rsidRPr="008558C9">
        <w:rPr>
          <w:rFonts w:ascii="Arial" w:eastAsia="Calibri" w:hAnsi="Arial" w:cs="Arial"/>
          <w:sz w:val="16"/>
          <w:szCs w:val="16"/>
          <w:lang w:val="en-GB"/>
        </w:rPr>
        <w:t>Holter</w:t>
      </w:r>
      <w:proofErr w:type="spellEnd"/>
      <w:r w:rsidRPr="008558C9">
        <w:rPr>
          <w:rFonts w:ascii="Arial" w:eastAsia="Calibri" w:hAnsi="Arial" w:cs="Arial"/>
          <w:sz w:val="16"/>
          <w:szCs w:val="16"/>
          <w:lang w:val="en-GB"/>
        </w:rPr>
        <w:t xml:space="preserve"> monitoring: recorded on Day 1 and Day 5 from at least 1 h before start infusion until at least 24 h post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start</w:t>
      </w:r>
      <w:r w:rsidRPr="008558C9">
        <w:rPr>
          <w:rFonts w:ascii="Arial" w:eastAsia="Calibri" w:hAnsi="Arial" w:cs="Arial"/>
          <w:sz w:val="16"/>
          <w:szCs w:val="16"/>
          <w:lang w:val="en-GB"/>
        </w:rPr>
        <w:noBreakHyphen/>
        <w:t>infusion.</w:t>
      </w:r>
    </w:p>
    <w:p w14:paraId="20FA4ABA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hAnsi="Arial" w:cs="Arial"/>
          <w:sz w:val="16"/>
          <w:szCs w:val="16"/>
        </w:rPr>
        <w:t>A brain MRI scan will be performed during the screening period which will also serve as a baseline measurement</w:t>
      </w:r>
    </w:p>
    <w:p w14:paraId="3D118DEC" w14:textId="77777777" w:rsidR="00B11FBC" w:rsidRPr="008558C9" w:rsidRDefault="00B11FBC" w:rsidP="00B11FBC">
      <w:pPr>
        <w:pStyle w:val="ListParagraph"/>
        <w:numPr>
          <w:ilvl w:val="0"/>
          <w:numId w:val="2"/>
        </w:numPr>
        <w:ind w:left="426"/>
        <w:jc w:val="both"/>
        <w:rPr>
          <w:rFonts w:ascii="Arial" w:eastAsia="Calibri" w:hAnsi="Arial" w:cs="Arial"/>
          <w:sz w:val="16"/>
          <w:szCs w:val="16"/>
          <w:lang w:val="en-GB"/>
        </w:rPr>
      </w:pPr>
      <w:r w:rsidRPr="008558C9">
        <w:rPr>
          <w:rFonts w:ascii="Arial" w:eastAsia="Calibri" w:hAnsi="Arial" w:cs="Arial"/>
          <w:sz w:val="16"/>
          <w:szCs w:val="16"/>
          <w:lang w:val="en-GB"/>
        </w:rPr>
        <w:t>Urine will be collected for sodium/potassium monitoring from admission to the clinic on Day -1 until pre-dose, then for a 24 h period following each dose.</w:t>
      </w:r>
    </w:p>
    <w:p w14:paraId="0D086B97" w14:textId="77777777" w:rsidR="003E18B7" w:rsidRDefault="003E18B7"/>
    <w:sectPr w:rsidR="003E18B7" w:rsidSect="00A92513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1A00A" w14:textId="77777777" w:rsidR="00DA0E15" w:rsidRDefault="00DA0E15" w:rsidP="003E18B7">
      <w:r>
        <w:separator/>
      </w:r>
    </w:p>
  </w:endnote>
  <w:endnote w:type="continuationSeparator" w:id="0">
    <w:p w14:paraId="3DDA6D49" w14:textId="77777777" w:rsidR="00DA0E15" w:rsidRDefault="00DA0E15" w:rsidP="003E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98FC7" w14:textId="77777777" w:rsidR="00DA0E15" w:rsidRDefault="00DA0E15" w:rsidP="003E18B7">
      <w:r>
        <w:separator/>
      </w:r>
    </w:p>
  </w:footnote>
  <w:footnote w:type="continuationSeparator" w:id="0">
    <w:p w14:paraId="13D388D1" w14:textId="77777777" w:rsidR="00DA0E15" w:rsidRDefault="00DA0E15" w:rsidP="003E1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539641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A12068C" w14:textId="0FE83763" w:rsidR="003E18B7" w:rsidRDefault="003E18B7" w:rsidP="00D02C2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4ABBC3" w14:textId="77777777" w:rsidR="003E18B7" w:rsidRDefault="003E18B7" w:rsidP="003E18B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4601556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FEA01C2" w14:textId="29286DB6" w:rsidR="003E18B7" w:rsidRDefault="003E18B7" w:rsidP="00D02C2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17DC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9D5C47" w14:textId="77777777" w:rsidR="003E18B7" w:rsidRDefault="003E18B7" w:rsidP="003E18B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A343E"/>
    <w:multiLevelType w:val="hybridMultilevel"/>
    <w:tmpl w:val="DAD6ED5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054AA3"/>
    <w:multiLevelType w:val="multilevel"/>
    <w:tmpl w:val="807C799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327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lowerLetter"/>
      <w:pStyle w:val="Heading5"/>
      <w:lvlText w:val="%5)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B7"/>
    <w:rsid w:val="000040F4"/>
    <w:rsid w:val="0001268F"/>
    <w:rsid w:val="0001370C"/>
    <w:rsid w:val="00034F99"/>
    <w:rsid w:val="00043142"/>
    <w:rsid w:val="00044E3B"/>
    <w:rsid w:val="00053AC6"/>
    <w:rsid w:val="000546E6"/>
    <w:rsid w:val="00057384"/>
    <w:rsid w:val="000801FF"/>
    <w:rsid w:val="00093765"/>
    <w:rsid w:val="000B5066"/>
    <w:rsid w:val="000C1815"/>
    <w:rsid w:val="000C7E48"/>
    <w:rsid w:val="000D002F"/>
    <w:rsid w:val="000D49E8"/>
    <w:rsid w:val="000E0E6E"/>
    <w:rsid w:val="000E6FA0"/>
    <w:rsid w:val="00113B85"/>
    <w:rsid w:val="00127534"/>
    <w:rsid w:val="0013057A"/>
    <w:rsid w:val="00134A41"/>
    <w:rsid w:val="001353BB"/>
    <w:rsid w:val="00135A2F"/>
    <w:rsid w:val="00136FBC"/>
    <w:rsid w:val="00143753"/>
    <w:rsid w:val="00162376"/>
    <w:rsid w:val="001807B1"/>
    <w:rsid w:val="00191411"/>
    <w:rsid w:val="0019609E"/>
    <w:rsid w:val="001A76A9"/>
    <w:rsid w:val="001B306B"/>
    <w:rsid w:val="001D1C7C"/>
    <w:rsid w:val="001E239E"/>
    <w:rsid w:val="00211D77"/>
    <w:rsid w:val="00212277"/>
    <w:rsid w:val="00215556"/>
    <w:rsid w:val="00216B21"/>
    <w:rsid w:val="002204FD"/>
    <w:rsid w:val="00250010"/>
    <w:rsid w:val="00267D2A"/>
    <w:rsid w:val="002773C0"/>
    <w:rsid w:val="00283F7E"/>
    <w:rsid w:val="0028422B"/>
    <w:rsid w:val="002A1CA4"/>
    <w:rsid w:val="002A6450"/>
    <w:rsid w:val="002B624D"/>
    <w:rsid w:val="002C14FF"/>
    <w:rsid w:val="002C4FD1"/>
    <w:rsid w:val="002F099E"/>
    <w:rsid w:val="002F2418"/>
    <w:rsid w:val="002F2C3F"/>
    <w:rsid w:val="0033358A"/>
    <w:rsid w:val="00346CC2"/>
    <w:rsid w:val="0036146D"/>
    <w:rsid w:val="00374370"/>
    <w:rsid w:val="0038440A"/>
    <w:rsid w:val="0039248B"/>
    <w:rsid w:val="00392A80"/>
    <w:rsid w:val="003947A2"/>
    <w:rsid w:val="003A0060"/>
    <w:rsid w:val="003B66A1"/>
    <w:rsid w:val="003C4D85"/>
    <w:rsid w:val="003D3745"/>
    <w:rsid w:val="003E18B7"/>
    <w:rsid w:val="003F283A"/>
    <w:rsid w:val="00400BB4"/>
    <w:rsid w:val="004033F6"/>
    <w:rsid w:val="0041317F"/>
    <w:rsid w:val="00416B2A"/>
    <w:rsid w:val="00416F74"/>
    <w:rsid w:val="00443538"/>
    <w:rsid w:val="00443883"/>
    <w:rsid w:val="00443B5F"/>
    <w:rsid w:val="004551FA"/>
    <w:rsid w:val="00466552"/>
    <w:rsid w:val="004726EB"/>
    <w:rsid w:val="004940B9"/>
    <w:rsid w:val="004A2D56"/>
    <w:rsid w:val="004A34B3"/>
    <w:rsid w:val="004A3F41"/>
    <w:rsid w:val="004B4DE1"/>
    <w:rsid w:val="004C21E9"/>
    <w:rsid w:val="004D1A12"/>
    <w:rsid w:val="004D20BB"/>
    <w:rsid w:val="004D61AF"/>
    <w:rsid w:val="004D6DD0"/>
    <w:rsid w:val="004E62AA"/>
    <w:rsid w:val="00515702"/>
    <w:rsid w:val="00525937"/>
    <w:rsid w:val="00526A8E"/>
    <w:rsid w:val="00566C13"/>
    <w:rsid w:val="005675A4"/>
    <w:rsid w:val="0057549B"/>
    <w:rsid w:val="00576E90"/>
    <w:rsid w:val="00597644"/>
    <w:rsid w:val="005A6865"/>
    <w:rsid w:val="005A7AD4"/>
    <w:rsid w:val="005B0D3B"/>
    <w:rsid w:val="005B4146"/>
    <w:rsid w:val="005D1828"/>
    <w:rsid w:val="005D4B2B"/>
    <w:rsid w:val="005E73FC"/>
    <w:rsid w:val="0060438D"/>
    <w:rsid w:val="00606159"/>
    <w:rsid w:val="00607F78"/>
    <w:rsid w:val="006136C6"/>
    <w:rsid w:val="006301B2"/>
    <w:rsid w:val="0063799B"/>
    <w:rsid w:val="00650944"/>
    <w:rsid w:val="00651AF0"/>
    <w:rsid w:val="006777B5"/>
    <w:rsid w:val="006A32F3"/>
    <w:rsid w:val="006B5D13"/>
    <w:rsid w:val="006C5059"/>
    <w:rsid w:val="006F55EE"/>
    <w:rsid w:val="00706EF5"/>
    <w:rsid w:val="007116E3"/>
    <w:rsid w:val="00714648"/>
    <w:rsid w:val="00714CDD"/>
    <w:rsid w:val="0071635C"/>
    <w:rsid w:val="00724F8C"/>
    <w:rsid w:val="007451C9"/>
    <w:rsid w:val="00746A35"/>
    <w:rsid w:val="007566CA"/>
    <w:rsid w:val="00766AAE"/>
    <w:rsid w:val="00775694"/>
    <w:rsid w:val="0079274B"/>
    <w:rsid w:val="007A1324"/>
    <w:rsid w:val="007A229B"/>
    <w:rsid w:val="007B357F"/>
    <w:rsid w:val="007D61F3"/>
    <w:rsid w:val="007E1689"/>
    <w:rsid w:val="007E6CB4"/>
    <w:rsid w:val="007F50D6"/>
    <w:rsid w:val="00812927"/>
    <w:rsid w:val="00817171"/>
    <w:rsid w:val="00825015"/>
    <w:rsid w:val="0083154D"/>
    <w:rsid w:val="00832DA1"/>
    <w:rsid w:val="008332D7"/>
    <w:rsid w:val="008510F8"/>
    <w:rsid w:val="0085685E"/>
    <w:rsid w:val="008572F5"/>
    <w:rsid w:val="0087339C"/>
    <w:rsid w:val="008737A1"/>
    <w:rsid w:val="0087482A"/>
    <w:rsid w:val="008A04DF"/>
    <w:rsid w:val="008B3975"/>
    <w:rsid w:val="008F3795"/>
    <w:rsid w:val="00902175"/>
    <w:rsid w:val="00907FAF"/>
    <w:rsid w:val="00924D1B"/>
    <w:rsid w:val="00926A5B"/>
    <w:rsid w:val="0094041D"/>
    <w:rsid w:val="009404D5"/>
    <w:rsid w:val="00954139"/>
    <w:rsid w:val="00965AAA"/>
    <w:rsid w:val="00975CA6"/>
    <w:rsid w:val="00981BFE"/>
    <w:rsid w:val="0099237D"/>
    <w:rsid w:val="009924CF"/>
    <w:rsid w:val="00993999"/>
    <w:rsid w:val="009B39E3"/>
    <w:rsid w:val="009B527D"/>
    <w:rsid w:val="009C2211"/>
    <w:rsid w:val="009E16D0"/>
    <w:rsid w:val="00A06541"/>
    <w:rsid w:val="00A148BB"/>
    <w:rsid w:val="00A37989"/>
    <w:rsid w:val="00A420F6"/>
    <w:rsid w:val="00A42640"/>
    <w:rsid w:val="00A45886"/>
    <w:rsid w:val="00A67686"/>
    <w:rsid w:val="00A92513"/>
    <w:rsid w:val="00AC6169"/>
    <w:rsid w:val="00AE2E28"/>
    <w:rsid w:val="00AE3F42"/>
    <w:rsid w:val="00B06B8C"/>
    <w:rsid w:val="00B07ED5"/>
    <w:rsid w:val="00B11FBC"/>
    <w:rsid w:val="00B47F48"/>
    <w:rsid w:val="00B5047A"/>
    <w:rsid w:val="00B66A9B"/>
    <w:rsid w:val="00B753F9"/>
    <w:rsid w:val="00B81093"/>
    <w:rsid w:val="00B81FF8"/>
    <w:rsid w:val="00BA1C63"/>
    <w:rsid w:val="00BA4E6A"/>
    <w:rsid w:val="00BB6A01"/>
    <w:rsid w:val="00BC0310"/>
    <w:rsid w:val="00BC1DF5"/>
    <w:rsid w:val="00BD3579"/>
    <w:rsid w:val="00BE2B0B"/>
    <w:rsid w:val="00BE5999"/>
    <w:rsid w:val="00C01F62"/>
    <w:rsid w:val="00C050B4"/>
    <w:rsid w:val="00C10657"/>
    <w:rsid w:val="00C13058"/>
    <w:rsid w:val="00C319EE"/>
    <w:rsid w:val="00C4277D"/>
    <w:rsid w:val="00C5596E"/>
    <w:rsid w:val="00C5753F"/>
    <w:rsid w:val="00C73540"/>
    <w:rsid w:val="00C83156"/>
    <w:rsid w:val="00C83929"/>
    <w:rsid w:val="00C9002A"/>
    <w:rsid w:val="00C907E2"/>
    <w:rsid w:val="00C90C57"/>
    <w:rsid w:val="00CB439C"/>
    <w:rsid w:val="00CC00A8"/>
    <w:rsid w:val="00CC5C04"/>
    <w:rsid w:val="00CC5DB5"/>
    <w:rsid w:val="00CD4024"/>
    <w:rsid w:val="00CF7B61"/>
    <w:rsid w:val="00D1507A"/>
    <w:rsid w:val="00D17DC9"/>
    <w:rsid w:val="00D3403F"/>
    <w:rsid w:val="00D70810"/>
    <w:rsid w:val="00DA0E15"/>
    <w:rsid w:val="00DA0F58"/>
    <w:rsid w:val="00DB47CB"/>
    <w:rsid w:val="00DB4AD3"/>
    <w:rsid w:val="00E057CE"/>
    <w:rsid w:val="00E21BB4"/>
    <w:rsid w:val="00E3362B"/>
    <w:rsid w:val="00E34A76"/>
    <w:rsid w:val="00E45BEE"/>
    <w:rsid w:val="00E72C67"/>
    <w:rsid w:val="00E87787"/>
    <w:rsid w:val="00E96A20"/>
    <w:rsid w:val="00E96FFF"/>
    <w:rsid w:val="00EA1371"/>
    <w:rsid w:val="00EC08CD"/>
    <w:rsid w:val="00EC5A9A"/>
    <w:rsid w:val="00ED72F1"/>
    <w:rsid w:val="00EE4493"/>
    <w:rsid w:val="00EE6EE2"/>
    <w:rsid w:val="00EE74B5"/>
    <w:rsid w:val="00EF1FB5"/>
    <w:rsid w:val="00EF2CAD"/>
    <w:rsid w:val="00EF7B37"/>
    <w:rsid w:val="00F03CE1"/>
    <w:rsid w:val="00F05134"/>
    <w:rsid w:val="00F277A8"/>
    <w:rsid w:val="00F31106"/>
    <w:rsid w:val="00F3682F"/>
    <w:rsid w:val="00F40726"/>
    <w:rsid w:val="00F51796"/>
    <w:rsid w:val="00F54C89"/>
    <w:rsid w:val="00F641BA"/>
    <w:rsid w:val="00F812F0"/>
    <w:rsid w:val="00F82A95"/>
    <w:rsid w:val="00F8635A"/>
    <w:rsid w:val="00F87476"/>
    <w:rsid w:val="00F90F88"/>
    <w:rsid w:val="00FA66F3"/>
    <w:rsid w:val="00FC0059"/>
    <w:rsid w:val="00FC6658"/>
    <w:rsid w:val="00FD132B"/>
    <w:rsid w:val="00FD269B"/>
    <w:rsid w:val="00FE2313"/>
    <w:rsid w:val="00FF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0104"/>
  <w15:chartTrackingRefBased/>
  <w15:docId w15:val="{5DFC39C9-6DA4-504B-8CF0-6382C26E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3E18B7"/>
    <w:pPr>
      <w:numPr>
        <w:numId w:val="1"/>
      </w:numPr>
      <w:spacing w:before="100" w:beforeAutospacing="1" w:after="100" w:afterAutospacing="1"/>
      <w:outlineLvl w:val="0"/>
    </w:pPr>
    <w:rPr>
      <w:rFonts w:eastAsia="Times New Roman" w:cs="Times New Roman"/>
      <w:b/>
      <w:bCs/>
      <w:color w:val="ED7D31" w:themeColor="accent2"/>
      <w:kern w:val="36"/>
      <w:sz w:val="2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nhideWhenUsed/>
    <w:qFormat/>
    <w:rsid w:val="003E18B7"/>
    <w:pPr>
      <w:keepNext/>
      <w:keepLines/>
      <w:numPr>
        <w:ilvl w:val="1"/>
        <w:numId w:val="1"/>
      </w:numPr>
      <w:autoSpaceDE w:val="0"/>
      <w:autoSpaceDN w:val="0"/>
      <w:adjustRightInd w:val="0"/>
      <w:spacing w:before="200" w:line="360" w:lineRule="auto"/>
      <w:contextualSpacing/>
      <w:jc w:val="both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E18B7"/>
    <w:pPr>
      <w:keepNext/>
      <w:keepLines/>
      <w:numPr>
        <w:ilvl w:val="2"/>
        <w:numId w:val="1"/>
      </w:numPr>
      <w:autoSpaceDE w:val="0"/>
      <w:autoSpaceDN w:val="0"/>
      <w:adjustRightInd w:val="0"/>
      <w:spacing w:before="200" w:line="360" w:lineRule="auto"/>
      <w:contextualSpacing/>
      <w:jc w:val="both"/>
      <w:outlineLvl w:val="2"/>
    </w:pPr>
    <w:rPr>
      <w:rFonts w:eastAsiaTheme="majorEastAsia" w:cstheme="majorBidi"/>
      <w:b/>
      <w:bCs/>
      <w:sz w:val="22"/>
    </w:rPr>
  </w:style>
  <w:style w:type="paragraph" w:styleId="Heading4">
    <w:name w:val="heading 4"/>
    <w:aliases w:val="heading 4"/>
    <w:basedOn w:val="Normal"/>
    <w:next w:val="Normal"/>
    <w:link w:val="Heading4Char"/>
    <w:unhideWhenUsed/>
    <w:qFormat/>
    <w:rsid w:val="003E18B7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3E18B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3E18B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3E18B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E18B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E18B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18B7"/>
    <w:rPr>
      <w:rFonts w:eastAsia="Times New Roman" w:cs="Times New Roman"/>
      <w:b/>
      <w:bCs/>
      <w:color w:val="ED7D31" w:themeColor="accent2"/>
      <w:kern w:val="36"/>
      <w:sz w:val="28"/>
      <w:szCs w:val="48"/>
      <w:lang w:eastAsia="es-ES"/>
    </w:rPr>
  </w:style>
  <w:style w:type="character" w:customStyle="1" w:styleId="Heading2Char">
    <w:name w:val="Heading 2 Char"/>
    <w:basedOn w:val="DefaultParagraphFont"/>
    <w:link w:val="Heading2"/>
    <w:rsid w:val="003E18B7"/>
    <w:rPr>
      <w:rFonts w:eastAsiaTheme="majorEastAsia" w:cstheme="majorBidi"/>
      <w:b/>
      <w:bCs/>
      <w:sz w:val="22"/>
      <w:szCs w:val="26"/>
    </w:rPr>
  </w:style>
  <w:style w:type="character" w:customStyle="1" w:styleId="Heading3Char">
    <w:name w:val="Heading 3 Char"/>
    <w:basedOn w:val="DefaultParagraphFont"/>
    <w:link w:val="Heading3"/>
    <w:rsid w:val="003E18B7"/>
    <w:rPr>
      <w:rFonts w:eastAsiaTheme="majorEastAsia" w:cstheme="majorBidi"/>
      <w:b/>
      <w:bCs/>
      <w:sz w:val="22"/>
    </w:rPr>
  </w:style>
  <w:style w:type="character" w:customStyle="1" w:styleId="Heading4Char">
    <w:name w:val="Heading 4 Char"/>
    <w:aliases w:val="heading 4 Char"/>
    <w:basedOn w:val="DefaultParagraphFont"/>
    <w:link w:val="Heading4"/>
    <w:rsid w:val="003E18B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rsid w:val="003E18B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3E18B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3E18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rsid w:val="003E18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E18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aliases w:val="Caption Table,Caption-FUSA"/>
    <w:basedOn w:val="Normal"/>
    <w:next w:val="Normal"/>
    <w:link w:val="CaptionChar"/>
    <w:uiPriority w:val="35"/>
    <w:unhideWhenUsed/>
    <w:qFormat/>
    <w:rsid w:val="003E18B7"/>
    <w:pPr>
      <w:keepNext/>
      <w:keepLines/>
      <w:outlineLvl w:val="5"/>
    </w:pPr>
    <w:rPr>
      <w:rFonts w:ascii="Arial" w:eastAsia="Times New Roman" w:hAnsi="Arial" w:cs="Times New Roman"/>
      <w:b/>
      <w:bCs/>
      <w:sz w:val="22"/>
      <w:szCs w:val="20"/>
    </w:rPr>
  </w:style>
  <w:style w:type="character" w:customStyle="1" w:styleId="synopsisChar">
    <w:name w:val="synopsis Char"/>
    <w:link w:val="synopsis"/>
    <w:locked/>
    <w:rsid w:val="003E18B7"/>
    <w:rPr>
      <w:rFonts w:ascii="Arial" w:hAnsi="Arial" w:cs="Arial"/>
      <w:sz w:val="16"/>
      <w:lang w:val="en-GB"/>
    </w:rPr>
  </w:style>
  <w:style w:type="paragraph" w:customStyle="1" w:styleId="synopsis">
    <w:name w:val="synopsis"/>
    <w:basedOn w:val="Normal"/>
    <w:link w:val="synopsisChar"/>
    <w:rsid w:val="003E18B7"/>
    <w:pPr>
      <w:spacing w:line="288" w:lineRule="auto"/>
      <w:ind w:left="-29"/>
    </w:pPr>
    <w:rPr>
      <w:rFonts w:ascii="Arial" w:hAnsi="Arial" w:cs="Arial"/>
      <w:sz w:val="16"/>
      <w:lang w:val="en-GB"/>
    </w:rPr>
  </w:style>
  <w:style w:type="paragraph" w:customStyle="1" w:styleId="Text">
    <w:name w:val="Text"/>
    <w:aliases w:val="Graphic"/>
    <w:basedOn w:val="Normal"/>
    <w:link w:val="TextChar"/>
    <w:rsid w:val="003E18B7"/>
    <w:pPr>
      <w:spacing w:line="288" w:lineRule="auto"/>
      <w:ind w:left="1134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xtChar">
    <w:name w:val="Text Char"/>
    <w:link w:val="Text"/>
    <w:locked/>
    <w:rsid w:val="003E18B7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aptionChar">
    <w:name w:val="Caption Char"/>
    <w:aliases w:val="Caption Table Char,Caption-FUSA Char"/>
    <w:link w:val="Caption"/>
    <w:uiPriority w:val="35"/>
    <w:rsid w:val="003E18B7"/>
    <w:rPr>
      <w:rFonts w:ascii="Arial" w:eastAsia="Times New Roman" w:hAnsi="Arial" w:cs="Times New Roman"/>
      <w:b/>
      <w:b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3E1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8B7"/>
  </w:style>
  <w:style w:type="character" w:styleId="PageNumber">
    <w:name w:val="page number"/>
    <w:basedOn w:val="DefaultParagraphFont"/>
    <w:uiPriority w:val="99"/>
    <w:semiHidden/>
    <w:unhideWhenUsed/>
    <w:rsid w:val="003E18B7"/>
  </w:style>
  <w:style w:type="paragraph" w:customStyle="1" w:styleId="AttachmentText">
    <w:name w:val="Attachment Text"/>
    <w:basedOn w:val="Normal"/>
    <w:next w:val="Normal"/>
    <w:rsid w:val="003E18B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11FBC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1FB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1994</Words>
  <Characters>11372</Characters>
  <Application>Microsoft Office Word</Application>
  <DocSecurity>0</DocSecurity>
  <Lines>94</Lines>
  <Paragraphs>26</Paragraphs>
  <ScaleCrop>false</ScaleCrop>
  <Company>AccureTx</Company>
  <LinksUpToDate>false</LinksUpToDate>
  <CharactersWithSpaces>13340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Villoslada</dc:creator>
  <cp:keywords/>
  <dc:description/>
  <cp:lastModifiedBy>Meenakshi P.</cp:lastModifiedBy>
  <cp:revision>3</cp:revision>
  <dcterms:created xsi:type="dcterms:W3CDTF">2023-03-13T22:41:00Z</dcterms:created>
  <dcterms:modified xsi:type="dcterms:W3CDTF">2023-03-25T06:36:00Z</dcterms:modified>
</cp:coreProperties>
</file>