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7989A" w14:textId="26AD2AC3" w:rsidR="00D95C74" w:rsidRPr="0048731D" w:rsidRDefault="00D95C74" w:rsidP="00D95C74">
      <w:pPr>
        <w:pStyle w:val="SOMHead"/>
        <w:rPr>
          <w:sz w:val="32"/>
          <w:szCs w:val="32"/>
        </w:rPr>
      </w:pPr>
      <w:r w:rsidRPr="0048731D">
        <w:rPr>
          <w:sz w:val="32"/>
          <w:szCs w:val="32"/>
        </w:rPr>
        <w:t>Supplementary Materials</w:t>
      </w:r>
      <w:r w:rsidR="00BC1423">
        <w:rPr>
          <w:sz w:val="32"/>
          <w:szCs w:val="32"/>
        </w:rPr>
        <w:t xml:space="preserve"> </w:t>
      </w:r>
      <w:r w:rsidR="00BC1423" w:rsidRPr="00FA29E2">
        <w:rPr>
          <w:b w:val="0"/>
          <w:sz w:val="32"/>
          <w:szCs w:val="32"/>
        </w:rPr>
        <w:t>(the reference numbers</w:t>
      </w:r>
      <w:r w:rsidR="00BD20CA" w:rsidRPr="00FA29E2">
        <w:rPr>
          <w:b w:val="0"/>
          <w:sz w:val="32"/>
          <w:szCs w:val="32"/>
        </w:rPr>
        <w:t xml:space="preserve"> refer to those in the Reference</w:t>
      </w:r>
      <w:r w:rsidR="006D478E">
        <w:rPr>
          <w:b w:val="0"/>
          <w:sz w:val="32"/>
          <w:szCs w:val="32"/>
        </w:rPr>
        <w:t>s</w:t>
      </w:r>
      <w:r w:rsidR="00BD20CA" w:rsidRPr="00FA29E2">
        <w:rPr>
          <w:b w:val="0"/>
          <w:sz w:val="32"/>
          <w:szCs w:val="32"/>
        </w:rPr>
        <w:t xml:space="preserve"> of the </w:t>
      </w:r>
      <w:r w:rsidR="00450009" w:rsidRPr="00FA29E2">
        <w:rPr>
          <w:b w:val="0"/>
          <w:sz w:val="32"/>
          <w:szCs w:val="32"/>
        </w:rPr>
        <w:t>M</w:t>
      </w:r>
      <w:r w:rsidR="00BD20CA" w:rsidRPr="00FA29E2">
        <w:rPr>
          <w:b w:val="0"/>
          <w:sz w:val="32"/>
          <w:szCs w:val="32"/>
        </w:rPr>
        <w:t>ai</w:t>
      </w:r>
      <w:r w:rsidR="0052129D" w:rsidRPr="00FA29E2">
        <w:rPr>
          <w:b w:val="0"/>
          <w:sz w:val="32"/>
          <w:szCs w:val="32"/>
        </w:rPr>
        <w:t>n</w:t>
      </w:r>
      <w:r w:rsidR="00BD20CA" w:rsidRPr="00FA29E2">
        <w:rPr>
          <w:b w:val="0"/>
          <w:sz w:val="32"/>
          <w:szCs w:val="32"/>
        </w:rPr>
        <w:t xml:space="preserve"> text)</w:t>
      </w:r>
      <w:r w:rsidR="005739D7">
        <w:rPr>
          <w:sz w:val="32"/>
          <w:szCs w:val="32"/>
        </w:rPr>
        <w:t xml:space="preserve"> </w:t>
      </w:r>
    </w:p>
    <w:p w14:paraId="7C761D77" w14:textId="77777777" w:rsidR="00D95C74" w:rsidRDefault="00D95C74" w:rsidP="00D95C74">
      <w:pPr>
        <w:spacing w:line="276" w:lineRule="auto"/>
        <w:rPr>
          <w:b/>
          <w:sz w:val="28"/>
          <w:szCs w:val="28"/>
        </w:rPr>
      </w:pPr>
      <w:bookmarkStart w:id="0" w:name="_GoBack"/>
      <w:bookmarkEnd w:id="0"/>
    </w:p>
    <w:p w14:paraId="5A55500C" w14:textId="77EAC04B" w:rsidR="00D95C74" w:rsidRPr="0048731D" w:rsidRDefault="00D95C74" w:rsidP="0048731D">
      <w:pPr>
        <w:pStyle w:val="ListParagraph"/>
        <w:numPr>
          <w:ilvl w:val="0"/>
          <w:numId w:val="3"/>
        </w:numPr>
        <w:spacing w:line="276" w:lineRule="auto"/>
        <w:rPr>
          <w:b/>
          <w:sz w:val="28"/>
          <w:szCs w:val="28"/>
        </w:rPr>
      </w:pPr>
      <w:r w:rsidRPr="0048731D">
        <w:rPr>
          <w:b/>
          <w:sz w:val="28"/>
          <w:szCs w:val="28"/>
        </w:rPr>
        <w:t xml:space="preserve"> </w:t>
      </w:r>
      <w:r w:rsidR="007B3FD4">
        <w:rPr>
          <w:b/>
          <w:sz w:val="28"/>
          <w:szCs w:val="28"/>
        </w:rPr>
        <w:t xml:space="preserve">Data source and </w:t>
      </w:r>
      <w:r w:rsidRPr="0048731D">
        <w:rPr>
          <w:b/>
          <w:sz w:val="28"/>
          <w:szCs w:val="28"/>
        </w:rPr>
        <w:t>Methods</w:t>
      </w:r>
    </w:p>
    <w:p w14:paraId="723EC620" w14:textId="77777777" w:rsidR="002D60BD" w:rsidRPr="0048731D" w:rsidRDefault="002D60BD" w:rsidP="00D95C74">
      <w:pPr>
        <w:spacing w:line="276" w:lineRule="auto"/>
        <w:rPr>
          <w:b/>
          <w:sz w:val="28"/>
          <w:szCs w:val="28"/>
        </w:rPr>
      </w:pPr>
    </w:p>
    <w:p w14:paraId="15053AA0" w14:textId="359F20C1" w:rsidR="004E1EE2" w:rsidRPr="00713A47" w:rsidRDefault="00D95C74" w:rsidP="004E1EE2">
      <w:pPr>
        <w:rPr>
          <w:rFonts w:ascii="Cambria" w:hAnsi="Cambria"/>
          <w:sz w:val="24"/>
          <w:szCs w:val="24"/>
        </w:rPr>
      </w:pPr>
      <w:r w:rsidRPr="00D61C44">
        <w:rPr>
          <w:b/>
          <w:i/>
          <w:sz w:val="24"/>
          <w:szCs w:val="24"/>
        </w:rPr>
        <w:t>SNV data source</w:t>
      </w:r>
      <w:r w:rsidRPr="0048731D">
        <w:rPr>
          <w:rFonts w:eastAsiaTheme="minorHAnsi"/>
          <w:b/>
          <w:i/>
          <w:color w:val="131413"/>
          <w:sz w:val="24"/>
          <w:szCs w:val="24"/>
        </w:rPr>
        <w:t>:</w:t>
      </w:r>
      <w:r w:rsidRPr="00D61C44">
        <w:rPr>
          <w:rFonts w:eastAsiaTheme="minorHAnsi"/>
          <w:color w:val="131413"/>
          <w:sz w:val="24"/>
          <w:szCs w:val="24"/>
        </w:rPr>
        <w:t xml:space="preserve">  </w:t>
      </w:r>
      <w:r w:rsidR="00036CA2">
        <w:rPr>
          <w:rFonts w:eastAsiaTheme="minorHAnsi"/>
          <w:color w:val="131413"/>
          <w:sz w:val="24"/>
          <w:szCs w:val="24"/>
        </w:rPr>
        <w:t xml:space="preserve">For the availability of </w:t>
      </w:r>
      <w:r w:rsidR="004E1EE2">
        <w:rPr>
          <w:rFonts w:ascii="Cambria" w:hAnsi="Cambria"/>
          <w:sz w:val="24"/>
          <w:szCs w:val="24"/>
        </w:rPr>
        <w:t>all genomic data used in this study</w:t>
      </w:r>
      <w:r w:rsidR="004E1EE2">
        <w:rPr>
          <w:rFonts w:eastAsiaTheme="minorHAnsi"/>
          <w:color w:val="131413"/>
          <w:sz w:val="24"/>
          <w:szCs w:val="24"/>
        </w:rPr>
        <w:t xml:space="preserve"> see </w:t>
      </w:r>
      <w:r w:rsidR="004E1EE2">
        <w:rPr>
          <w:rFonts w:ascii="Cambria" w:hAnsi="Cambria"/>
          <w:b/>
          <w:sz w:val="24"/>
          <w:szCs w:val="24"/>
        </w:rPr>
        <w:t xml:space="preserve">Data </w:t>
      </w:r>
      <w:r w:rsidR="004E1EE2" w:rsidRPr="00713A47">
        <w:rPr>
          <w:rFonts w:ascii="Cambria" w:hAnsi="Cambria"/>
          <w:b/>
          <w:sz w:val="24"/>
          <w:szCs w:val="24"/>
        </w:rPr>
        <w:t xml:space="preserve">Availability </w:t>
      </w:r>
      <w:r w:rsidR="004E1EE2" w:rsidRPr="0048731D">
        <w:rPr>
          <w:rFonts w:ascii="Cambria" w:hAnsi="Cambria"/>
          <w:sz w:val="24"/>
          <w:szCs w:val="24"/>
        </w:rPr>
        <w:t>in the main text</w:t>
      </w:r>
      <w:r w:rsidR="004E1EE2" w:rsidRPr="00713A47">
        <w:rPr>
          <w:rFonts w:ascii="Cambria" w:hAnsi="Cambria"/>
          <w:sz w:val="24"/>
          <w:szCs w:val="24"/>
        </w:rPr>
        <w:t>.  All data have been released and publicly available</w:t>
      </w:r>
      <w:r w:rsidR="00E807A2">
        <w:rPr>
          <w:rFonts w:ascii="Cambria" w:hAnsi="Cambria"/>
          <w:sz w:val="24"/>
          <w:szCs w:val="24"/>
        </w:rPr>
        <w:t xml:space="preserve"> from</w:t>
      </w:r>
    </w:p>
    <w:p w14:paraId="15ECB2E8" w14:textId="6A40D8DE" w:rsidR="00D95C74" w:rsidRPr="0048731D" w:rsidRDefault="00E807A2" w:rsidP="0048731D">
      <w:pPr>
        <w:rPr>
          <w:rFonts w:eastAsia="Times New Roman"/>
          <w:lang w:eastAsia="ko-KR"/>
        </w:rPr>
      </w:pPr>
      <w:r>
        <w:rPr>
          <w:sz w:val="24"/>
          <w:szCs w:val="24"/>
        </w:rPr>
        <w:t>T</w:t>
      </w:r>
      <w:r w:rsidR="004E1EE2" w:rsidRPr="00713A47">
        <w:rPr>
          <w:sz w:val="24"/>
          <w:szCs w:val="24"/>
        </w:rPr>
        <w:t>he Simons Genome Diversity Project</w:t>
      </w:r>
      <w:r w:rsidR="000F5C26">
        <w:rPr>
          <w:sz w:val="24"/>
          <w:szCs w:val="24"/>
        </w:rPr>
        <w:t xml:space="preserve"> </w:t>
      </w:r>
      <w:r w:rsidR="000F5C26">
        <w:rPr>
          <w:color w:val="131413"/>
          <w:sz w:val="24"/>
          <w:szCs w:val="24"/>
        </w:rPr>
        <w:t>(</w:t>
      </w:r>
      <w:r w:rsidR="000F5C26" w:rsidRPr="00713A47">
        <w:rPr>
          <w:i/>
          <w:color w:val="000000" w:themeColor="text1"/>
          <w:sz w:val="24"/>
          <w:szCs w:val="24"/>
        </w:rPr>
        <w:t>5, 6</w:t>
      </w:r>
      <w:r w:rsidR="000F5C26" w:rsidRPr="00713A47">
        <w:rPr>
          <w:color w:val="131413"/>
          <w:sz w:val="24"/>
          <w:szCs w:val="24"/>
        </w:rPr>
        <w:t>)</w:t>
      </w:r>
      <w:r w:rsidR="004E1EE2" w:rsidRPr="00713A47">
        <w:rPr>
          <w:sz w:val="24"/>
          <w:szCs w:val="24"/>
        </w:rPr>
        <w:t xml:space="preserve"> and</w:t>
      </w:r>
      <w:r w:rsidR="000F5C26">
        <w:rPr>
          <w:sz w:val="24"/>
          <w:szCs w:val="24"/>
        </w:rPr>
        <w:t xml:space="preserve"> </w:t>
      </w:r>
      <w:r>
        <w:rPr>
          <w:sz w:val="24"/>
          <w:szCs w:val="24"/>
        </w:rPr>
        <w:t>T</w:t>
      </w:r>
      <w:r w:rsidR="004E1EE2" w:rsidRPr="00713A47">
        <w:rPr>
          <w:sz w:val="24"/>
          <w:szCs w:val="24"/>
        </w:rPr>
        <w:t>he 1000 Genomes Project</w:t>
      </w:r>
      <w:r w:rsidR="000F5C26">
        <w:rPr>
          <w:sz w:val="24"/>
          <w:szCs w:val="24"/>
        </w:rPr>
        <w:t xml:space="preserve"> </w:t>
      </w:r>
      <w:r w:rsidR="000F5C26" w:rsidRPr="00D61C44">
        <w:rPr>
          <w:color w:val="131413"/>
          <w:sz w:val="24"/>
          <w:szCs w:val="24"/>
        </w:rPr>
        <w:t>(</w:t>
      </w:r>
      <w:r w:rsidR="000F5C26" w:rsidRPr="00C617FC">
        <w:rPr>
          <w:i/>
          <w:color w:val="000000" w:themeColor="text1"/>
          <w:sz w:val="24"/>
          <w:szCs w:val="24"/>
        </w:rPr>
        <w:t xml:space="preserve">4, </w:t>
      </w:r>
      <w:r w:rsidR="000F5C26">
        <w:rPr>
          <w:i/>
          <w:color w:val="000000" w:themeColor="text1"/>
          <w:sz w:val="24"/>
          <w:szCs w:val="24"/>
        </w:rPr>
        <w:t>1</w:t>
      </w:r>
      <w:r w:rsidR="00450009">
        <w:rPr>
          <w:i/>
          <w:color w:val="000000" w:themeColor="text1"/>
          <w:sz w:val="24"/>
          <w:szCs w:val="24"/>
        </w:rPr>
        <w:t>9</w:t>
      </w:r>
      <w:r w:rsidR="000F5C26">
        <w:rPr>
          <w:color w:val="000000" w:themeColor="text1"/>
          <w:sz w:val="24"/>
          <w:szCs w:val="24"/>
        </w:rPr>
        <w:t>)</w:t>
      </w:r>
      <w:r w:rsidR="004E1EE2" w:rsidRPr="00713A47">
        <w:rPr>
          <w:sz w:val="24"/>
          <w:szCs w:val="24"/>
        </w:rPr>
        <w:t xml:space="preserve">.  </w:t>
      </w:r>
      <w:r w:rsidR="000F5C26">
        <w:rPr>
          <w:sz w:val="24"/>
          <w:szCs w:val="24"/>
        </w:rPr>
        <w:t xml:space="preserve">The </w:t>
      </w:r>
      <w:r w:rsidR="00D95C74" w:rsidRPr="00713A47">
        <w:rPr>
          <w:color w:val="131413"/>
          <w:sz w:val="24"/>
          <w:szCs w:val="24"/>
        </w:rPr>
        <w:t xml:space="preserve">Simons Genome Diversity Project database </w:t>
      </w:r>
      <w:r w:rsidR="004E1EE2" w:rsidRPr="00713A47">
        <w:rPr>
          <w:color w:val="131413"/>
          <w:sz w:val="24"/>
          <w:szCs w:val="24"/>
        </w:rPr>
        <w:t>w</w:t>
      </w:r>
      <w:r w:rsidR="00072D80" w:rsidRPr="00713A47">
        <w:rPr>
          <w:color w:val="131413"/>
          <w:sz w:val="24"/>
          <w:szCs w:val="24"/>
        </w:rPr>
        <w:t>ere</w:t>
      </w:r>
      <w:r w:rsidR="004E1EE2" w:rsidRPr="00713A47">
        <w:rPr>
          <w:color w:val="131413"/>
          <w:sz w:val="24"/>
          <w:szCs w:val="24"/>
        </w:rPr>
        <w:t xml:space="preserve"> </w:t>
      </w:r>
      <w:r w:rsidR="00D95C74" w:rsidRPr="00713A47">
        <w:rPr>
          <w:color w:val="000000" w:themeColor="text1"/>
          <w:sz w:val="24"/>
          <w:szCs w:val="24"/>
        </w:rPr>
        <w:t xml:space="preserve">last accessed </w:t>
      </w:r>
      <w:r w:rsidR="004E1EE2" w:rsidRPr="00713A47">
        <w:rPr>
          <w:color w:val="000000" w:themeColor="text1"/>
          <w:sz w:val="24"/>
          <w:szCs w:val="24"/>
        </w:rPr>
        <w:t xml:space="preserve">in </w:t>
      </w:r>
      <w:r w:rsidR="00D95C74" w:rsidRPr="00713A47">
        <w:rPr>
          <w:color w:val="000000" w:themeColor="text1"/>
          <w:sz w:val="24"/>
          <w:szCs w:val="24"/>
        </w:rPr>
        <w:t>July of 2020</w:t>
      </w:r>
      <w:r w:rsidR="003F0FA0">
        <w:rPr>
          <w:color w:val="131413"/>
          <w:sz w:val="24"/>
          <w:szCs w:val="24"/>
        </w:rPr>
        <w:t>,</w:t>
      </w:r>
      <w:r w:rsidR="00D95C74" w:rsidRPr="00713A47">
        <w:rPr>
          <w:color w:val="131413"/>
          <w:sz w:val="24"/>
          <w:szCs w:val="24"/>
        </w:rPr>
        <w:t xml:space="preserve"> and </w:t>
      </w:r>
      <w:r w:rsidR="004E1EE2" w:rsidRPr="00713A47">
        <w:rPr>
          <w:color w:val="131413"/>
          <w:sz w:val="24"/>
          <w:szCs w:val="24"/>
        </w:rPr>
        <w:t>those</w:t>
      </w:r>
      <w:r w:rsidR="004E1EE2" w:rsidRPr="003F0FA0">
        <w:rPr>
          <w:color w:val="131413"/>
          <w:sz w:val="24"/>
          <w:szCs w:val="24"/>
        </w:rPr>
        <w:t xml:space="preserve"> </w:t>
      </w:r>
      <w:r w:rsidR="00D95C74" w:rsidRPr="003F0FA0">
        <w:rPr>
          <w:color w:val="131413"/>
          <w:sz w:val="24"/>
          <w:szCs w:val="24"/>
        </w:rPr>
        <w:t xml:space="preserve">from </w:t>
      </w:r>
      <w:r w:rsidR="000F5C26">
        <w:rPr>
          <w:color w:val="131413"/>
          <w:sz w:val="24"/>
          <w:szCs w:val="24"/>
        </w:rPr>
        <w:t>T</w:t>
      </w:r>
      <w:r w:rsidR="00D95C74" w:rsidRPr="003F0FA0">
        <w:rPr>
          <w:color w:val="131413"/>
          <w:sz w:val="24"/>
          <w:szCs w:val="24"/>
        </w:rPr>
        <w:t>he</w:t>
      </w:r>
      <w:r w:rsidR="00D95C74" w:rsidRPr="00D61C44">
        <w:rPr>
          <w:color w:val="131413"/>
          <w:sz w:val="24"/>
          <w:szCs w:val="24"/>
        </w:rPr>
        <w:t xml:space="preserve"> </w:t>
      </w:r>
      <w:r w:rsidR="000F5C26">
        <w:rPr>
          <w:color w:val="131413"/>
          <w:sz w:val="24"/>
          <w:szCs w:val="24"/>
        </w:rPr>
        <w:t>1000</w:t>
      </w:r>
      <w:r w:rsidR="00D95C74" w:rsidRPr="00D61C44">
        <w:rPr>
          <w:color w:val="131413"/>
          <w:sz w:val="24"/>
          <w:szCs w:val="24"/>
        </w:rPr>
        <w:t xml:space="preserve"> Genome</w:t>
      </w:r>
      <w:r w:rsidR="000F5C26">
        <w:rPr>
          <w:color w:val="131413"/>
          <w:sz w:val="24"/>
          <w:szCs w:val="24"/>
        </w:rPr>
        <w:t>s</w:t>
      </w:r>
      <w:r w:rsidR="00D95C74" w:rsidRPr="00D61C44">
        <w:rPr>
          <w:color w:val="131413"/>
          <w:sz w:val="24"/>
          <w:szCs w:val="24"/>
        </w:rPr>
        <w:t xml:space="preserve"> Project database</w:t>
      </w:r>
      <w:r w:rsidR="00D95C74" w:rsidRPr="00C617FC">
        <w:rPr>
          <w:color w:val="000000" w:themeColor="text1"/>
          <w:sz w:val="24"/>
          <w:szCs w:val="24"/>
        </w:rPr>
        <w:t xml:space="preserve"> </w:t>
      </w:r>
      <w:r w:rsidR="004E1EE2">
        <w:rPr>
          <w:color w:val="000000" w:themeColor="text1"/>
          <w:sz w:val="24"/>
          <w:szCs w:val="24"/>
        </w:rPr>
        <w:t>w</w:t>
      </w:r>
      <w:r w:rsidR="0056370A">
        <w:rPr>
          <w:color w:val="000000" w:themeColor="text1"/>
          <w:sz w:val="24"/>
          <w:szCs w:val="24"/>
        </w:rPr>
        <w:t>ere</w:t>
      </w:r>
      <w:r w:rsidR="004E1EE2">
        <w:rPr>
          <w:color w:val="000000" w:themeColor="text1"/>
          <w:sz w:val="24"/>
          <w:szCs w:val="24"/>
        </w:rPr>
        <w:t xml:space="preserve"> </w:t>
      </w:r>
      <w:r w:rsidR="00D95C74">
        <w:rPr>
          <w:color w:val="000000" w:themeColor="text1"/>
          <w:sz w:val="24"/>
          <w:szCs w:val="24"/>
        </w:rPr>
        <w:t xml:space="preserve">last accessed </w:t>
      </w:r>
      <w:r w:rsidR="004E1EE2">
        <w:rPr>
          <w:color w:val="000000" w:themeColor="text1"/>
          <w:sz w:val="24"/>
          <w:szCs w:val="24"/>
        </w:rPr>
        <w:t xml:space="preserve">in </w:t>
      </w:r>
      <w:r w:rsidR="00D95C74">
        <w:rPr>
          <w:color w:val="000000" w:themeColor="text1"/>
          <w:sz w:val="24"/>
          <w:szCs w:val="24"/>
        </w:rPr>
        <w:t>June</w:t>
      </w:r>
      <w:r w:rsidR="00D95C74" w:rsidRPr="00C617FC">
        <w:rPr>
          <w:color w:val="000000" w:themeColor="text1"/>
          <w:sz w:val="24"/>
          <w:szCs w:val="24"/>
        </w:rPr>
        <w:t xml:space="preserve"> of 2020. </w:t>
      </w:r>
    </w:p>
    <w:p w14:paraId="349819E4" w14:textId="77777777" w:rsidR="00D95C74" w:rsidRPr="00D61C44" w:rsidRDefault="00D95C74" w:rsidP="00D95C74">
      <w:pPr>
        <w:rPr>
          <w:b/>
          <w:color w:val="131413"/>
          <w:sz w:val="24"/>
          <w:szCs w:val="24"/>
        </w:rPr>
      </w:pPr>
    </w:p>
    <w:p w14:paraId="4A260EBA" w14:textId="63D8A986" w:rsidR="00D95C74" w:rsidRPr="00D61C44" w:rsidRDefault="00D95C74" w:rsidP="00D95C74">
      <w:pPr>
        <w:rPr>
          <w:color w:val="131413"/>
          <w:sz w:val="24"/>
          <w:szCs w:val="24"/>
        </w:rPr>
      </w:pPr>
      <w:r w:rsidRPr="00D61C44">
        <w:rPr>
          <w:b/>
          <w:i/>
          <w:color w:val="131413"/>
          <w:sz w:val="24"/>
          <w:szCs w:val="24"/>
        </w:rPr>
        <w:t>Feature Frequency Profile (FFP):</w:t>
      </w:r>
      <w:r w:rsidRPr="00D61C44">
        <w:rPr>
          <w:b/>
          <w:color w:val="131413"/>
          <w:sz w:val="24"/>
          <w:szCs w:val="24"/>
        </w:rPr>
        <w:t xml:space="preserve"> </w:t>
      </w:r>
      <w:r w:rsidRPr="00D61C44">
        <w:rPr>
          <w:color w:val="131413"/>
          <w:sz w:val="24"/>
          <w:szCs w:val="24"/>
        </w:rPr>
        <w:t xml:space="preserve"> For the purpose of introducing the concept of the contextual SNV (c-SNV), each individual’s whole genome SNVs are represented by a vector, FFP (</w:t>
      </w:r>
      <w:r w:rsidR="006D478E">
        <w:rPr>
          <w:i/>
          <w:color w:val="000000" w:themeColor="text1"/>
          <w:sz w:val="24"/>
          <w:szCs w:val="24"/>
        </w:rPr>
        <w:t>11</w:t>
      </w:r>
      <w:r w:rsidRPr="00D61C44">
        <w:rPr>
          <w:color w:val="131413"/>
          <w:sz w:val="24"/>
          <w:szCs w:val="24"/>
        </w:rPr>
        <w:t>), consisting of multiple millions of unique c-SNVs, as genomic characters, and their respective frequencies, as character states.  Each c-SNV is a short string of linked SNVs of a given length (</w:t>
      </w:r>
      <w:r w:rsidRPr="00D61C44">
        <w:rPr>
          <w:rFonts w:ascii="PilGi" w:eastAsia="PilGi" w:hAnsi="PilGi"/>
          <w:color w:val="131413"/>
          <w:sz w:val="24"/>
          <w:szCs w:val="24"/>
        </w:rPr>
        <w:t>l</w:t>
      </w:r>
      <w:r w:rsidRPr="00D61C44">
        <w:rPr>
          <w:color w:val="131413"/>
          <w:sz w:val="24"/>
          <w:szCs w:val="24"/>
        </w:rPr>
        <w:t xml:space="preserve">), which has </w:t>
      </w:r>
      <w:r w:rsidRPr="00D61C44">
        <w:rPr>
          <w:rFonts w:ascii="PilGi" w:eastAsia="PilGi" w:hAnsi="PilGi"/>
          <w:color w:val="131413"/>
          <w:sz w:val="24"/>
          <w:szCs w:val="24"/>
        </w:rPr>
        <w:t>l</w:t>
      </w:r>
      <w:r w:rsidRPr="00D61C44">
        <w:rPr>
          <w:color w:val="131413"/>
          <w:sz w:val="24"/>
          <w:szCs w:val="24"/>
        </w:rPr>
        <w:t xml:space="preserve"> -1 overlapping sequence of its neighbor c-SNVs.  Since FFP is a collection of all overlapping c-SNVs and respective frequencies, it contains all information needed to reconstruct the original ordered SNVs, thus, an FFP</w:t>
      </w:r>
      <w:r w:rsidR="00CC3A2E">
        <w:rPr>
          <w:color w:val="131413"/>
          <w:sz w:val="24"/>
          <w:szCs w:val="24"/>
        </w:rPr>
        <w:t xml:space="preserve"> of c-SNVs</w:t>
      </w:r>
      <w:r w:rsidRPr="00D61C44">
        <w:rPr>
          <w:color w:val="131413"/>
          <w:sz w:val="24"/>
          <w:szCs w:val="24"/>
        </w:rPr>
        <w:t xml:space="preserve"> is a convenient vector to represent all SNVs of an individual’s whole genome for mathematical comparisons and manipulations.</w:t>
      </w:r>
    </w:p>
    <w:p w14:paraId="310FD9AD" w14:textId="77777777" w:rsidR="00D95C74" w:rsidRPr="00D61C44" w:rsidRDefault="00D95C74" w:rsidP="00D95C74">
      <w:pPr>
        <w:rPr>
          <w:color w:val="131413"/>
          <w:sz w:val="24"/>
          <w:szCs w:val="24"/>
        </w:rPr>
      </w:pPr>
    </w:p>
    <w:p w14:paraId="481E8F19" w14:textId="57F2E283" w:rsidR="00D95C74" w:rsidRPr="00D61C44" w:rsidRDefault="00D95C74" w:rsidP="00D95C74">
      <w:pPr>
        <w:spacing w:line="276" w:lineRule="auto"/>
        <w:rPr>
          <w:b/>
          <w:sz w:val="24"/>
          <w:szCs w:val="24"/>
        </w:rPr>
      </w:pPr>
      <w:r w:rsidRPr="00D61C44">
        <w:rPr>
          <w:b/>
          <w:i/>
          <w:sz w:val="24"/>
          <w:szCs w:val="24"/>
        </w:rPr>
        <w:t>Optimal feature length of c-SNVs:</w:t>
      </w:r>
      <w:r w:rsidRPr="00D61C44">
        <w:rPr>
          <w:sz w:val="24"/>
          <w:szCs w:val="24"/>
        </w:rPr>
        <w:t xml:space="preserve"> One of the critical parameters in FFP method is to predict the optimal length of c-SNVs, but there is no </w:t>
      </w:r>
      <w:r w:rsidRPr="00D61C44">
        <w:rPr>
          <w:i/>
          <w:sz w:val="24"/>
          <w:szCs w:val="24"/>
        </w:rPr>
        <w:t>a priori</w:t>
      </w:r>
      <w:r w:rsidRPr="00D61C44">
        <w:rPr>
          <w:sz w:val="24"/>
          <w:szCs w:val="24"/>
        </w:rPr>
        <w:t xml:space="preserve"> method to find it.  We</w:t>
      </w:r>
      <w:r w:rsidR="00F959BC">
        <w:rPr>
          <w:sz w:val="24"/>
          <w:szCs w:val="24"/>
        </w:rPr>
        <w:t>,</w:t>
      </w:r>
      <w:r w:rsidRPr="00D61C44">
        <w:rPr>
          <w:sz w:val="24"/>
          <w:szCs w:val="24"/>
        </w:rPr>
        <w:t xml:space="preserve"> therefore</w:t>
      </w:r>
      <w:r w:rsidR="00F959BC">
        <w:rPr>
          <w:sz w:val="24"/>
          <w:szCs w:val="24"/>
        </w:rPr>
        <w:t>,</w:t>
      </w:r>
      <w:r w:rsidRPr="00D61C44">
        <w:rPr>
          <w:sz w:val="24"/>
          <w:szCs w:val="24"/>
        </w:rPr>
        <w:t xml:space="preserve"> take an empirical approach to find the optimal Feature length by constructing a series of FFP-based trees using c-SNVs of incrementally longer lengths and choos</w:t>
      </w:r>
      <w:r w:rsidR="00F959BC">
        <w:rPr>
          <w:sz w:val="24"/>
          <w:szCs w:val="24"/>
        </w:rPr>
        <w:t>ing</w:t>
      </w:r>
      <w:r w:rsidRPr="00D61C44">
        <w:rPr>
          <w:sz w:val="24"/>
          <w:szCs w:val="24"/>
        </w:rPr>
        <w:t xml:space="preserve"> the length that produce</w:t>
      </w:r>
      <w:r w:rsidR="00F959BC">
        <w:rPr>
          <w:sz w:val="24"/>
          <w:szCs w:val="24"/>
        </w:rPr>
        <w:t>s</w:t>
      </w:r>
      <w:r w:rsidRPr="00D61C44">
        <w:rPr>
          <w:sz w:val="24"/>
          <w:szCs w:val="24"/>
        </w:rPr>
        <w:t xml:space="preserve"> the most topologically stable tree when compared with its neighbor trees.  The results for this study are shown in Supplemental Fig. S3.  </w:t>
      </w:r>
      <w:r w:rsidRPr="00D61C44">
        <w:rPr>
          <w:b/>
          <w:sz w:val="24"/>
          <w:szCs w:val="24"/>
        </w:rPr>
        <w:t xml:space="preserve"> </w:t>
      </w:r>
    </w:p>
    <w:p w14:paraId="57649656" w14:textId="77777777" w:rsidR="00D95C74" w:rsidRPr="00D61C44" w:rsidRDefault="00D95C74" w:rsidP="00D95C74">
      <w:pPr>
        <w:spacing w:line="276" w:lineRule="auto"/>
        <w:rPr>
          <w:b/>
          <w:sz w:val="24"/>
          <w:szCs w:val="24"/>
        </w:rPr>
      </w:pPr>
    </w:p>
    <w:p w14:paraId="48E83C6E" w14:textId="77777777" w:rsidR="00D95C74" w:rsidRPr="00D61C44" w:rsidRDefault="00D95C74" w:rsidP="00D95C74">
      <w:pPr>
        <w:spacing w:line="276" w:lineRule="auto"/>
        <w:rPr>
          <w:sz w:val="24"/>
          <w:szCs w:val="24"/>
        </w:rPr>
      </w:pPr>
      <w:r w:rsidRPr="00D61C44">
        <w:rPr>
          <w:b/>
          <w:i/>
          <w:sz w:val="24"/>
          <w:szCs w:val="24"/>
        </w:rPr>
        <w:t>FFP-based PCA</w:t>
      </w:r>
      <w:r w:rsidRPr="00D61C44">
        <w:rPr>
          <w:i/>
          <w:sz w:val="24"/>
          <w:szCs w:val="24"/>
        </w:rPr>
        <w:t>:</w:t>
      </w:r>
      <w:r w:rsidRPr="00D61C44">
        <w:rPr>
          <w:sz w:val="24"/>
          <w:szCs w:val="24"/>
        </w:rPr>
        <w:t xml:space="preserve">  The input for the classical PCA used in this study is the pair-wise “distance” matrix, where the distance is calculated by pair-wise Jensen-Shannon divergence between two leaf nodes represented by two FFPs (see </w:t>
      </w:r>
      <w:r w:rsidRPr="00D61C44">
        <w:rPr>
          <w:b/>
          <w:sz w:val="24"/>
          <w:szCs w:val="24"/>
        </w:rPr>
        <w:t>Jensen-Shannon divergence and “Evolutionary distance matrix”</w:t>
      </w:r>
      <w:r w:rsidRPr="00D61C44">
        <w:rPr>
          <w:sz w:val="24"/>
          <w:szCs w:val="24"/>
        </w:rPr>
        <w:t xml:space="preserve"> below)</w:t>
      </w:r>
    </w:p>
    <w:p w14:paraId="106323FA" w14:textId="77777777" w:rsidR="00D95C74" w:rsidRPr="00D61C44" w:rsidRDefault="00D95C74" w:rsidP="00D95C74">
      <w:pPr>
        <w:spacing w:line="276" w:lineRule="auto"/>
        <w:rPr>
          <w:b/>
          <w:sz w:val="24"/>
          <w:szCs w:val="24"/>
        </w:rPr>
      </w:pPr>
    </w:p>
    <w:p w14:paraId="4667E365" w14:textId="0F004C61" w:rsidR="00D95C74" w:rsidRPr="00C617FC" w:rsidRDefault="00D95C74" w:rsidP="00D95C74">
      <w:pPr>
        <w:spacing w:line="276" w:lineRule="auto"/>
        <w:rPr>
          <w:sz w:val="24"/>
          <w:szCs w:val="24"/>
        </w:rPr>
      </w:pPr>
      <w:r w:rsidRPr="00D61C44">
        <w:rPr>
          <w:b/>
          <w:i/>
          <w:sz w:val="24"/>
          <w:szCs w:val="24"/>
        </w:rPr>
        <w:t>FFP-based rooted Neighbor-Joining (NJ) tree</w:t>
      </w:r>
      <w:r w:rsidRPr="00D61C44">
        <w:rPr>
          <w:b/>
          <w:sz w:val="24"/>
          <w:szCs w:val="24"/>
        </w:rPr>
        <w:t xml:space="preserve">: </w:t>
      </w:r>
      <w:r w:rsidRPr="00D61C44">
        <w:rPr>
          <w:sz w:val="24"/>
          <w:szCs w:val="24"/>
        </w:rPr>
        <w:t>The neighbor-joining trees (</w:t>
      </w:r>
      <w:r w:rsidRPr="00C617FC">
        <w:rPr>
          <w:color w:val="000000" w:themeColor="text1"/>
          <w:sz w:val="24"/>
          <w:szCs w:val="24"/>
        </w:rPr>
        <w:t>13</w:t>
      </w:r>
      <w:r w:rsidRPr="00D61C44">
        <w:rPr>
          <w:sz w:val="24"/>
          <w:szCs w:val="24"/>
        </w:rPr>
        <w:t>) in this study were built using BIONJ (</w:t>
      </w:r>
      <w:r w:rsidRPr="00C617FC">
        <w:rPr>
          <w:i/>
          <w:color w:val="000000" w:themeColor="text1"/>
          <w:sz w:val="24"/>
          <w:szCs w:val="24"/>
        </w:rPr>
        <w:t>14</w:t>
      </w:r>
      <w:r w:rsidRPr="00C617FC">
        <w:rPr>
          <w:color w:val="000000" w:themeColor="text1"/>
          <w:sz w:val="24"/>
          <w:szCs w:val="24"/>
        </w:rPr>
        <w:t>)</w:t>
      </w:r>
      <w:r w:rsidRPr="00D61C44">
        <w:rPr>
          <w:sz w:val="24"/>
          <w:szCs w:val="24"/>
        </w:rPr>
        <w:t xml:space="preserve">.  Two unique differences in this study are: (a) as in PCA above, the starting point is the pair-wise “distance” matrix, where the distance is calculated by pair-wise JS divergence between two leaf nodes represented by two FFPs (see </w:t>
      </w:r>
      <w:r w:rsidRPr="00D61C44">
        <w:rPr>
          <w:b/>
          <w:sz w:val="24"/>
          <w:szCs w:val="24"/>
        </w:rPr>
        <w:t>Jensen-Shannon divergence and “Evolutionary distance matrix”</w:t>
      </w:r>
      <w:r w:rsidRPr="00D61C44">
        <w:rPr>
          <w:sz w:val="24"/>
          <w:szCs w:val="24"/>
        </w:rPr>
        <w:t xml:space="preserve"> below); and (b) the tree is rooted by an artificial out-group (see </w:t>
      </w:r>
      <w:r w:rsidRPr="00D61C44">
        <w:rPr>
          <w:b/>
          <w:sz w:val="24"/>
          <w:szCs w:val="24"/>
        </w:rPr>
        <w:t>Out-group</w:t>
      </w:r>
      <w:r w:rsidRPr="00D61C44">
        <w:rPr>
          <w:sz w:val="24"/>
          <w:szCs w:val="24"/>
        </w:rPr>
        <w:t xml:space="preserve"> below).  Since each branch-length is proportional to the genomic divergence as a result of evolution, the cumulative branch-length</w:t>
      </w:r>
      <w:r w:rsidR="004C08CA">
        <w:rPr>
          <w:sz w:val="24"/>
          <w:szCs w:val="24"/>
        </w:rPr>
        <w:t xml:space="preserve"> from the root</w:t>
      </w:r>
      <w:r w:rsidRPr="00D61C44">
        <w:rPr>
          <w:sz w:val="24"/>
          <w:szCs w:val="24"/>
        </w:rPr>
        <w:t xml:space="preserve"> </w:t>
      </w:r>
      <w:r w:rsidR="004C08CA">
        <w:rPr>
          <w:sz w:val="24"/>
          <w:szCs w:val="24"/>
        </w:rPr>
        <w:t xml:space="preserve">to a given internal node </w:t>
      </w:r>
      <w:r w:rsidRPr="00D61C44">
        <w:rPr>
          <w:sz w:val="24"/>
          <w:szCs w:val="24"/>
        </w:rPr>
        <w:t xml:space="preserve">represents the extent of </w:t>
      </w:r>
      <w:r w:rsidRPr="00C617FC">
        <w:rPr>
          <w:sz w:val="24"/>
          <w:szCs w:val="24"/>
        </w:rPr>
        <w:t xml:space="preserve">evolutionary progression </w:t>
      </w:r>
      <w:r w:rsidR="004C08CA">
        <w:rPr>
          <w:sz w:val="24"/>
          <w:szCs w:val="24"/>
        </w:rPr>
        <w:t>of the node</w:t>
      </w:r>
      <w:r w:rsidRPr="00C617FC">
        <w:rPr>
          <w:sz w:val="24"/>
          <w:szCs w:val="24"/>
        </w:rPr>
        <w:t>.</w:t>
      </w:r>
    </w:p>
    <w:p w14:paraId="1A8B6EAA" w14:textId="77777777" w:rsidR="00D95C74" w:rsidRPr="00C617FC" w:rsidRDefault="00D95C74" w:rsidP="00D95C74">
      <w:pPr>
        <w:spacing w:line="276" w:lineRule="auto"/>
        <w:rPr>
          <w:sz w:val="24"/>
          <w:szCs w:val="24"/>
        </w:rPr>
      </w:pPr>
    </w:p>
    <w:p w14:paraId="7221227B" w14:textId="3C4D9B00" w:rsidR="00D95C74" w:rsidRPr="00D61C44" w:rsidRDefault="00D95C74" w:rsidP="00D95C74">
      <w:pPr>
        <w:rPr>
          <w:color w:val="131413"/>
          <w:sz w:val="24"/>
          <w:szCs w:val="24"/>
        </w:rPr>
      </w:pPr>
      <w:r w:rsidRPr="00D61C44">
        <w:rPr>
          <w:b/>
          <w:i/>
          <w:color w:val="131413"/>
          <w:sz w:val="24"/>
          <w:szCs w:val="24"/>
        </w:rPr>
        <w:t>Jensen-Shannon (JS) divergenc</w:t>
      </w:r>
      <w:r w:rsidR="00F7529D">
        <w:rPr>
          <w:b/>
          <w:i/>
          <w:color w:val="131413"/>
          <w:sz w:val="24"/>
          <w:szCs w:val="24"/>
        </w:rPr>
        <w:t>e and “Evolutionary distance matrix”</w:t>
      </w:r>
      <w:r w:rsidRPr="00D61C44">
        <w:rPr>
          <w:b/>
          <w:i/>
          <w:color w:val="131413"/>
          <w:sz w:val="24"/>
          <w:szCs w:val="24"/>
        </w:rPr>
        <w:t>:</w:t>
      </w:r>
      <w:r w:rsidRPr="00D61C44">
        <w:rPr>
          <w:b/>
          <w:color w:val="131413"/>
          <w:sz w:val="24"/>
          <w:szCs w:val="24"/>
        </w:rPr>
        <w:t xml:space="preserve"> </w:t>
      </w:r>
      <w:r w:rsidRPr="00D61C44">
        <w:rPr>
          <w:color w:val="131413"/>
          <w:sz w:val="24"/>
          <w:szCs w:val="24"/>
        </w:rPr>
        <w:t xml:space="preserve">The “genomic distance” between two FFPs for a given </w:t>
      </w:r>
      <w:r w:rsidRPr="00D61C44">
        <w:rPr>
          <w:rFonts w:ascii="PilGi" w:eastAsia="PilGi" w:hAnsi="PilGi"/>
          <w:color w:val="131413"/>
          <w:sz w:val="24"/>
          <w:szCs w:val="24"/>
        </w:rPr>
        <w:t>l</w:t>
      </w:r>
      <w:r w:rsidRPr="00D61C44">
        <w:rPr>
          <w:color w:val="131413"/>
          <w:sz w:val="24"/>
          <w:szCs w:val="24"/>
        </w:rPr>
        <w:t>, represented by two frequency vectors P and Q for all of the equivalent c-SNVs, are calculated by the JS divergence (</w:t>
      </w:r>
      <w:r w:rsidR="00E14848">
        <w:rPr>
          <w:color w:val="131413"/>
          <w:sz w:val="24"/>
          <w:szCs w:val="24"/>
        </w:rPr>
        <w:t xml:space="preserve">IEEE Trans. Inf. Theory. </w:t>
      </w:r>
      <w:r w:rsidR="00E14848" w:rsidRPr="002C70B5">
        <w:rPr>
          <w:b/>
          <w:color w:val="131413"/>
          <w:sz w:val="24"/>
          <w:szCs w:val="24"/>
        </w:rPr>
        <w:t>37</w:t>
      </w:r>
      <w:r w:rsidR="00E14848">
        <w:rPr>
          <w:color w:val="131413"/>
          <w:sz w:val="24"/>
          <w:szCs w:val="24"/>
        </w:rPr>
        <w:t>, 145-151 (1991)</w:t>
      </w:r>
      <w:r w:rsidRPr="00D61C44">
        <w:rPr>
          <w:color w:val="131413"/>
          <w:sz w:val="24"/>
          <w:szCs w:val="24"/>
        </w:rPr>
        <w:t>:</w:t>
      </w:r>
    </w:p>
    <w:p w14:paraId="7C34C7C2" w14:textId="77777777" w:rsidR="00D95C74" w:rsidRPr="00D61C44" w:rsidRDefault="00D95C74" w:rsidP="00D95C74">
      <w:pPr>
        <w:rPr>
          <w:color w:val="131413"/>
          <w:sz w:val="24"/>
          <w:szCs w:val="24"/>
        </w:rPr>
      </w:pPr>
      <w:r w:rsidRPr="00D61C44">
        <w:rPr>
          <w:noProof/>
          <w:color w:val="131413"/>
          <w:sz w:val="24"/>
          <w:szCs w:val="24"/>
          <w:lang w:val="en-IN" w:eastAsia="en-IN"/>
        </w:rPr>
        <w:drawing>
          <wp:inline distT="0" distB="0" distL="0" distR="0" wp14:anchorId="143293A5" wp14:editId="7356E0C7">
            <wp:extent cx="2947662" cy="453486"/>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32456" cy="466531"/>
                    </a:xfrm>
                    <a:prstGeom prst="rect">
                      <a:avLst/>
                    </a:prstGeom>
                  </pic:spPr>
                </pic:pic>
              </a:graphicData>
            </a:graphic>
          </wp:inline>
        </w:drawing>
      </w:r>
    </w:p>
    <w:p w14:paraId="0FE06014" w14:textId="77777777" w:rsidR="00D95C74" w:rsidRPr="00D61C44" w:rsidRDefault="00D95C74" w:rsidP="00D95C74">
      <w:pPr>
        <w:rPr>
          <w:color w:val="131413"/>
          <w:sz w:val="24"/>
          <w:szCs w:val="24"/>
        </w:rPr>
      </w:pPr>
      <w:r w:rsidRPr="00D61C44">
        <w:rPr>
          <w:b/>
          <w:color w:val="131413"/>
          <w:sz w:val="24"/>
          <w:szCs w:val="24"/>
        </w:rPr>
        <w:t xml:space="preserve"> </w:t>
      </w:r>
      <w:r w:rsidRPr="00D61C44">
        <w:rPr>
          <w:color w:val="131413"/>
          <w:sz w:val="24"/>
          <w:szCs w:val="24"/>
        </w:rPr>
        <w:t xml:space="preserve">Where M = (P + Q)/2 and </w:t>
      </w:r>
      <w:r w:rsidRPr="00D61C44">
        <w:rPr>
          <w:i/>
          <w:color w:val="131413"/>
          <w:sz w:val="24"/>
          <w:szCs w:val="24"/>
        </w:rPr>
        <w:t>KL</w:t>
      </w:r>
      <w:r w:rsidRPr="00D61C44">
        <w:rPr>
          <w:color w:val="131413"/>
          <w:sz w:val="24"/>
          <w:szCs w:val="24"/>
        </w:rPr>
        <w:t xml:space="preserve"> is the </w:t>
      </w:r>
      <w:proofErr w:type="spellStart"/>
      <w:r w:rsidRPr="00D61C44">
        <w:rPr>
          <w:color w:val="131413"/>
          <w:sz w:val="24"/>
          <w:szCs w:val="24"/>
        </w:rPr>
        <w:t>Kullback-Leidler</w:t>
      </w:r>
      <w:proofErr w:type="spellEnd"/>
      <w:r w:rsidRPr="00D61C44">
        <w:rPr>
          <w:color w:val="131413"/>
          <w:sz w:val="24"/>
          <w:szCs w:val="24"/>
        </w:rPr>
        <w:t xml:space="preserve"> (KL) divergence:</w:t>
      </w:r>
    </w:p>
    <w:p w14:paraId="2DD2A9D2" w14:textId="77777777" w:rsidR="00D95C74" w:rsidRPr="00D61C44" w:rsidRDefault="00D95C74" w:rsidP="00D95C74">
      <w:pPr>
        <w:rPr>
          <w:b/>
          <w:color w:val="131413"/>
          <w:sz w:val="24"/>
          <w:szCs w:val="24"/>
        </w:rPr>
      </w:pPr>
    </w:p>
    <w:p w14:paraId="05C9ACDE" w14:textId="77777777" w:rsidR="00D95C74" w:rsidRPr="00D61C44" w:rsidRDefault="00D95C74" w:rsidP="00D95C74">
      <w:pPr>
        <w:rPr>
          <w:b/>
          <w:color w:val="131413"/>
          <w:sz w:val="24"/>
          <w:szCs w:val="24"/>
        </w:rPr>
      </w:pPr>
      <w:r w:rsidRPr="00D61C44">
        <w:rPr>
          <w:b/>
          <w:noProof/>
          <w:color w:val="131413"/>
          <w:sz w:val="24"/>
          <w:szCs w:val="24"/>
          <w:lang w:val="en-IN" w:eastAsia="en-IN"/>
        </w:rPr>
        <w:drawing>
          <wp:inline distT="0" distB="0" distL="0" distR="0" wp14:anchorId="66FA2934" wp14:editId="260B93EC">
            <wp:extent cx="1982147" cy="528573"/>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6688" cy="548451"/>
                    </a:xfrm>
                    <a:prstGeom prst="rect">
                      <a:avLst/>
                    </a:prstGeom>
                  </pic:spPr>
                </pic:pic>
              </a:graphicData>
            </a:graphic>
          </wp:inline>
        </w:drawing>
      </w:r>
    </w:p>
    <w:p w14:paraId="24F97061" w14:textId="1CFE6B40" w:rsidR="00D95C74" w:rsidRPr="00D61C44" w:rsidRDefault="00D95C74" w:rsidP="00D95C74">
      <w:pPr>
        <w:rPr>
          <w:color w:val="131413"/>
          <w:sz w:val="24"/>
          <w:szCs w:val="24"/>
        </w:rPr>
      </w:pPr>
      <w:r w:rsidRPr="00D61C44">
        <w:rPr>
          <w:color w:val="131413"/>
          <w:sz w:val="24"/>
          <w:szCs w:val="24"/>
        </w:rPr>
        <w:t xml:space="preserve">For vector Q, replace P and p by Q and q in </w:t>
      </w:r>
      <w:r w:rsidR="00F959BC">
        <w:rPr>
          <w:color w:val="131413"/>
          <w:sz w:val="24"/>
          <w:szCs w:val="24"/>
        </w:rPr>
        <w:t xml:space="preserve">the </w:t>
      </w:r>
      <w:r w:rsidRPr="00D61C44">
        <w:rPr>
          <w:color w:val="131413"/>
          <w:sz w:val="24"/>
          <w:szCs w:val="24"/>
        </w:rPr>
        <w:t>above equation, where p and q are the components of P and Q vectors.</w:t>
      </w:r>
    </w:p>
    <w:p w14:paraId="105907C4" w14:textId="77777777" w:rsidR="00D95C74" w:rsidRPr="00D61C44" w:rsidRDefault="00D95C74" w:rsidP="00D95C74">
      <w:pPr>
        <w:rPr>
          <w:color w:val="131413"/>
          <w:sz w:val="24"/>
          <w:szCs w:val="24"/>
        </w:rPr>
      </w:pPr>
      <w:r w:rsidRPr="00D61C44">
        <w:rPr>
          <w:i/>
          <w:color w:val="131413"/>
          <w:sz w:val="24"/>
          <w:szCs w:val="24"/>
        </w:rPr>
        <w:t>K</w:t>
      </w:r>
      <w:r w:rsidRPr="00D61C44">
        <w:rPr>
          <w:color w:val="131413"/>
          <w:sz w:val="24"/>
          <w:szCs w:val="24"/>
        </w:rPr>
        <w:t xml:space="preserve"> is the union of all unique c-SNVs in P and Q, and runs usually in millions.  JS divergence has useful properties for our study:  They are symmetric and bound between 0 and 1 for two identical FFPs and two completely different FFPs, respectively; they reflect the extent of genomic divergence as evolution progresses.  The collection of all JS divergence provides a matrix, which we take as the “evolutionary distance matrix”, and use as the starting input for PCA as well as for the construction of neighbor-joining trees.</w:t>
      </w:r>
    </w:p>
    <w:p w14:paraId="428BAB77" w14:textId="77777777" w:rsidR="00D95C74" w:rsidRPr="00D61C44" w:rsidRDefault="00D95C74" w:rsidP="00D95C74">
      <w:pPr>
        <w:rPr>
          <w:rFonts w:eastAsiaTheme="minorHAnsi"/>
          <w:b/>
          <w:color w:val="131413"/>
          <w:sz w:val="24"/>
          <w:szCs w:val="24"/>
        </w:rPr>
      </w:pPr>
    </w:p>
    <w:p w14:paraId="033DD617" w14:textId="3B6B1130" w:rsidR="00D95C74" w:rsidRPr="00D61C44" w:rsidRDefault="00D95C74" w:rsidP="00D95C74">
      <w:pPr>
        <w:spacing w:line="276" w:lineRule="auto"/>
        <w:rPr>
          <w:b/>
          <w:sz w:val="24"/>
          <w:szCs w:val="24"/>
        </w:rPr>
      </w:pPr>
      <w:r w:rsidRPr="00D61C44">
        <w:rPr>
          <w:b/>
          <w:i/>
          <w:sz w:val="24"/>
          <w:szCs w:val="24"/>
        </w:rPr>
        <w:t>Out-group:</w:t>
      </w:r>
      <w:r w:rsidRPr="00D61C44">
        <w:rPr>
          <w:b/>
          <w:sz w:val="24"/>
          <w:szCs w:val="24"/>
        </w:rPr>
        <w:t xml:space="preserve"> </w:t>
      </w:r>
      <w:r w:rsidRPr="00D61C44">
        <w:rPr>
          <w:sz w:val="24"/>
          <w:szCs w:val="24"/>
        </w:rPr>
        <w:t xml:space="preserve">Since our FFP method does not require multiple sequence alignment of the linked SNVs, we construct </w:t>
      </w:r>
      <w:r w:rsidR="00F7529D">
        <w:rPr>
          <w:sz w:val="24"/>
          <w:szCs w:val="24"/>
        </w:rPr>
        <w:t>the</w:t>
      </w:r>
      <w:r w:rsidRPr="00D61C44">
        <w:rPr>
          <w:sz w:val="24"/>
          <w:szCs w:val="24"/>
        </w:rPr>
        <w:t xml:space="preserve"> SNV sequence of </w:t>
      </w:r>
      <w:r w:rsidR="00F7529D">
        <w:rPr>
          <w:sz w:val="24"/>
          <w:szCs w:val="24"/>
        </w:rPr>
        <w:t xml:space="preserve">an </w:t>
      </w:r>
      <w:r w:rsidRPr="00D61C44">
        <w:rPr>
          <w:sz w:val="24"/>
          <w:szCs w:val="24"/>
        </w:rPr>
        <w:t xml:space="preserve">artificial outgroup member by taking </w:t>
      </w:r>
      <w:r w:rsidR="00F7529D">
        <w:rPr>
          <w:sz w:val="24"/>
          <w:szCs w:val="24"/>
        </w:rPr>
        <w:t>one</w:t>
      </w:r>
      <w:r w:rsidRPr="00D61C44">
        <w:rPr>
          <w:sz w:val="24"/>
          <w:szCs w:val="24"/>
        </w:rPr>
        <w:t xml:space="preserve"> actual SNV sequence and shuffl</w:t>
      </w:r>
      <w:r w:rsidR="00F959BC">
        <w:rPr>
          <w:sz w:val="24"/>
          <w:szCs w:val="24"/>
        </w:rPr>
        <w:t>ing</w:t>
      </w:r>
      <w:r w:rsidRPr="00D61C44">
        <w:rPr>
          <w:sz w:val="24"/>
          <w:szCs w:val="24"/>
        </w:rPr>
        <w:t xml:space="preserve"> their sequences.  Such synthetic and artificial SNV sequence</w:t>
      </w:r>
      <w:r w:rsidR="00F959BC">
        <w:rPr>
          <w:sz w:val="24"/>
          <w:szCs w:val="24"/>
        </w:rPr>
        <w:t>s</w:t>
      </w:r>
      <w:r w:rsidRPr="00D61C44">
        <w:rPr>
          <w:sz w:val="24"/>
          <w:szCs w:val="24"/>
        </w:rPr>
        <w:t xml:space="preserve"> would have the same length and composition </w:t>
      </w:r>
      <w:r w:rsidR="00F959BC">
        <w:rPr>
          <w:sz w:val="24"/>
          <w:szCs w:val="24"/>
        </w:rPr>
        <w:t>as</w:t>
      </w:r>
      <w:r w:rsidRPr="00D61C44">
        <w:rPr>
          <w:sz w:val="24"/>
          <w:szCs w:val="24"/>
        </w:rPr>
        <w:t xml:space="preserve"> the </w:t>
      </w:r>
      <w:r w:rsidR="00F7529D">
        <w:rPr>
          <w:sz w:val="24"/>
          <w:szCs w:val="24"/>
        </w:rPr>
        <w:t>actual</w:t>
      </w:r>
      <w:r w:rsidRPr="00D61C44">
        <w:rPr>
          <w:sz w:val="24"/>
          <w:szCs w:val="24"/>
        </w:rPr>
        <w:t xml:space="preserve"> SNV sequence without the contexts of the true SNVs.  The rooting based on such synthetic SNVs as the outgroup allows us to identify the first emerging GG as two EGs of </w:t>
      </w:r>
      <w:proofErr w:type="spellStart"/>
      <w:r w:rsidRPr="00D61C44">
        <w:rPr>
          <w:sz w:val="24"/>
          <w:szCs w:val="24"/>
        </w:rPr>
        <w:t>Khomani_San</w:t>
      </w:r>
      <w:proofErr w:type="spellEnd"/>
      <w:r w:rsidRPr="00D61C44">
        <w:rPr>
          <w:sz w:val="24"/>
          <w:szCs w:val="24"/>
        </w:rPr>
        <w:t xml:space="preserve"> and </w:t>
      </w:r>
      <w:proofErr w:type="spellStart"/>
      <w:r w:rsidRPr="00D61C44">
        <w:rPr>
          <w:sz w:val="24"/>
          <w:szCs w:val="24"/>
        </w:rPr>
        <w:t>Jo_hoan</w:t>
      </w:r>
      <w:proofErr w:type="spellEnd"/>
      <w:r w:rsidRPr="00D61C44">
        <w:rPr>
          <w:sz w:val="24"/>
          <w:szCs w:val="24"/>
        </w:rPr>
        <w:t xml:space="preserve"> of Africa. </w:t>
      </w:r>
    </w:p>
    <w:p w14:paraId="764AEC5F" w14:textId="77777777" w:rsidR="00D95C74" w:rsidRPr="00D61C44" w:rsidRDefault="00D95C74" w:rsidP="00D95C74">
      <w:pPr>
        <w:spacing w:line="276" w:lineRule="auto"/>
        <w:rPr>
          <w:b/>
          <w:sz w:val="24"/>
          <w:szCs w:val="24"/>
        </w:rPr>
      </w:pPr>
    </w:p>
    <w:p w14:paraId="335AE550" w14:textId="649F3BB6" w:rsidR="00D95C74" w:rsidRPr="00D61C44" w:rsidRDefault="00D95C74" w:rsidP="00D95C74">
      <w:pPr>
        <w:spacing w:line="276" w:lineRule="auto"/>
        <w:rPr>
          <w:sz w:val="24"/>
          <w:szCs w:val="24"/>
        </w:rPr>
      </w:pPr>
      <w:r w:rsidRPr="00D61C44">
        <w:rPr>
          <w:b/>
          <w:i/>
          <w:sz w:val="24"/>
          <w:szCs w:val="24"/>
        </w:rPr>
        <w:t xml:space="preserve"> “Evolutionary progression scale”:</w:t>
      </w:r>
      <w:r w:rsidRPr="00D61C44">
        <w:rPr>
          <w:b/>
          <w:sz w:val="24"/>
          <w:szCs w:val="24"/>
        </w:rPr>
        <w:t xml:space="preserve"> </w:t>
      </w:r>
      <w:r w:rsidRPr="00D61C44">
        <w:rPr>
          <w:sz w:val="24"/>
          <w:szCs w:val="24"/>
        </w:rPr>
        <w:t xml:space="preserve"> In Information Theory, the Jensen-Shannon (JS) divergence, bound between zero and one, is commonly used as a measure of the dissimilarity between two probability distribution</w:t>
      </w:r>
      <w:r w:rsidR="00F959BC">
        <w:rPr>
          <w:sz w:val="24"/>
          <w:szCs w:val="24"/>
        </w:rPr>
        <w:t>s</w:t>
      </w:r>
      <w:r w:rsidRPr="00D61C44">
        <w:rPr>
          <w:sz w:val="24"/>
          <w:szCs w:val="24"/>
        </w:rPr>
        <w:t xml:space="preserve"> of linear informational features.  The FFP as the distribution of frequencies (character states) of unique c-SNVs (genomic characters) is such a probability distribution.  Thus, a JS divergence of two FFPs, used as a measure of the </w:t>
      </w:r>
      <w:r>
        <w:rPr>
          <w:sz w:val="24"/>
          <w:szCs w:val="24"/>
        </w:rPr>
        <w:t>genomic-</w:t>
      </w:r>
      <w:r w:rsidRPr="00D61C44">
        <w:rPr>
          <w:sz w:val="24"/>
          <w:szCs w:val="24"/>
        </w:rPr>
        <w:t>divergen</w:t>
      </w:r>
      <w:r>
        <w:rPr>
          <w:sz w:val="24"/>
          <w:szCs w:val="24"/>
        </w:rPr>
        <w:t>ce</w:t>
      </w:r>
      <w:r w:rsidRPr="00D61C44">
        <w:rPr>
          <w:sz w:val="24"/>
          <w:szCs w:val="24"/>
        </w:rPr>
        <w:t xml:space="preserve"> distance between two FFPs of c-SNVs, is also bound between 0 and 1, corresponding to the JS divergence value between two identical FFPs, representing two organisms with</w:t>
      </w:r>
      <w:r w:rsidR="00F959BC">
        <w:rPr>
          <w:sz w:val="24"/>
          <w:szCs w:val="24"/>
        </w:rPr>
        <w:t xml:space="preserve"> the</w:t>
      </w:r>
      <w:r w:rsidRPr="00D61C44">
        <w:rPr>
          <w:sz w:val="24"/>
          <w:szCs w:val="24"/>
        </w:rPr>
        <w:t xml:space="preserve"> identical genome, and two completely different FFPs, representing two organisms with completely different genomes, respectively. </w:t>
      </w:r>
      <w:r w:rsidRPr="00C617FC">
        <w:rPr>
          <w:color w:val="000000" w:themeColor="text1"/>
          <w:sz w:val="24"/>
          <w:szCs w:val="24"/>
        </w:rPr>
        <w:t>In addition, since the genomic divergence is defined mathematically similar to physical entropy, which increase</w:t>
      </w:r>
      <w:r w:rsidR="00F959BC">
        <w:rPr>
          <w:color w:val="000000" w:themeColor="text1"/>
          <w:sz w:val="24"/>
          <w:szCs w:val="24"/>
        </w:rPr>
        <w:t>s</w:t>
      </w:r>
      <w:r w:rsidRPr="00C617FC">
        <w:rPr>
          <w:color w:val="000000" w:themeColor="text1"/>
          <w:sz w:val="24"/>
          <w:szCs w:val="24"/>
        </w:rPr>
        <w:t xml:space="preserve"> on time progression, the JS divergence will have the same direction and magnitude of evolutionary progression, thus “evolutionary progression scale”. </w:t>
      </w:r>
      <w:r w:rsidRPr="00D61C44">
        <w:rPr>
          <w:sz w:val="24"/>
          <w:szCs w:val="24"/>
        </w:rPr>
        <w:t xml:space="preserve"> Any whole c-SNV “dissimilarity” between two individuals accumulated during the evolution from their common ancestor can be considered as the sum of the two divergences, each expressed as cumulative branch-length from the common ancestor to </w:t>
      </w:r>
      <w:r w:rsidRPr="00D61C44">
        <w:rPr>
          <w:sz w:val="24"/>
          <w:szCs w:val="24"/>
        </w:rPr>
        <w:lastRenderedPageBreak/>
        <w:t xml:space="preserve">respective leaf node as caused by changes of, ultimately, genomic sequences due to all types of mutations, such as point substitutions, indels, inversion, recombination, loss/gain of genes, etc. as well as other unknown mechanisms, and they will bring JS divergence somewhere between 0.0 and 1.0 depending on the degree of the sequence divergences from the common ancestor.  </w:t>
      </w:r>
    </w:p>
    <w:p w14:paraId="411BEEBA" w14:textId="1E0D7A0D" w:rsidR="00D95C74" w:rsidRPr="00D61C44" w:rsidRDefault="00D95C74" w:rsidP="00D95C74">
      <w:pPr>
        <w:spacing w:line="276" w:lineRule="auto"/>
        <w:rPr>
          <w:sz w:val="24"/>
          <w:szCs w:val="24"/>
        </w:rPr>
      </w:pPr>
      <w:r w:rsidRPr="00D61C44">
        <w:rPr>
          <w:sz w:val="24"/>
          <w:szCs w:val="24"/>
        </w:rPr>
        <w:tab/>
        <w:t xml:space="preserve">In this study the collection of the JS divergences for all pairs of the study </w:t>
      </w:r>
      <w:r w:rsidR="00F06018">
        <w:rPr>
          <w:sz w:val="24"/>
          <w:szCs w:val="24"/>
        </w:rPr>
        <w:t>individual</w:t>
      </w:r>
      <w:r w:rsidRPr="00D61C44">
        <w:rPr>
          <w:sz w:val="24"/>
          <w:szCs w:val="24"/>
        </w:rPr>
        <w:t xml:space="preserve">s plus 2 out-group members (see </w:t>
      </w:r>
      <w:r w:rsidR="00F06018">
        <w:rPr>
          <w:sz w:val="24"/>
          <w:szCs w:val="24"/>
        </w:rPr>
        <w:t>“</w:t>
      </w:r>
      <w:r w:rsidRPr="00D61C44">
        <w:rPr>
          <w:b/>
          <w:sz w:val="24"/>
          <w:szCs w:val="24"/>
        </w:rPr>
        <w:t>Outgroup</w:t>
      </w:r>
      <w:r w:rsidR="00F06018">
        <w:rPr>
          <w:b/>
          <w:sz w:val="24"/>
          <w:szCs w:val="24"/>
        </w:rPr>
        <w:t>”</w:t>
      </w:r>
      <w:r w:rsidRPr="00D61C44">
        <w:rPr>
          <w:sz w:val="24"/>
          <w:szCs w:val="24"/>
        </w:rPr>
        <w:t xml:space="preserve"> in Materials and Methods) constitutes the “distance matrix” for BIONJ </w:t>
      </w:r>
      <w:bookmarkStart w:id="1" w:name="__UnoMark__7835_691224392"/>
      <w:bookmarkStart w:id="2" w:name="__UnoMark__7842_691224392"/>
      <w:bookmarkStart w:id="3" w:name="Mendeley_Bookmark_fGXTFNcX1J"/>
      <w:bookmarkStart w:id="4" w:name="Mendeley_Bookmark_yqmrwTpHqQ"/>
      <w:r>
        <w:rPr>
          <w:sz w:val="24"/>
          <w:szCs w:val="24"/>
        </w:rPr>
        <w:t>(</w:t>
      </w:r>
      <w:r w:rsidRPr="00C617FC">
        <w:rPr>
          <w:i/>
          <w:color w:val="000000" w:themeColor="text1"/>
          <w:sz w:val="24"/>
          <w:szCs w:val="24"/>
        </w:rPr>
        <w:t>13, 14</w:t>
      </w:r>
      <w:bookmarkEnd w:id="1"/>
      <w:bookmarkEnd w:id="2"/>
      <w:bookmarkEnd w:id="3"/>
      <w:bookmarkEnd w:id="4"/>
      <w:r>
        <w:rPr>
          <w:sz w:val="24"/>
          <w:szCs w:val="24"/>
        </w:rPr>
        <w:t>)</w:t>
      </w:r>
      <w:r w:rsidRPr="00D61C44">
        <w:rPr>
          <w:sz w:val="24"/>
          <w:szCs w:val="24"/>
        </w:rPr>
        <w:t xml:space="preserve">.   Since all the branch-lengths are derived from the JS divergence values, the cumulative branch-length of an internal node corresponds to “cumulative genomic divergence (CGD)” of the node along the presumed evolutionary lineage.  Thus, it can be considered as the point of evolutionary stage reached by the node on an “evolutionary progression scale”.  For convenience of assigning the nodes on the progression scale, CGDs are scaled such that the CGD value at the root node of the tree is set to zero and the leaf nodes of the individuals to 100, on average, corresponding to the fully evolved genomic states of the individuals at sampling time, which we define as the end point of the “evolutionary progression scale” for the extant individual. (see </w:t>
      </w:r>
      <w:r w:rsidRPr="00D61C44">
        <w:rPr>
          <w:color w:val="000000"/>
          <w:sz w:val="24"/>
          <w:szCs w:val="24"/>
        </w:rPr>
        <w:t>Fig. 2</w:t>
      </w:r>
      <w:r w:rsidR="001E6BC0">
        <w:rPr>
          <w:color w:val="000000"/>
          <w:sz w:val="24"/>
          <w:szCs w:val="24"/>
        </w:rPr>
        <w:t xml:space="preserve"> in the main text</w:t>
      </w:r>
      <w:r w:rsidRPr="00D61C44">
        <w:rPr>
          <w:color w:val="000000"/>
          <w:sz w:val="24"/>
          <w:szCs w:val="24"/>
        </w:rPr>
        <w:t>, where</w:t>
      </w:r>
      <w:r w:rsidRPr="00D61C44">
        <w:rPr>
          <w:sz w:val="24"/>
          <w:szCs w:val="24"/>
        </w:rPr>
        <w:t xml:space="preserve"> the cumulative branch-lengths are multiplied by 200 for easy visibility as CGDs, which are used to represent “Evolutionary Progression Scale</w:t>
      </w:r>
      <w:r w:rsidR="00AE517A">
        <w:rPr>
          <w:sz w:val="24"/>
          <w:szCs w:val="24"/>
        </w:rPr>
        <w:t xml:space="preserve"> (EPS)</w:t>
      </w:r>
      <w:r w:rsidRPr="00D61C44">
        <w:rPr>
          <w:sz w:val="24"/>
          <w:szCs w:val="24"/>
        </w:rPr>
        <w:t>”</w:t>
      </w:r>
      <w:r w:rsidRPr="00D61C44">
        <w:rPr>
          <w:color w:val="000000"/>
          <w:sz w:val="24"/>
          <w:szCs w:val="24"/>
        </w:rPr>
        <w:t>)</w:t>
      </w:r>
      <w:r w:rsidRPr="00D61C44">
        <w:rPr>
          <w:i/>
          <w:color w:val="000000"/>
          <w:sz w:val="24"/>
          <w:szCs w:val="24"/>
        </w:rPr>
        <w:t>.</w:t>
      </w:r>
    </w:p>
    <w:p w14:paraId="07D606B7" w14:textId="77777777" w:rsidR="007C7870" w:rsidRDefault="007C7870" w:rsidP="007C7870">
      <w:pPr>
        <w:rPr>
          <w:rFonts w:eastAsia="Times New Roman"/>
          <w:sz w:val="24"/>
          <w:szCs w:val="24"/>
        </w:rPr>
      </w:pPr>
    </w:p>
    <w:p w14:paraId="5AE3AB6E" w14:textId="3D6A39CF" w:rsidR="007C7870" w:rsidRPr="0048731D" w:rsidRDefault="007C7870" w:rsidP="007C7870">
      <w:pPr>
        <w:rPr>
          <w:b/>
          <w:color w:val="000000" w:themeColor="text1"/>
          <w:sz w:val="24"/>
          <w:szCs w:val="24"/>
        </w:rPr>
      </w:pPr>
      <w:r w:rsidRPr="0048731D">
        <w:rPr>
          <w:b/>
          <w:i/>
          <w:color w:val="000000" w:themeColor="text1"/>
          <w:sz w:val="24"/>
          <w:szCs w:val="24"/>
        </w:rPr>
        <w:t>Four ways of estimating the average identity of whole genomes between two individuals among world’s ethnic groups:</w:t>
      </w:r>
      <w:r w:rsidRPr="0048731D">
        <w:rPr>
          <w:b/>
          <w:color w:val="000000" w:themeColor="text1"/>
          <w:sz w:val="24"/>
          <w:szCs w:val="24"/>
        </w:rPr>
        <w:t xml:space="preserve"> </w:t>
      </w:r>
    </w:p>
    <w:p w14:paraId="6B34789E" w14:textId="6DBEC7EB" w:rsidR="007C7870" w:rsidRPr="0048731D" w:rsidRDefault="007C7870" w:rsidP="007C7870">
      <w:pPr>
        <w:ind w:firstLine="720"/>
        <w:rPr>
          <w:color w:val="000000" w:themeColor="text1"/>
          <w:sz w:val="24"/>
          <w:szCs w:val="24"/>
        </w:rPr>
      </w:pPr>
      <w:r w:rsidRPr="0048731D">
        <w:rPr>
          <w:b/>
          <w:color w:val="000000" w:themeColor="text1"/>
          <w:sz w:val="24"/>
          <w:szCs w:val="24"/>
        </w:rPr>
        <w:t>(a). Average genomic identity between one human reference genome and each of all individual genomes from 26 “population groups (PGs)” of the 1KGP</w:t>
      </w:r>
      <w:r w:rsidRPr="0048731D">
        <w:rPr>
          <w:color w:val="000000" w:themeColor="text1"/>
          <w:sz w:val="24"/>
          <w:szCs w:val="24"/>
        </w:rPr>
        <w:t>: The first hint of the extent of the genotype difference between two individuals came from the 1KGP (</w:t>
      </w:r>
      <w:r w:rsidRPr="0048731D">
        <w:rPr>
          <w:i/>
          <w:color w:val="000000" w:themeColor="text1"/>
          <w:sz w:val="24"/>
          <w:szCs w:val="24"/>
        </w:rPr>
        <w:t>4</w:t>
      </w:r>
      <w:r w:rsidRPr="0048731D">
        <w:rPr>
          <w:color w:val="000000" w:themeColor="text1"/>
          <w:sz w:val="24"/>
          <w:szCs w:val="24"/>
        </w:rPr>
        <w:t>), where</w:t>
      </w:r>
      <w:r w:rsidRPr="0048731D">
        <w:rPr>
          <w:b/>
          <w:color w:val="000000" w:themeColor="text1"/>
          <w:sz w:val="24"/>
          <w:szCs w:val="24"/>
        </w:rPr>
        <w:t xml:space="preserve"> </w:t>
      </w:r>
      <w:r w:rsidRPr="0048731D">
        <w:rPr>
          <w:color w:val="000000" w:themeColor="text1"/>
          <w:sz w:val="24"/>
          <w:szCs w:val="24"/>
        </w:rPr>
        <w:t>the</w:t>
      </w:r>
      <w:r w:rsidRPr="0048731D">
        <w:rPr>
          <w:b/>
          <w:color w:val="000000" w:themeColor="text1"/>
          <w:sz w:val="24"/>
          <w:szCs w:val="24"/>
        </w:rPr>
        <w:t xml:space="preserve"> </w:t>
      </w:r>
      <w:r w:rsidRPr="0048731D">
        <w:rPr>
          <w:color w:val="000000" w:themeColor="text1"/>
          <w:sz w:val="24"/>
          <w:szCs w:val="24"/>
        </w:rPr>
        <w:t>genotypes of whole genome SNP loci of each of 2,504 individuals from 26 PGs of the 1KGP were compared with those of a single reference haploid human genome, GRCh37 (</w:t>
      </w:r>
      <w:r w:rsidRPr="0048731D">
        <w:rPr>
          <w:i/>
          <w:color w:val="000000" w:themeColor="text1"/>
          <w:sz w:val="24"/>
          <w:szCs w:val="24"/>
        </w:rPr>
        <w:t>1</w:t>
      </w:r>
      <w:r w:rsidR="00F30EF5">
        <w:rPr>
          <w:i/>
          <w:color w:val="000000" w:themeColor="text1"/>
          <w:sz w:val="24"/>
          <w:szCs w:val="24"/>
        </w:rPr>
        <w:t>7</w:t>
      </w:r>
      <w:r w:rsidRPr="0048731D">
        <w:rPr>
          <w:color w:val="000000" w:themeColor="text1"/>
          <w:sz w:val="24"/>
          <w:szCs w:val="24"/>
        </w:rPr>
        <w:t xml:space="preserve">), which is not of the genome of one individual, but a synthetic hybrid of multiple individuals’ genomes of mostly European ancestries with only the ABO blood type of “O”.  Comparing each of all individual </w:t>
      </w:r>
      <w:r w:rsidR="009C44C4">
        <w:rPr>
          <w:color w:val="000000" w:themeColor="text1"/>
          <w:sz w:val="24"/>
          <w:szCs w:val="24"/>
        </w:rPr>
        <w:t>autosomal-</w:t>
      </w:r>
      <w:r w:rsidRPr="0048731D">
        <w:rPr>
          <w:color w:val="000000" w:themeColor="text1"/>
          <w:sz w:val="24"/>
          <w:szCs w:val="24"/>
        </w:rPr>
        <w:t>genomes to this single reference haploid genome, the study found that, on average, only about 3.58 million (M) (for non-African individuals) to 4.31M (for African individuals) SNP loci out of a total of 84.7M SNP loci (for whole “callable” genome that excludes the regions for which genomic variant calls are difficult) have genotypes different from those of the reference genome (from Table 1 of reference 4).  When averaged over the 5 regional populations (Africa, Americas, East Asia, Europe, and South Asia), 3.73M SNP loci (4.4% of total 84.7M SNP loci) show individual genotypes (SNVs) different from those of the reference genome</w:t>
      </w:r>
      <w:r w:rsidR="00F959BC">
        <w:rPr>
          <w:color w:val="000000" w:themeColor="text1"/>
          <w:sz w:val="24"/>
          <w:szCs w:val="24"/>
        </w:rPr>
        <w:t>;</w:t>
      </w:r>
      <w:r w:rsidRPr="0048731D">
        <w:rPr>
          <w:color w:val="000000" w:themeColor="text1"/>
          <w:sz w:val="24"/>
          <w:szCs w:val="24"/>
        </w:rPr>
        <w:t xml:space="preserve"> thus, 95.6% of </w:t>
      </w:r>
      <w:r w:rsidR="009C44C4">
        <w:rPr>
          <w:color w:val="000000" w:themeColor="text1"/>
          <w:sz w:val="24"/>
          <w:szCs w:val="24"/>
        </w:rPr>
        <w:t xml:space="preserve">autosomal </w:t>
      </w:r>
      <w:r w:rsidRPr="0048731D">
        <w:rPr>
          <w:color w:val="000000" w:themeColor="text1"/>
          <w:sz w:val="24"/>
          <w:szCs w:val="24"/>
        </w:rPr>
        <w:t>SNP loci have identical genotypes, on average, between the reference genome and each of all study population. At this point we make the second approximation that the “</w:t>
      </w:r>
      <w:proofErr w:type="spellStart"/>
      <w:r w:rsidRPr="0048731D">
        <w:rPr>
          <w:color w:val="000000" w:themeColor="text1"/>
          <w:sz w:val="24"/>
          <w:szCs w:val="24"/>
        </w:rPr>
        <w:t>ungapped</w:t>
      </w:r>
      <w:proofErr w:type="spellEnd"/>
      <w:r w:rsidRPr="0048731D">
        <w:rPr>
          <w:color w:val="000000" w:themeColor="text1"/>
          <w:sz w:val="24"/>
          <w:szCs w:val="24"/>
        </w:rPr>
        <w:t xml:space="preserve">” reference genome GRCh37, which has about 2.87 B </w:t>
      </w:r>
      <w:proofErr w:type="spellStart"/>
      <w:r w:rsidRPr="0048731D">
        <w:rPr>
          <w:color w:val="000000" w:themeColor="text1"/>
          <w:sz w:val="24"/>
          <w:szCs w:val="24"/>
        </w:rPr>
        <w:t>basepairs</w:t>
      </w:r>
      <w:proofErr w:type="spellEnd"/>
      <w:r w:rsidRPr="0048731D">
        <w:rPr>
          <w:color w:val="000000" w:themeColor="text1"/>
          <w:sz w:val="24"/>
          <w:szCs w:val="24"/>
        </w:rPr>
        <w:t xml:space="preserve"> (1</w:t>
      </w:r>
      <w:r w:rsidR="00F30EF5">
        <w:rPr>
          <w:color w:val="000000" w:themeColor="text1"/>
          <w:sz w:val="24"/>
          <w:szCs w:val="24"/>
        </w:rPr>
        <w:t>7</w:t>
      </w:r>
      <w:r w:rsidRPr="0048731D">
        <w:rPr>
          <w:color w:val="000000" w:themeColor="text1"/>
          <w:sz w:val="24"/>
          <w:szCs w:val="24"/>
        </w:rPr>
        <w:t>), may be a reasonable proxy for the “genotype-callable” genome.  Extrapolating the 95.6% of SNP loci identity within all SNP loci to the whole “</w:t>
      </w:r>
      <w:proofErr w:type="spellStart"/>
      <w:r w:rsidRPr="0048731D">
        <w:rPr>
          <w:color w:val="000000" w:themeColor="text1"/>
          <w:sz w:val="24"/>
          <w:szCs w:val="24"/>
        </w:rPr>
        <w:t>ungapped</w:t>
      </w:r>
      <w:proofErr w:type="spellEnd"/>
      <w:r w:rsidRPr="0048731D">
        <w:rPr>
          <w:color w:val="000000" w:themeColor="text1"/>
          <w:sz w:val="24"/>
          <w:szCs w:val="24"/>
        </w:rPr>
        <w:t xml:space="preserve">” genome of the reference genome (which is about 92.5% of the total GRCh37 sequence length, but excludes the regions such as </w:t>
      </w:r>
      <w:proofErr w:type="spellStart"/>
      <w:r w:rsidRPr="0048731D">
        <w:rPr>
          <w:color w:val="000000" w:themeColor="text1"/>
          <w:sz w:val="24"/>
          <w:szCs w:val="24"/>
        </w:rPr>
        <w:t>pericentromeric</w:t>
      </w:r>
      <w:proofErr w:type="spellEnd"/>
      <w:r w:rsidRPr="0048731D">
        <w:rPr>
          <w:color w:val="000000" w:themeColor="text1"/>
          <w:sz w:val="24"/>
          <w:szCs w:val="24"/>
        </w:rPr>
        <w:t xml:space="preserve"> and </w:t>
      </w:r>
      <w:proofErr w:type="spellStart"/>
      <w:r w:rsidRPr="0048731D">
        <w:rPr>
          <w:color w:val="000000" w:themeColor="text1"/>
          <w:sz w:val="24"/>
          <w:szCs w:val="24"/>
        </w:rPr>
        <w:t>subtelomeric</w:t>
      </w:r>
      <w:proofErr w:type="spellEnd"/>
      <w:r w:rsidRPr="0048731D">
        <w:rPr>
          <w:color w:val="000000" w:themeColor="text1"/>
          <w:sz w:val="24"/>
          <w:szCs w:val="24"/>
        </w:rPr>
        <w:t xml:space="preserve"> regions, </w:t>
      </w:r>
      <w:proofErr w:type="spellStart"/>
      <w:r w:rsidRPr="0048731D">
        <w:rPr>
          <w:color w:val="000000" w:themeColor="text1"/>
          <w:sz w:val="24"/>
          <w:szCs w:val="24"/>
        </w:rPr>
        <w:t>ampliconic</w:t>
      </w:r>
      <w:proofErr w:type="spellEnd"/>
      <w:r w:rsidRPr="0048731D">
        <w:rPr>
          <w:color w:val="000000" w:themeColor="text1"/>
          <w:sz w:val="24"/>
          <w:szCs w:val="24"/>
        </w:rPr>
        <w:t xml:space="preserve"> gene arrays, and ribosomal DNA arrays (</w:t>
      </w:r>
      <w:r w:rsidRPr="0048731D">
        <w:rPr>
          <w:i/>
          <w:color w:val="000000" w:themeColor="text1"/>
          <w:sz w:val="24"/>
          <w:szCs w:val="24"/>
        </w:rPr>
        <w:t>1</w:t>
      </w:r>
      <w:r w:rsidR="00F30EF5">
        <w:rPr>
          <w:i/>
          <w:color w:val="000000" w:themeColor="text1"/>
          <w:sz w:val="24"/>
          <w:szCs w:val="24"/>
        </w:rPr>
        <w:t>6</w:t>
      </w:r>
      <w:r w:rsidRPr="0048731D">
        <w:rPr>
          <w:i/>
          <w:color w:val="000000" w:themeColor="text1"/>
          <w:sz w:val="24"/>
          <w:szCs w:val="24"/>
        </w:rPr>
        <w:t>, 1</w:t>
      </w:r>
      <w:r w:rsidR="00F30EF5">
        <w:rPr>
          <w:i/>
          <w:color w:val="000000" w:themeColor="text1"/>
          <w:sz w:val="24"/>
          <w:szCs w:val="24"/>
        </w:rPr>
        <w:t>7</w:t>
      </w:r>
      <w:r w:rsidRPr="0048731D">
        <w:rPr>
          <w:color w:val="000000" w:themeColor="text1"/>
          <w:sz w:val="24"/>
          <w:szCs w:val="24"/>
        </w:rPr>
        <w:t>)), 99.86% of the ”</w:t>
      </w:r>
      <w:proofErr w:type="spellStart"/>
      <w:r w:rsidRPr="0048731D">
        <w:rPr>
          <w:color w:val="000000" w:themeColor="text1"/>
          <w:sz w:val="24"/>
          <w:szCs w:val="24"/>
        </w:rPr>
        <w:t>ungapped</w:t>
      </w:r>
      <w:proofErr w:type="spellEnd"/>
      <w:r w:rsidRPr="0048731D">
        <w:rPr>
          <w:color w:val="000000" w:themeColor="text1"/>
          <w:sz w:val="24"/>
          <w:szCs w:val="24"/>
        </w:rPr>
        <w:t xml:space="preserve">” whole </w:t>
      </w:r>
      <w:r w:rsidR="009C44C4">
        <w:rPr>
          <w:color w:val="000000" w:themeColor="text1"/>
          <w:sz w:val="24"/>
          <w:szCs w:val="24"/>
        </w:rPr>
        <w:t>autosomal-</w:t>
      </w:r>
      <w:r w:rsidRPr="0048731D">
        <w:rPr>
          <w:color w:val="000000" w:themeColor="text1"/>
          <w:sz w:val="24"/>
          <w:szCs w:val="24"/>
        </w:rPr>
        <w:t xml:space="preserve">genome of each individual, on average, have identical genotypes as those of the reference genome under the two simplifying approximations. </w:t>
      </w:r>
    </w:p>
    <w:p w14:paraId="5704478C" w14:textId="77777777" w:rsidR="007C7870" w:rsidRPr="0048731D" w:rsidRDefault="007C7870" w:rsidP="007C7870">
      <w:pPr>
        <w:rPr>
          <w:color w:val="000000" w:themeColor="text1"/>
          <w:sz w:val="24"/>
          <w:szCs w:val="24"/>
        </w:rPr>
      </w:pPr>
      <w:r w:rsidRPr="0048731D">
        <w:rPr>
          <w:color w:val="000000" w:themeColor="text1"/>
          <w:sz w:val="24"/>
          <w:szCs w:val="24"/>
        </w:rPr>
        <w:lastRenderedPageBreak/>
        <w:tab/>
      </w:r>
    </w:p>
    <w:p w14:paraId="5A39B354" w14:textId="514F3494" w:rsidR="007C7870" w:rsidRPr="0048731D" w:rsidRDefault="007C7870" w:rsidP="007C7870">
      <w:pPr>
        <w:ind w:firstLine="720"/>
        <w:rPr>
          <w:color w:val="000000" w:themeColor="text1"/>
          <w:sz w:val="24"/>
          <w:szCs w:val="24"/>
        </w:rPr>
      </w:pPr>
      <w:r w:rsidRPr="0048731D">
        <w:rPr>
          <w:b/>
          <w:color w:val="000000" w:themeColor="text1"/>
          <w:sz w:val="24"/>
          <w:szCs w:val="24"/>
        </w:rPr>
        <w:t>(b). Average genomic identity between two individuals among 26 PGs of the 1KGP:</w:t>
      </w:r>
      <w:r w:rsidRPr="0048731D">
        <w:rPr>
          <w:color w:val="000000" w:themeColor="text1"/>
          <w:sz w:val="24"/>
          <w:szCs w:val="24"/>
        </w:rPr>
        <w:t xml:space="preserve"> However, the above result is biased toward European genomes, because the reference genome</w:t>
      </w:r>
      <w:r w:rsidR="004A43AB">
        <w:rPr>
          <w:color w:val="000000" w:themeColor="text1"/>
          <w:sz w:val="24"/>
          <w:szCs w:val="24"/>
        </w:rPr>
        <w:t>,</w:t>
      </w:r>
      <w:r w:rsidRPr="0048731D">
        <w:rPr>
          <w:color w:val="000000" w:themeColor="text1"/>
          <w:sz w:val="24"/>
          <w:szCs w:val="24"/>
        </w:rPr>
        <w:t xml:space="preserve"> to which each of all other individual genomes are compared</w:t>
      </w:r>
      <w:r w:rsidR="004A43AB">
        <w:rPr>
          <w:color w:val="000000" w:themeColor="text1"/>
          <w:sz w:val="24"/>
          <w:szCs w:val="24"/>
        </w:rPr>
        <w:t>,</w:t>
      </w:r>
      <w:r w:rsidRPr="0048731D">
        <w:rPr>
          <w:color w:val="000000" w:themeColor="text1"/>
          <w:sz w:val="24"/>
          <w:szCs w:val="24"/>
        </w:rPr>
        <w:t xml:space="preserve"> is constructed from multiple European-descendant genomes.  To avoid potential effects of the bias we calculated, for the second estimation, the genotype identity of all-to-all pairs (3,103,786 pairs) from 2492</w:t>
      </w:r>
      <w:r w:rsidRPr="0048731D">
        <w:rPr>
          <w:b/>
          <w:color w:val="000000" w:themeColor="text1"/>
          <w:sz w:val="24"/>
          <w:szCs w:val="24"/>
        </w:rPr>
        <w:t xml:space="preserve"> </w:t>
      </w:r>
      <w:r w:rsidRPr="0048731D">
        <w:rPr>
          <w:color w:val="000000" w:themeColor="text1"/>
          <w:sz w:val="24"/>
          <w:szCs w:val="24"/>
        </w:rPr>
        <w:t>individuals of the 1KGP</w:t>
      </w:r>
      <w:r w:rsidRPr="0048731D">
        <w:rPr>
          <w:b/>
          <w:color w:val="000000" w:themeColor="text1"/>
          <w:sz w:val="24"/>
          <w:szCs w:val="24"/>
        </w:rPr>
        <w:t xml:space="preserve"> (</w:t>
      </w:r>
      <w:r w:rsidRPr="0048731D">
        <w:rPr>
          <w:color w:val="000000" w:themeColor="text1"/>
          <w:sz w:val="24"/>
          <w:szCs w:val="24"/>
        </w:rPr>
        <w:t xml:space="preserve">after excluding the reference genome and filtering out 12 kinship related samples from 2504 samples) from the 26 </w:t>
      </w:r>
      <w:proofErr w:type="spellStart"/>
      <w:r w:rsidRPr="0048731D">
        <w:rPr>
          <w:color w:val="000000" w:themeColor="text1"/>
          <w:sz w:val="24"/>
          <w:szCs w:val="24"/>
        </w:rPr>
        <w:t>PGs.</w:t>
      </w:r>
      <w:proofErr w:type="spellEnd"/>
      <w:r w:rsidRPr="0048731D">
        <w:rPr>
          <w:color w:val="000000" w:themeColor="text1"/>
          <w:sz w:val="24"/>
          <w:szCs w:val="24"/>
        </w:rPr>
        <w:t xml:space="preserve">  </w:t>
      </w:r>
      <w:r w:rsidR="006B239B">
        <w:rPr>
          <w:color w:val="000000" w:themeColor="text1"/>
          <w:sz w:val="24"/>
          <w:szCs w:val="24"/>
        </w:rPr>
        <w:t>Fig. 4</w:t>
      </w:r>
      <w:r w:rsidRPr="0048731D">
        <w:rPr>
          <w:color w:val="000000" w:themeColor="text1"/>
          <w:sz w:val="24"/>
          <w:szCs w:val="24"/>
        </w:rPr>
        <w:t>A</w:t>
      </w:r>
      <w:r w:rsidRPr="0048731D">
        <w:rPr>
          <w:b/>
          <w:color w:val="000000" w:themeColor="text1"/>
          <w:sz w:val="24"/>
          <w:szCs w:val="24"/>
        </w:rPr>
        <w:t xml:space="preserve"> </w:t>
      </w:r>
      <w:r w:rsidRPr="0048731D">
        <w:rPr>
          <w:color w:val="000000" w:themeColor="text1"/>
          <w:sz w:val="24"/>
          <w:szCs w:val="24"/>
        </w:rPr>
        <w:t xml:space="preserve">shows a summary of the results averaged for each of the 26 PGs of 5 continental groups in four different ways: The average of the SNV identity between the pairs of all individuals within each of all 26 PGs equals 95.54% (with a standard deviation (SD) of 0.05%); that between one from each of African PGs and the other from the rest of PGs is 94.35% (SD 0.11%); that between one from non-African PGs and the other from the rest, is 95.35% (SD 0.14%); and that between one from all groups and the other from the rest of all groups is 95.08% (SD 0.48%).  Thus, the overall SNV genotype identity between two individuals is found to be about 95.08% (range: 94.26% - 95.39% per all PG), on average, of total SNP loci of 84.7 M.  The narrow range of the % SNV identities indicates a very high genomic identity between two individuals regardless of whether they are from the same or different </w:t>
      </w:r>
      <w:proofErr w:type="spellStart"/>
      <w:r w:rsidRPr="0048731D">
        <w:rPr>
          <w:color w:val="000000" w:themeColor="text1"/>
          <w:sz w:val="24"/>
          <w:szCs w:val="24"/>
        </w:rPr>
        <w:t>PGs.</w:t>
      </w:r>
      <w:proofErr w:type="spellEnd"/>
      <w:r w:rsidRPr="0048731D">
        <w:rPr>
          <w:color w:val="000000" w:themeColor="text1"/>
          <w:sz w:val="24"/>
          <w:szCs w:val="24"/>
        </w:rPr>
        <w:t xml:space="preserve">  Extrapolating the % average SNV identity among all SNP loci to 2.87 B base-pairs of the whole length of the “</w:t>
      </w:r>
      <w:proofErr w:type="spellStart"/>
      <w:r w:rsidRPr="0048731D">
        <w:rPr>
          <w:color w:val="000000" w:themeColor="text1"/>
          <w:sz w:val="24"/>
          <w:szCs w:val="24"/>
        </w:rPr>
        <w:t>ungapped</w:t>
      </w:r>
      <w:proofErr w:type="spellEnd"/>
      <w:r w:rsidRPr="0048731D">
        <w:rPr>
          <w:color w:val="000000" w:themeColor="text1"/>
          <w:sz w:val="24"/>
          <w:szCs w:val="24"/>
        </w:rPr>
        <w:t>” reference genome of GRCh37 (</w:t>
      </w:r>
      <w:r w:rsidRPr="0048731D">
        <w:rPr>
          <w:i/>
          <w:color w:val="000000" w:themeColor="text1"/>
          <w:sz w:val="24"/>
          <w:szCs w:val="24"/>
        </w:rPr>
        <w:t>1</w:t>
      </w:r>
      <w:r w:rsidR="00F30EF5">
        <w:rPr>
          <w:i/>
          <w:color w:val="000000" w:themeColor="text1"/>
          <w:sz w:val="24"/>
          <w:szCs w:val="24"/>
        </w:rPr>
        <w:t>7</w:t>
      </w:r>
      <w:r w:rsidRPr="0048731D">
        <w:rPr>
          <w:color w:val="000000" w:themeColor="text1"/>
          <w:sz w:val="24"/>
          <w:szCs w:val="24"/>
        </w:rPr>
        <w:t>), we get 99.87% (range: 99.83% - 99.86% per PG) as an overall genotype</w:t>
      </w:r>
      <w:r w:rsidRPr="0048731D">
        <w:rPr>
          <w:b/>
          <w:color w:val="000000" w:themeColor="text1"/>
          <w:sz w:val="24"/>
          <w:szCs w:val="24"/>
        </w:rPr>
        <w:t xml:space="preserve"> </w:t>
      </w:r>
      <w:r w:rsidRPr="0048731D">
        <w:rPr>
          <w:color w:val="000000" w:themeColor="text1"/>
          <w:sz w:val="24"/>
          <w:szCs w:val="24"/>
        </w:rPr>
        <w:t>identity, on average, for the “</w:t>
      </w:r>
      <w:proofErr w:type="spellStart"/>
      <w:r w:rsidRPr="0048731D">
        <w:rPr>
          <w:color w:val="000000" w:themeColor="text1"/>
          <w:sz w:val="24"/>
          <w:szCs w:val="24"/>
        </w:rPr>
        <w:t>ungapped</w:t>
      </w:r>
      <w:proofErr w:type="spellEnd"/>
      <w:r w:rsidRPr="0048731D">
        <w:rPr>
          <w:color w:val="000000" w:themeColor="text1"/>
          <w:sz w:val="24"/>
          <w:szCs w:val="24"/>
        </w:rPr>
        <w:t xml:space="preserve">” GRCh37.  Almost identical % identity is found even when we use the recently updated human reference genome of GRCh38.p13, which shows a longer “total </w:t>
      </w:r>
      <w:proofErr w:type="spellStart"/>
      <w:r w:rsidRPr="0048731D">
        <w:rPr>
          <w:color w:val="000000" w:themeColor="text1"/>
          <w:sz w:val="24"/>
          <w:szCs w:val="24"/>
        </w:rPr>
        <w:t>ungapped</w:t>
      </w:r>
      <w:proofErr w:type="spellEnd"/>
      <w:r w:rsidRPr="0048731D">
        <w:rPr>
          <w:color w:val="000000" w:themeColor="text1"/>
          <w:sz w:val="24"/>
          <w:szCs w:val="24"/>
        </w:rPr>
        <w:t xml:space="preserve"> length” (</w:t>
      </w:r>
      <w:r w:rsidRPr="0048731D">
        <w:rPr>
          <w:i/>
          <w:color w:val="000000" w:themeColor="text1"/>
          <w:sz w:val="24"/>
          <w:szCs w:val="24"/>
        </w:rPr>
        <w:t>1</w:t>
      </w:r>
      <w:r w:rsidR="00F30EF5">
        <w:rPr>
          <w:i/>
          <w:color w:val="000000" w:themeColor="text1"/>
          <w:sz w:val="24"/>
          <w:szCs w:val="24"/>
        </w:rPr>
        <w:t>8</w:t>
      </w:r>
      <w:r w:rsidRPr="0048731D">
        <w:rPr>
          <w:color w:val="000000" w:themeColor="text1"/>
          <w:sz w:val="24"/>
          <w:szCs w:val="24"/>
        </w:rPr>
        <w:t>) and an increased number of total SNP loci (</w:t>
      </w:r>
      <w:r w:rsidRPr="0048731D">
        <w:rPr>
          <w:i/>
          <w:color w:val="000000" w:themeColor="text1"/>
          <w:sz w:val="24"/>
          <w:szCs w:val="24"/>
        </w:rPr>
        <w:t>1</w:t>
      </w:r>
      <w:r w:rsidR="00F30EF5">
        <w:rPr>
          <w:i/>
          <w:color w:val="000000" w:themeColor="text1"/>
          <w:sz w:val="24"/>
          <w:szCs w:val="24"/>
        </w:rPr>
        <w:t>9</w:t>
      </w:r>
      <w:r w:rsidRPr="0048731D">
        <w:rPr>
          <w:color w:val="000000" w:themeColor="text1"/>
          <w:sz w:val="24"/>
          <w:szCs w:val="24"/>
        </w:rPr>
        <w:t xml:space="preserve">)).  For easy visualization of </w:t>
      </w:r>
      <w:r w:rsidR="006B239B">
        <w:rPr>
          <w:color w:val="000000" w:themeColor="text1"/>
          <w:sz w:val="24"/>
          <w:szCs w:val="24"/>
        </w:rPr>
        <w:t>Fig. 4</w:t>
      </w:r>
      <w:r w:rsidRPr="0048731D">
        <w:rPr>
          <w:color w:val="000000" w:themeColor="text1"/>
          <w:sz w:val="24"/>
          <w:szCs w:val="24"/>
        </w:rPr>
        <w:t xml:space="preserve">A, two examples are given: Fig. 3A1 shows the SNV % identities of the genotypes among all SNP loci between two individuals within each of the 26 PGs (blue column of </w:t>
      </w:r>
      <w:r w:rsidR="00F30EF5">
        <w:rPr>
          <w:color w:val="000000" w:themeColor="text1"/>
          <w:sz w:val="24"/>
          <w:szCs w:val="24"/>
        </w:rPr>
        <w:t>Fig. 4</w:t>
      </w:r>
      <w:r w:rsidRPr="0048731D">
        <w:rPr>
          <w:color w:val="000000" w:themeColor="text1"/>
          <w:sz w:val="24"/>
          <w:szCs w:val="24"/>
        </w:rPr>
        <w:t>A), and Fig. 3A2, as one example among many between-group comparisons, shows that between each of five EUR (European) populations and the rest of all other population groups. It is noticeable that the % genotype identity of SNP loci within as well as among seven African PGs is slightly lower (about 1 %), i.e., slightly more diverse, than those of non-African groups (Fig. 3A1), consistent with</w:t>
      </w:r>
      <w:r w:rsidRPr="0048731D">
        <w:rPr>
          <w:b/>
          <w:color w:val="000000" w:themeColor="text1"/>
          <w:sz w:val="24"/>
          <w:szCs w:val="24"/>
        </w:rPr>
        <w:t xml:space="preserve"> </w:t>
      </w:r>
      <w:r w:rsidRPr="0048731D">
        <w:rPr>
          <w:color w:val="000000" w:themeColor="text1"/>
          <w:sz w:val="24"/>
          <w:szCs w:val="24"/>
        </w:rPr>
        <w:t>the segregation of all African GGs and all non-African GGs observed with PCA clustering in Fig. 1.  However, this small difference, when extrapolated from SNP loci to whole genome, it become</w:t>
      </w:r>
      <w:r w:rsidR="004A43AB">
        <w:rPr>
          <w:color w:val="000000" w:themeColor="text1"/>
          <w:sz w:val="24"/>
          <w:szCs w:val="24"/>
        </w:rPr>
        <w:t>s</w:t>
      </w:r>
      <w:r w:rsidRPr="0048731D">
        <w:rPr>
          <w:color w:val="000000" w:themeColor="text1"/>
          <w:sz w:val="24"/>
          <w:szCs w:val="24"/>
        </w:rPr>
        <w:t xml:space="preserve"> negligible. </w:t>
      </w:r>
    </w:p>
    <w:p w14:paraId="72A185D0" w14:textId="77777777" w:rsidR="007C7870" w:rsidRPr="0048731D" w:rsidRDefault="007C7870" w:rsidP="007C7870">
      <w:pPr>
        <w:ind w:firstLine="720"/>
        <w:rPr>
          <w:color w:val="000000" w:themeColor="text1"/>
          <w:sz w:val="24"/>
          <w:szCs w:val="24"/>
        </w:rPr>
      </w:pPr>
      <w:r w:rsidRPr="0048731D">
        <w:rPr>
          <w:color w:val="000000" w:themeColor="text1"/>
          <w:sz w:val="24"/>
          <w:szCs w:val="24"/>
        </w:rPr>
        <w:t>Thus, under the approximating assumptions, all pairs of two individuals in the study population have identical genotypes to each other at 99.87%, on average, of their “</w:t>
      </w:r>
      <w:proofErr w:type="spellStart"/>
      <w:r w:rsidRPr="0048731D">
        <w:rPr>
          <w:color w:val="000000" w:themeColor="text1"/>
          <w:sz w:val="24"/>
          <w:szCs w:val="24"/>
        </w:rPr>
        <w:t>ungapped</w:t>
      </w:r>
      <w:proofErr w:type="spellEnd"/>
      <w:r w:rsidRPr="0048731D">
        <w:rPr>
          <w:color w:val="000000" w:themeColor="text1"/>
          <w:sz w:val="24"/>
          <w:szCs w:val="24"/>
        </w:rPr>
        <w:t>” genomes.</w:t>
      </w:r>
    </w:p>
    <w:p w14:paraId="399776C5" w14:textId="77777777" w:rsidR="007C7870" w:rsidRPr="0048731D" w:rsidRDefault="007C7870" w:rsidP="007C7870">
      <w:pPr>
        <w:autoSpaceDE w:val="0"/>
        <w:autoSpaceDN w:val="0"/>
        <w:adjustRightInd w:val="0"/>
        <w:ind w:firstLine="720"/>
        <w:rPr>
          <w:b/>
          <w:color w:val="000000" w:themeColor="text1"/>
          <w:sz w:val="24"/>
          <w:szCs w:val="24"/>
        </w:rPr>
      </w:pPr>
    </w:p>
    <w:p w14:paraId="02B4474D" w14:textId="7C94A3FC" w:rsidR="007C7870" w:rsidRPr="0048731D" w:rsidRDefault="007C7870" w:rsidP="007C7870">
      <w:pPr>
        <w:autoSpaceDE w:val="0"/>
        <w:autoSpaceDN w:val="0"/>
        <w:adjustRightInd w:val="0"/>
        <w:ind w:firstLine="720"/>
        <w:rPr>
          <w:b/>
          <w:color w:val="000000" w:themeColor="text1"/>
          <w:sz w:val="24"/>
          <w:szCs w:val="24"/>
        </w:rPr>
      </w:pPr>
      <w:r w:rsidRPr="0048731D">
        <w:rPr>
          <w:b/>
          <w:color w:val="000000" w:themeColor="text1"/>
          <w:sz w:val="24"/>
          <w:szCs w:val="24"/>
        </w:rPr>
        <w:t>(c). Average genomic identity between two individuals among all members of 164 ethnic groups of the SGDP:</w:t>
      </w:r>
      <w:r w:rsidRPr="0048731D">
        <w:rPr>
          <w:color w:val="000000" w:themeColor="text1"/>
          <w:sz w:val="24"/>
          <w:szCs w:val="24"/>
        </w:rPr>
        <w:t xml:space="preserve"> So far, the above two estimates are based on the 1KGP data that covers 26 PGs, which are much broadly defined geographical/ethnic population groups than the ethnic groups of the SGDP based on genetic, linguistic and cultural variations.  Thus, for our third estimation, we examined the degree of genotype identity between two individuals of the study population of the SGDP database containing 164 ethnicity-based EGs, where the genomes were sequenced to an average coverage of 43-fold, which is much deeper than that of 1KGP.   However, we cannot directly compare the SGDP study (</w:t>
      </w:r>
      <w:r w:rsidRPr="0048731D">
        <w:rPr>
          <w:i/>
          <w:color w:val="000000" w:themeColor="text1"/>
          <w:sz w:val="24"/>
          <w:szCs w:val="24"/>
        </w:rPr>
        <w:t>5</w:t>
      </w:r>
      <w:r w:rsidRPr="0048731D">
        <w:rPr>
          <w:color w:val="000000" w:themeColor="text1"/>
          <w:sz w:val="24"/>
          <w:szCs w:val="24"/>
        </w:rPr>
        <w:t>) with that of the 1KGP (</w:t>
      </w:r>
      <w:r w:rsidRPr="0048731D">
        <w:rPr>
          <w:i/>
          <w:color w:val="000000" w:themeColor="text1"/>
          <w:sz w:val="24"/>
          <w:szCs w:val="24"/>
        </w:rPr>
        <w:t>4</w:t>
      </w:r>
      <w:r w:rsidRPr="0048731D">
        <w:rPr>
          <w:color w:val="000000" w:themeColor="text1"/>
          <w:sz w:val="24"/>
          <w:szCs w:val="24"/>
        </w:rPr>
        <w:t xml:space="preserve">), because in the SGDP study the authors “retained” an average of 2.13B base-pairs per genome after filtering at “filter level 1”, and identified 34.4M SNP loci (in contrast to 84.7M SNP loci out of 2.87B </w:t>
      </w:r>
      <w:r w:rsidRPr="0048731D">
        <w:rPr>
          <w:color w:val="000000" w:themeColor="text1"/>
          <w:sz w:val="24"/>
          <w:szCs w:val="24"/>
        </w:rPr>
        <w:lastRenderedPageBreak/>
        <w:t>“</w:t>
      </w:r>
      <w:proofErr w:type="spellStart"/>
      <w:r w:rsidRPr="0048731D">
        <w:rPr>
          <w:color w:val="000000" w:themeColor="text1"/>
          <w:sz w:val="24"/>
          <w:szCs w:val="24"/>
        </w:rPr>
        <w:t>ungapped</w:t>
      </w:r>
      <w:proofErr w:type="spellEnd"/>
      <w:r w:rsidR="000E7746">
        <w:rPr>
          <w:color w:val="000000" w:themeColor="text1"/>
          <w:sz w:val="24"/>
          <w:szCs w:val="24"/>
        </w:rPr>
        <w:t>”</w:t>
      </w:r>
      <w:r w:rsidRPr="0048731D">
        <w:rPr>
          <w:color w:val="000000" w:themeColor="text1"/>
          <w:sz w:val="24"/>
          <w:szCs w:val="24"/>
        </w:rPr>
        <w:t xml:space="preserve"> length of the reference genome (</w:t>
      </w:r>
      <w:r w:rsidRPr="0048731D">
        <w:rPr>
          <w:i/>
          <w:color w:val="000000" w:themeColor="text1"/>
          <w:sz w:val="24"/>
          <w:szCs w:val="24"/>
        </w:rPr>
        <w:t>1</w:t>
      </w:r>
      <w:r w:rsidR="00F30EF5">
        <w:rPr>
          <w:i/>
          <w:color w:val="000000" w:themeColor="text1"/>
          <w:sz w:val="24"/>
          <w:szCs w:val="24"/>
        </w:rPr>
        <w:t>7</w:t>
      </w:r>
      <w:r w:rsidRPr="0048731D">
        <w:rPr>
          <w:color w:val="000000" w:themeColor="text1"/>
          <w:sz w:val="24"/>
          <w:szCs w:val="24"/>
        </w:rPr>
        <w:t xml:space="preserve">) in the 1KGP) </w:t>
      </w:r>
      <w:r w:rsidR="004A43AB">
        <w:rPr>
          <w:color w:val="000000" w:themeColor="text1"/>
          <w:sz w:val="24"/>
          <w:szCs w:val="24"/>
        </w:rPr>
        <w:t xml:space="preserve">also </w:t>
      </w:r>
      <w:r w:rsidRPr="0048731D">
        <w:rPr>
          <w:color w:val="000000" w:themeColor="text1"/>
          <w:sz w:val="24"/>
          <w:szCs w:val="24"/>
        </w:rPr>
        <w:t>using</w:t>
      </w:r>
      <w:r w:rsidR="004A43AB">
        <w:rPr>
          <w:color w:val="000000" w:themeColor="text1"/>
          <w:sz w:val="24"/>
          <w:szCs w:val="24"/>
        </w:rPr>
        <w:t xml:space="preserve"> </w:t>
      </w:r>
      <w:r w:rsidRPr="0048731D">
        <w:rPr>
          <w:color w:val="000000" w:themeColor="text1"/>
          <w:sz w:val="24"/>
          <w:szCs w:val="24"/>
        </w:rPr>
        <w:t>the GRCh37 reference human genome.  Thus, we compare all-to-all</w:t>
      </w:r>
      <w:r w:rsidRPr="0048731D">
        <w:rPr>
          <w:i/>
          <w:color w:val="000000" w:themeColor="text1"/>
          <w:sz w:val="24"/>
          <w:szCs w:val="24"/>
        </w:rPr>
        <w:t xml:space="preserve"> </w:t>
      </w:r>
      <w:r w:rsidRPr="0048731D">
        <w:rPr>
          <w:color w:val="000000" w:themeColor="text1"/>
          <w:sz w:val="24"/>
          <w:szCs w:val="24"/>
        </w:rPr>
        <w:t xml:space="preserve">pairs (59,340 pairs) of the whole genome SNP genotypes from 345 individuals in the SGDP database within the “filtered” genomes.  The results of comparison of all pairs of the SGDP individuals are summarized in </w:t>
      </w:r>
      <w:r w:rsidR="00F30EF5">
        <w:rPr>
          <w:color w:val="000000" w:themeColor="text1"/>
          <w:sz w:val="24"/>
          <w:szCs w:val="24"/>
        </w:rPr>
        <w:t>Fig. 4</w:t>
      </w:r>
      <w:r w:rsidRPr="0048731D">
        <w:rPr>
          <w:color w:val="000000" w:themeColor="text1"/>
          <w:sz w:val="24"/>
          <w:szCs w:val="24"/>
        </w:rPr>
        <w:t>B.   On average, 90.39%</w:t>
      </w:r>
      <w:r w:rsidRPr="0048731D">
        <w:rPr>
          <w:b/>
          <w:color w:val="000000" w:themeColor="text1"/>
          <w:sz w:val="24"/>
          <w:szCs w:val="24"/>
        </w:rPr>
        <w:t xml:space="preserve"> </w:t>
      </w:r>
      <w:r w:rsidRPr="0048731D">
        <w:rPr>
          <w:color w:val="000000" w:themeColor="text1"/>
          <w:sz w:val="24"/>
          <w:szCs w:val="24"/>
        </w:rPr>
        <w:t xml:space="preserve">(range: 88.31% – 91.13%, in the last yellow column of </w:t>
      </w:r>
      <w:r w:rsidR="00F30EF5">
        <w:rPr>
          <w:color w:val="000000" w:themeColor="text1"/>
          <w:sz w:val="24"/>
          <w:szCs w:val="24"/>
        </w:rPr>
        <w:t>Fig. 4</w:t>
      </w:r>
      <w:r w:rsidRPr="0048731D">
        <w:rPr>
          <w:color w:val="000000" w:themeColor="text1"/>
          <w:sz w:val="24"/>
          <w:szCs w:val="24"/>
        </w:rPr>
        <w:t xml:space="preserve">B) of 34.4M SNP loci have identical genotypes.  Extrapolating the average SNV identity among all SNP loci of SGDP to 2.13B base-pairs, on average, of the “filtered” whole genome represented in the SGDP data indicates that 99.84% (range: 99.81% - 99.86% per GG) of the “filtered” genome has identical genotypes, on average, between two individuals.  For easy visualization of </w:t>
      </w:r>
      <w:r w:rsidR="00F30EF5">
        <w:rPr>
          <w:color w:val="000000" w:themeColor="text1"/>
          <w:sz w:val="24"/>
          <w:szCs w:val="24"/>
        </w:rPr>
        <w:t>Fig. 4</w:t>
      </w:r>
      <w:r w:rsidRPr="0048731D">
        <w:rPr>
          <w:color w:val="000000" w:themeColor="text1"/>
          <w:sz w:val="24"/>
          <w:szCs w:val="24"/>
        </w:rPr>
        <w:t xml:space="preserve">B, two examples are given: Fig, 3B1 shows the % SNV identities of the genotypes among all SNP loci between two individuals within each given GG, and Fig. 3B2, as one example among many between-group comparisons, shows that between each of GG5 (European) populations and each of the rest of all other GGs groups. </w:t>
      </w:r>
      <w:r w:rsidRPr="0048731D">
        <w:rPr>
          <w:b/>
          <w:color w:val="000000" w:themeColor="text1"/>
          <w:sz w:val="24"/>
          <w:szCs w:val="24"/>
        </w:rPr>
        <w:t xml:space="preserve"> </w:t>
      </w:r>
      <w:r w:rsidRPr="0048731D">
        <w:rPr>
          <w:color w:val="000000" w:themeColor="text1"/>
          <w:sz w:val="24"/>
          <w:szCs w:val="24"/>
        </w:rPr>
        <w:t xml:space="preserve">It is also noticeable, as with 1KGP population, that the % SNV identity within as well as among African GGs is slightly lower, i.e., slightly more diverse, than those of non-African GGs, consistent </w:t>
      </w:r>
      <w:r w:rsidR="004A43AB">
        <w:rPr>
          <w:color w:val="000000" w:themeColor="text1"/>
          <w:sz w:val="24"/>
          <w:szCs w:val="24"/>
        </w:rPr>
        <w:t>with</w:t>
      </w:r>
      <w:r w:rsidRPr="0048731D">
        <w:rPr>
          <w:b/>
          <w:color w:val="000000" w:themeColor="text1"/>
          <w:sz w:val="24"/>
          <w:szCs w:val="24"/>
        </w:rPr>
        <w:t xml:space="preserve"> </w:t>
      </w:r>
      <w:r w:rsidRPr="0048731D">
        <w:rPr>
          <w:color w:val="000000" w:themeColor="text1"/>
          <w:sz w:val="24"/>
          <w:szCs w:val="24"/>
        </w:rPr>
        <w:t>the segregation of two super</w:t>
      </w:r>
      <w:r w:rsidR="004A43AB">
        <w:rPr>
          <w:color w:val="000000" w:themeColor="text1"/>
          <w:sz w:val="24"/>
          <w:szCs w:val="24"/>
        </w:rPr>
        <w:t>-</w:t>
      </w:r>
      <w:r w:rsidRPr="0048731D">
        <w:rPr>
          <w:color w:val="000000" w:themeColor="text1"/>
          <w:sz w:val="24"/>
          <w:szCs w:val="24"/>
        </w:rPr>
        <w:t>groups of all African GGs and all non-African G</w:t>
      </w:r>
      <w:r w:rsidR="00AC6286">
        <w:rPr>
          <w:color w:val="000000" w:themeColor="text1"/>
          <w:sz w:val="24"/>
          <w:szCs w:val="24"/>
        </w:rPr>
        <w:t>G</w:t>
      </w:r>
      <w:r w:rsidRPr="0048731D">
        <w:rPr>
          <w:color w:val="000000" w:themeColor="text1"/>
          <w:sz w:val="24"/>
          <w:szCs w:val="24"/>
        </w:rPr>
        <w:t>s observed with PCA clustering in Fig. 1.</w:t>
      </w:r>
      <w:r w:rsidRPr="0048731D">
        <w:rPr>
          <w:b/>
          <w:color w:val="000000" w:themeColor="text1"/>
          <w:sz w:val="24"/>
          <w:szCs w:val="24"/>
        </w:rPr>
        <w:t xml:space="preserve"> </w:t>
      </w:r>
    </w:p>
    <w:p w14:paraId="591FFF62" w14:textId="77777777" w:rsidR="007C7870" w:rsidRPr="0048731D" w:rsidRDefault="007C7870" w:rsidP="007C7870">
      <w:pPr>
        <w:ind w:firstLine="720"/>
        <w:rPr>
          <w:color w:val="000000" w:themeColor="text1"/>
          <w:sz w:val="24"/>
          <w:szCs w:val="24"/>
        </w:rPr>
      </w:pPr>
      <w:r w:rsidRPr="0048731D">
        <w:rPr>
          <w:color w:val="000000" w:themeColor="text1"/>
          <w:sz w:val="24"/>
          <w:szCs w:val="24"/>
        </w:rPr>
        <w:t>Thus, under the approximating assumptions, all pairs of two individuals in this study population have, on average, 99.84% identical genotypes to each other in their “filtered” genomes.</w:t>
      </w:r>
    </w:p>
    <w:p w14:paraId="3B95251A" w14:textId="77777777" w:rsidR="007C7870" w:rsidRPr="0048731D" w:rsidRDefault="007C7870" w:rsidP="007C7870">
      <w:pPr>
        <w:autoSpaceDE w:val="0"/>
        <w:autoSpaceDN w:val="0"/>
        <w:adjustRightInd w:val="0"/>
        <w:rPr>
          <w:color w:val="000000" w:themeColor="text1"/>
          <w:sz w:val="24"/>
          <w:szCs w:val="24"/>
        </w:rPr>
      </w:pPr>
      <w:r w:rsidRPr="0048731D">
        <w:rPr>
          <w:color w:val="000000" w:themeColor="text1"/>
          <w:sz w:val="24"/>
          <w:szCs w:val="24"/>
        </w:rPr>
        <w:tab/>
      </w:r>
    </w:p>
    <w:p w14:paraId="60106B65" w14:textId="28736C51" w:rsidR="007C7870" w:rsidRPr="001119BB" w:rsidRDefault="007C7870" w:rsidP="001119BB">
      <w:pPr>
        <w:autoSpaceDE w:val="0"/>
        <w:autoSpaceDN w:val="0"/>
        <w:adjustRightInd w:val="0"/>
        <w:ind w:firstLine="720"/>
        <w:rPr>
          <w:color w:val="000000" w:themeColor="text1"/>
        </w:rPr>
      </w:pPr>
      <w:r w:rsidRPr="0048731D">
        <w:rPr>
          <w:b/>
          <w:color w:val="000000" w:themeColor="text1"/>
          <w:sz w:val="24"/>
          <w:szCs w:val="24"/>
        </w:rPr>
        <w:t>(d). “Generalized” average genomic identity of 99.8% between two individuals of world ethnic population:</w:t>
      </w:r>
      <w:r w:rsidRPr="0048731D">
        <w:rPr>
          <w:color w:val="000000" w:themeColor="text1"/>
          <w:sz w:val="24"/>
          <w:szCs w:val="24"/>
        </w:rPr>
        <w:t xml:space="preserve"> </w:t>
      </w:r>
      <w:r w:rsidR="008E2351" w:rsidRPr="001119BB">
        <w:rPr>
          <w:color w:val="000000" w:themeColor="text1"/>
          <w:sz w:val="24"/>
          <w:szCs w:val="24"/>
        </w:rPr>
        <w:t xml:space="preserve">Three diverse estimates above </w:t>
      </w:r>
      <w:r w:rsidR="009A1F7E" w:rsidRPr="001119BB">
        <w:rPr>
          <w:color w:val="000000" w:themeColor="text1"/>
          <w:sz w:val="24"/>
          <w:szCs w:val="24"/>
        </w:rPr>
        <w:t xml:space="preserve">for </w:t>
      </w:r>
      <w:r w:rsidR="00263E26" w:rsidRPr="001119BB">
        <w:rPr>
          <w:color w:val="000000" w:themeColor="text1"/>
          <w:sz w:val="24"/>
          <w:szCs w:val="24"/>
        </w:rPr>
        <w:t xml:space="preserve">the </w:t>
      </w:r>
      <w:r w:rsidR="009A1F7E" w:rsidRPr="001119BB">
        <w:rPr>
          <w:color w:val="000000" w:themeColor="text1"/>
          <w:sz w:val="24"/>
          <w:szCs w:val="24"/>
        </w:rPr>
        <w:t xml:space="preserve">pair-wise identity give an average value of 99.86% with a narrow </w:t>
      </w:r>
      <w:r w:rsidR="008E2351" w:rsidRPr="001119BB">
        <w:rPr>
          <w:color w:val="000000" w:themeColor="text1"/>
          <w:sz w:val="24"/>
          <w:szCs w:val="24"/>
        </w:rPr>
        <w:t xml:space="preserve">range </w:t>
      </w:r>
      <w:r w:rsidR="009A1F7E" w:rsidRPr="001119BB">
        <w:rPr>
          <w:color w:val="000000" w:themeColor="text1"/>
          <w:sz w:val="24"/>
          <w:szCs w:val="24"/>
        </w:rPr>
        <w:t xml:space="preserve">of </w:t>
      </w:r>
      <w:r w:rsidR="004E48A2">
        <w:rPr>
          <w:color w:val="000000" w:themeColor="text1"/>
          <w:sz w:val="24"/>
          <w:szCs w:val="24"/>
        </w:rPr>
        <w:t>spread</w:t>
      </w:r>
      <w:r w:rsidR="008117A1">
        <w:rPr>
          <w:color w:val="000000" w:themeColor="text1"/>
          <w:sz w:val="24"/>
          <w:szCs w:val="24"/>
        </w:rPr>
        <w:t xml:space="preserve"> (</w:t>
      </w:r>
      <w:r w:rsidR="008E2351" w:rsidRPr="001119BB">
        <w:rPr>
          <w:color w:val="000000" w:themeColor="text1"/>
          <w:sz w:val="24"/>
          <w:szCs w:val="24"/>
        </w:rPr>
        <w:t>99.84</w:t>
      </w:r>
      <w:r w:rsidR="009A1F7E" w:rsidRPr="001119BB">
        <w:rPr>
          <w:color w:val="000000" w:themeColor="text1"/>
          <w:sz w:val="24"/>
          <w:szCs w:val="24"/>
        </w:rPr>
        <w:t>%</w:t>
      </w:r>
      <w:r w:rsidR="008E2351" w:rsidRPr="001119BB">
        <w:rPr>
          <w:color w:val="000000" w:themeColor="text1"/>
          <w:sz w:val="24"/>
          <w:szCs w:val="24"/>
        </w:rPr>
        <w:t xml:space="preserve"> – 99.</w:t>
      </w:r>
      <w:r w:rsidR="009A1F7E" w:rsidRPr="001119BB">
        <w:rPr>
          <w:color w:val="000000" w:themeColor="text1"/>
          <w:sz w:val="24"/>
          <w:szCs w:val="24"/>
        </w:rPr>
        <w:t>87%</w:t>
      </w:r>
      <w:r w:rsidR="008117A1">
        <w:rPr>
          <w:color w:val="000000" w:themeColor="text1"/>
          <w:sz w:val="24"/>
          <w:szCs w:val="24"/>
        </w:rPr>
        <w:t>)</w:t>
      </w:r>
      <w:r w:rsidR="009A1F7E" w:rsidRPr="001119BB">
        <w:rPr>
          <w:color w:val="000000" w:themeColor="text1"/>
          <w:sz w:val="24"/>
          <w:szCs w:val="24"/>
        </w:rPr>
        <w:t xml:space="preserve"> for any two individual’s whole autosomal</w:t>
      </w:r>
      <w:r w:rsidR="00263E26" w:rsidRPr="001119BB">
        <w:rPr>
          <w:color w:val="000000" w:themeColor="text1"/>
          <w:sz w:val="24"/>
          <w:szCs w:val="24"/>
        </w:rPr>
        <w:t>-</w:t>
      </w:r>
      <w:r w:rsidR="009A1F7E" w:rsidRPr="001119BB">
        <w:rPr>
          <w:color w:val="000000" w:themeColor="text1"/>
          <w:sz w:val="24"/>
          <w:szCs w:val="24"/>
        </w:rPr>
        <w:t xml:space="preserve">genomes.  However, </w:t>
      </w:r>
      <w:r w:rsidR="00C452FA" w:rsidRPr="001119BB">
        <w:rPr>
          <w:color w:val="000000" w:themeColor="text1"/>
          <w:sz w:val="24"/>
          <w:szCs w:val="24"/>
        </w:rPr>
        <w:t>despite the sample collect</w:t>
      </w:r>
      <w:r w:rsidR="0098005B" w:rsidRPr="001119BB">
        <w:rPr>
          <w:color w:val="000000" w:themeColor="text1"/>
          <w:sz w:val="24"/>
          <w:szCs w:val="24"/>
        </w:rPr>
        <w:t>o</w:t>
      </w:r>
      <w:r w:rsidR="00C452FA" w:rsidRPr="001119BB">
        <w:rPr>
          <w:color w:val="000000" w:themeColor="text1"/>
          <w:sz w:val="24"/>
          <w:szCs w:val="24"/>
        </w:rPr>
        <w:t xml:space="preserve">r’s effort of covering wide range of ethnic diversity, </w:t>
      </w:r>
      <w:r w:rsidR="009A1F7E" w:rsidRPr="001119BB">
        <w:rPr>
          <w:color w:val="000000" w:themeColor="text1"/>
          <w:sz w:val="24"/>
          <w:szCs w:val="24"/>
        </w:rPr>
        <w:t>the sample</w:t>
      </w:r>
      <w:r w:rsidR="0098005B" w:rsidRPr="001119BB">
        <w:rPr>
          <w:color w:val="000000" w:themeColor="text1"/>
          <w:sz w:val="24"/>
          <w:szCs w:val="24"/>
        </w:rPr>
        <w:t xml:space="preserve"> size used in this study</w:t>
      </w:r>
      <w:r w:rsidR="009A1F7E" w:rsidRPr="001119BB">
        <w:rPr>
          <w:color w:val="000000" w:themeColor="text1"/>
          <w:sz w:val="24"/>
          <w:szCs w:val="24"/>
        </w:rPr>
        <w:t xml:space="preserve"> </w:t>
      </w:r>
      <w:r w:rsidR="00C452FA" w:rsidRPr="001119BB">
        <w:rPr>
          <w:color w:val="000000" w:themeColor="text1"/>
          <w:sz w:val="24"/>
          <w:szCs w:val="24"/>
        </w:rPr>
        <w:t>is</w:t>
      </w:r>
      <w:r w:rsidR="009A1F7E" w:rsidRPr="001119BB">
        <w:rPr>
          <w:color w:val="000000" w:themeColor="text1"/>
          <w:sz w:val="24"/>
          <w:szCs w:val="24"/>
        </w:rPr>
        <w:t xml:space="preserve"> relatively small compared to all extant human population of ove</w:t>
      </w:r>
      <w:r w:rsidR="00C452FA" w:rsidRPr="001119BB">
        <w:rPr>
          <w:color w:val="000000" w:themeColor="text1"/>
          <w:sz w:val="24"/>
          <w:szCs w:val="24"/>
        </w:rPr>
        <w:t>r</w:t>
      </w:r>
      <w:r w:rsidR="009A1F7E" w:rsidRPr="001119BB">
        <w:rPr>
          <w:color w:val="000000" w:themeColor="text1"/>
          <w:sz w:val="24"/>
          <w:szCs w:val="24"/>
        </w:rPr>
        <w:t xml:space="preserve"> </w:t>
      </w:r>
      <w:r w:rsidR="00C452FA" w:rsidRPr="001119BB">
        <w:rPr>
          <w:color w:val="000000" w:themeColor="text1"/>
          <w:sz w:val="24"/>
          <w:szCs w:val="24"/>
        </w:rPr>
        <w:t xml:space="preserve">8 billion. </w:t>
      </w:r>
      <w:r w:rsidRPr="00263E26">
        <w:rPr>
          <w:color w:val="000000" w:themeColor="text1"/>
          <w:sz w:val="24"/>
          <w:szCs w:val="24"/>
        </w:rPr>
        <w:t xml:space="preserve">  </w:t>
      </w:r>
      <w:r w:rsidR="0098005B" w:rsidRPr="0098005B">
        <w:rPr>
          <w:color w:val="000000" w:themeColor="text1"/>
          <w:sz w:val="24"/>
          <w:szCs w:val="24"/>
        </w:rPr>
        <w:t>F</w:t>
      </w:r>
      <w:r w:rsidRPr="001119BB">
        <w:rPr>
          <w:color w:val="000000" w:themeColor="text1"/>
          <w:sz w:val="24"/>
          <w:szCs w:val="24"/>
        </w:rPr>
        <w:t xml:space="preserve">or our </w:t>
      </w:r>
      <w:r w:rsidR="0098005B" w:rsidRPr="001119BB">
        <w:rPr>
          <w:color w:val="000000" w:themeColor="text1"/>
          <w:sz w:val="24"/>
          <w:szCs w:val="24"/>
        </w:rPr>
        <w:t>final</w:t>
      </w:r>
      <w:r w:rsidRPr="001119BB">
        <w:rPr>
          <w:color w:val="000000" w:themeColor="text1"/>
          <w:sz w:val="24"/>
          <w:szCs w:val="24"/>
        </w:rPr>
        <w:t xml:space="preserve"> estimate, </w:t>
      </w:r>
      <w:r w:rsidRPr="001119BB">
        <w:rPr>
          <w:sz w:val="24"/>
          <w:szCs w:val="24"/>
        </w:rPr>
        <w:t xml:space="preserve">we </w:t>
      </w:r>
      <w:r w:rsidR="000D21F5" w:rsidRPr="001119BB">
        <w:rPr>
          <w:sz w:val="24"/>
          <w:szCs w:val="24"/>
        </w:rPr>
        <w:t xml:space="preserve">make an </w:t>
      </w:r>
      <w:r w:rsidR="0098005B" w:rsidRPr="001119BB">
        <w:rPr>
          <w:sz w:val="24"/>
          <w:szCs w:val="24"/>
        </w:rPr>
        <w:t xml:space="preserve">additional </w:t>
      </w:r>
      <w:r w:rsidR="000D21F5" w:rsidRPr="001119BB">
        <w:rPr>
          <w:sz w:val="24"/>
          <w:szCs w:val="24"/>
        </w:rPr>
        <w:t xml:space="preserve">assumption that the pair-wise identity may be slightly lower than 99.86% as more diverse genomic information become available in future. </w:t>
      </w:r>
      <w:r w:rsidR="0098005B">
        <w:rPr>
          <w:sz w:val="24"/>
          <w:szCs w:val="24"/>
        </w:rPr>
        <w:t>Thus, we make</w:t>
      </w:r>
      <w:r w:rsidR="00263E26">
        <w:rPr>
          <w:sz w:val="24"/>
          <w:szCs w:val="24"/>
        </w:rPr>
        <w:t xml:space="preserve"> a further simplification</w:t>
      </w:r>
      <w:r w:rsidR="0098005B">
        <w:rPr>
          <w:sz w:val="24"/>
          <w:szCs w:val="24"/>
        </w:rPr>
        <w:t xml:space="preserve"> and take </w:t>
      </w:r>
      <w:r w:rsidR="00FA29E2" w:rsidRPr="001119BB">
        <w:rPr>
          <w:color w:val="000000" w:themeColor="text1"/>
          <w:sz w:val="24"/>
          <w:szCs w:val="24"/>
        </w:rPr>
        <w:t xml:space="preserve">about </w:t>
      </w:r>
      <w:r w:rsidRPr="001119BB">
        <w:rPr>
          <w:color w:val="000000" w:themeColor="text1"/>
          <w:sz w:val="24"/>
          <w:szCs w:val="24"/>
        </w:rPr>
        <w:t xml:space="preserve">99.8% as the % genotype identity between two </w:t>
      </w:r>
      <w:proofErr w:type="gramStart"/>
      <w:r w:rsidRPr="001119BB">
        <w:rPr>
          <w:color w:val="000000" w:themeColor="text1"/>
          <w:sz w:val="24"/>
          <w:szCs w:val="24"/>
        </w:rPr>
        <w:t>individual</w:t>
      </w:r>
      <w:r w:rsidR="008117A1">
        <w:rPr>
          <w:color w:val="000000" w:themeColor="text1"/>
          <w:sz w:val="24"/>
          <w:szCs w:val="24"/>
        </w:rPr>
        <w:t>’</w:t>
      </w:r>
      <w:r w:rsidRPr="001119BB">
        <w:rPr>
          <w:color w:val="000000" w:themeColor="text1"/>
          <w:sz w:val="24"/>
          <w:szCs w:val="24"/>
        </w:rPr>
        <w:t>s</w:t>
      </w:r>
      <w:proofErr w:type="gramEnd"/>
      <w:r w:rsidR="00082261" w:rsidRPr="001119BB">
        <w:rPr>
          <w:color w:val="000000" w:themeColor="text1"/>
          <w:sz w:val="24"/>
          <w:szCs w:val="24"/>
        </w:rPr>
        <w:t xml:space="preserve"> for </w:t>
      </w:r>
      <w:r w:rsidR="00FA29E2" w:rsidRPr="001119BB">
        <w:rPr>
          <w:color w:val="000000" w:themeColor="text1"/>
          <w:sz w:val="24"/>
          <w:szCs w:val="24"/>
        </w:rPr>
        <w:t>autosomal genomes</w:t>
      </w:r>
      <w:r w:rsidRPr="001119BB">
        <w:rPr>
          <w:color w:val="000000" w:themeColor="text1"/>
          <w:sz w:val="24"/>
          <w:szCs w:val="24"/>
        </w:rPr>
        <w:t>.</w:t>
      </w:r>
    </w:p>
    <w:p w14:paraId="22A3C039" w14:textId="17A739E0" w:rsidR="007C7870" w:rsidRDefault="007C7870" w:rsidP="00D95C74">
      <w:pPr>
        <w:rPr>
          <w:b/>
          <w:sz w:val="24"/>
          <w:szCs w:val="24"/>
        </w:rPr>
      </w:pPr>
    </w:p>
    <w:p w14:paraId="0563FE20" w14:textId="77777777" w:rsidR="006550DE" w:rsidRDefault="006550DE" w:rsidP="00D95C74">
      <w:pPr>
        <w:rPr>
          <w:b/>
          <w:sz w:val="24"/>
          <w:szCs w:val="24"/>
        </w:rPr>
      </w:pPr>
    </w:p>
    <w:p w14:paraId="531BEBA8" w14:textId="04F3E6F2" w:rsidR="00C14579" w:rsidRPr="0048731D" w:rsidRDefault="00D95C74" w:rsidP="0048731D">
      <w:pPr>
        <w:pStyle w:val="ListParagraph"/>
        <w:numPr>
          <w:ilvl w:val="0"/>
          <w:numId w:val="3"/>
        </w:numPr>
        <w:rPr>
          <w:b/>
          <w:sz w:val="28"/>
          <w:szCs w:val="28"/>
        </w:rPr>
      </w:pPr>
      <w:r w:rsidRPr="0048731D">
        <w:rPr>
          <w:b/>
          <w:sz w:val="28"/>
          <w:szCs w:val="28"/>
        </w:rPr>
        <w:t>Supplementary Note</w:t>
      </w:r>
      <w:r w:rsidR="00AE03C4" w:rsidRPr="0048731D">
        <w:rPr>
          <w:b/>
          <w:sz w:val="28"/>
          <w:szCs w:val="28"/>
        </w:rPr>
        <w:t>s</w:t>
      </w:r>
    </w:p>
    <w:p w14:paraId="6ADDAEF4" w14:textId="77777777" w:rsidR="00C14579" w:rsidRDefault="00C14579" w:rsidP="00D95C74">
      <w:pPr>
        <w:rPr>
          <w:b/>
          <w:i/>
          <w:sz w:val="24"/>
          <w:szCs w:val="24"/>
        </w:rPr>
      </w:pPr>
    </w:p>
    <w:p w14:paraId="529A50FB" w14:textId="246AE5DA" w:rsidR="00D95C74" w:rsidRPr="004378B4" w:rsidRDefault="00C14579" w:rsidP="00D95C74">
      <w:pPr>
        <w:rPr>
          <w:rFonts w:eastAsiaTheme="minorHAnsi"/>
          <w:sz w:val="24"/>
          <w:szCs w:val="24"/>
        </w:rPr>
      </w:pPr>
      <w:r>
        <w:rPr>
          <w:b/>
          <w:i/>
          <w:sz w:val="24"/>
          <w:szCs w:val="24"/>
        </w:rPr>
        <w:t>Supplementary Note 1:</w:t>
      </w:r>
      <w:r w:rsidR="00D95C74">
        <w:rPr>
          <w:b/>
          <w:sz w:val="24"/>
          <w:szCs w:val="24"/>
        </w:rPr>
        <w:t xml:space="preserve"> </w:t>
      </w:r>
      <w:r w:rsidR="00D95C74" w:rsidRPr="004378B4">
        <w:rPr>
          <w:b/>
          <w:sz w:val="24"/>
          <w:szCs w:val="24"/>
        </w:rPr>
        <w:t xml:space="preserve"> </w:t>
      </w:r>
      <w:r w:rsidR="00D95C74" w:rsidRPr="004378B4">
        <w:rPr>
          <w:rFonts w:eastAsiaTheme="minorHAnsi"/>
          <w:sz w:val="24"/>
          <w:szCs w:val="24"/>
        </w:rPr>
        <w:t>Some notable unexpected</w:t>
      </w:r>
      <w:r w:rsidR="00D25637">
        <w:rPr>
          <w:rFonts w:eastAsiaTheme="minorHAnsi"/>
          <w:sz w:val="24"/>
          <w:szCs w:val="24"/>
        </w:rPr>
        <w:t>-</w:t>
      </w:r>
      <w:r w:rsidR="00D95C74" w:rsidRPr="004378B4">
        <w:rPr>
          <w:rFonts w:eastAsiaTheme="minorHAnsi"/>
          <w:sz w:val="24"/>
          <w:szCs w:val="24"/>
        </w:rPr>
        <w:t xml:space="preserve">observations in </w:t>
      </w:r>
      <w:r w:rsidR="00AC6286">
        <w:rPr>
          <w:rFonts w:eastAsiaTheme="minorHAnsi"/>
          <w:sz w:val="24"/>
          <w:szCs w:val="24"/>
        </w:rPr>
        <w:t xml:space="preserve">the </w:t>
      </w:r>
      <w:r w:rsidR="00D95C74" w:rsidRPr="004378B4">
        <w:rPr>
          <w:rFonts w:eastAsiaTheme="minorHAnsi"/>
          <w:sz w:val="24"/>
          <w:szCs w:val="24"/>
        </w:rPr>
        <w:t>PCA plot</w:t>
      </w:r>
      <w:r>
        <w:rPr>
          <w:rFonts w:eastAsiaTheme="minorHAnsi"/>
          <w:sz w:val="24"/>
          <w:szCs w:val="24"/>
        </w:rPr>
        <w:t xml:space="preserve"> are listed below.</w:t>
      </w:r>
    </w:p>
    <w:p w14:paraId="052196FC" w14:textId="77777777" w:rsidR="00D95C74" w:rsidRPr="004378B4" w:rsidRDefault="00D95C74" w:rsidP="00D95C74">
      <w:pPr>
        <w:pStyle w:val="ListParagraph"/>
        <w:numPr>
          <w:ilvl w:val="0"/>
          <w:numId w:val="1"/>
        </w:numPr>
        <w:autoSpaceDE w:val="0"/>
        <w:autoSpaceDN w:val="0"/>
        <w:adjustRightInd w:val="0"/>
        <w:rPr>
          <w:rFonts w:ascii="Times New Roman" w:hAnsi="Times New Roman" w:cs="Times New Roman"/>
        </w:rPr>
      </w:pPr>
      <w:r w:rsidRPr="004378B4">
        <w:rPr>
          <w:rFonts w:ascii="Times New Roman" w:hAnsi="Times New Roman" w:cs="Times New Roman"/>
        </w:rPr>
        <w:t xml:space="preserve">There are two Bantu </w:t>
      </w:r>
      <w:proofErr w:type="spellStart"/>
      <w:r w:rsidRPr="004378B4">
        <w:rPr>
          <w:rFonts w:ascii="Times New Roman" w:hAnsi="Times New Roman" w:cs="Times New Roman"/>
        </w:rPr>
        <w:t>Tswanas</w:t>
      </w:r>
      <w:proofErr w:type="spellEnd"/>
      <w:r w:rsidRPr="004378B4">
        <w:rPr>
          <w:rFonts w:ascii="Times New Roman" w:hAnsi="Times New Roman" w:cs="Times New Roman"/>
        </w:rPr>
        <w:t>, but one belongs to GG1 and the other to GG2</w:t>
      </w:r>
    </w:p>
    <w:p w14:paraId="74AA074D" w14:textId="1B275DD2" w:rsidR="00D95C74" w:rsidRPr="0048731D" w:rsidRDefault="00D95C74" w:rsidP="00D95C74">
      <w:pPr>
        <w:pStyle w:val="ListParagraph"/>
        <w:numPr>
          <w:ilvl w:val="0"/>
          <w:numId w:val="1"/>
        </w:numPr>
        <w:autoSpaceDE w:val="0"/>
        <w:autoSpaceDN w:val="0"/>
        <w:adjustRightInd w:val="0"/>
        <w:rPr>
          <w:rFonts w:ascii="Times New Roman" w:hAnsi="Times New Roman" w:cs="Times New Roman"/>
          <w:color w:val="000000" w:themeColor="text1"/>
        </w:rPr>
      </w:pPr>
      <w:r w:rsidRPr="004378B4">
        <w:rPr>
          <w:rFonts w:ascii="Times New Roman" w:hAnsi="Times New Roman" w:cs="Times New Roman"/>
        </w:rPr>
        <w:t xml:space="preserve">There are 4 Punjabis, one of which is in </w:t>
      </w:r>
      <w:r w:rsidRPr="0048731D">
        <w:rPr>
          <w:rFonts w:ascii="Times New Roman" w:hAnsi="Times New Roman" w:cs="Times New Roman"/>
          <w:color w:val="000000" w:themeColor="text1"/>
        </w:rPr>
        <w:t>GG</w:t>
      </w:r>
      <w:r w:rsidR="00FA65A7" w:rsidRPr="0048731D">
        <w:rPr>
          <w:rFonts w:ascii="Times New Roman" w:hAnsi="Times New Roman" w:cs="Times New Roman"/>
          <w:color w:val="000000" w:themeColor="text1"/>
        </w:rPr>
        <w:t>7</w:t>
      </w:r>
      <w:r w:rsidRPr="0048731D">
        <w:rPr>
          <w:rFonts w:ascii="Times New Roman" w:hAnsi="Times New Roman" w:cs="Times New Roman"/>
          <w:color w:val="000000" w:themeColor="text1"/>
        </w:rPr>
        <w:t xml:space="preserve"> and the other three in GG</w:t>
      </w:r>
      <w:r w:rsidR="00FA65A7" w:rsidRPr="0048731D">
        <w:rPr>
          <w:rFonts w:ascii="Times New Roman" w:hAnsi="Times New Roman" w:cs="Times New Roman"/>
          <w:color w:val="000000" w:themeColor="text1"/>
        </w:rPr>
        <w:t>8</w:t>
      </w:r>
    </w:p>
    <w:p w14:paraId="39E7194C" w14:textId="559F16F6" w:rsidR="00D95C74" w:rsidRPr="004378B4" w:rsidRDefault="00D95C74" w:rsidP="00D95C74">
      <w:pPr>
        <w:pStyle w:val="ListParagraph"/>
        <w:numPr>
          <w:ilvl w:val="0"/>
          <w:numId w:val="1"/>
        </w:numPr>
        <w:autoSpaceDE w:val="0"/>
        <w:autoSpaceDN w:val="0"/>
        <w:adjustRightInd w:val="0"/>
        <w:rPr>
          <w:rFonts w:ascii="Times New Roman" w:hAnsi="Times New Roman" w:cs="Times New Roman"/>
        </w:rPr>
      </w:pPr>
      <w:r w:rsidRPr="004378B4">
        <w:rPr>
          <w:rFonts w:ascii="Times New Roman" w:hAnsi="Times New Roman" w:cs="Times New Roman"/>
        </w:rPr>
        <w:t xml:space="preserve">There are two </w:t>
      </w:r>
      <w:proofErr w:type="spellStart"/>
      <w:r w:rsidRPr="004378B4">
        <w:rPr>
          <w:rFonts w:ascii="Times New Roman" w:hAnsi="Times New Roman" w:cs="Times New Roman"/>
        </w:rPr>
        <w:t>Daurs</w:t>
      </w:r>
      <w:proofErr w:type="spellEnd"/>
      <w:r w:rsidRPr="004378B4">
        <w:rPr>
          <w:rFonts w:ascii="Times New Roman" w:hAnsi="Times New Roman" w:cs="Times New Roman"/>
        </w:rPr>
        <w:t>: Daur2 in GG1</w:t>
      </w:r>
      <w:r w:rsidR="00FA65A7">
        <w:rPr>
          <w:rFonts w:ascii="Times New Roman" w:hAnsi="Times New Roman" w:cs="Times New Roman"/>
        </w:rPr>
        <w:t>3</w:t>
      </w:r>
      <w:r w:rsidRPr="004378B4">
        <w:rPr>
          <w:rFonts w:ascii="Times New Roman" w:hAnsi="Times New Roman" w:cs="Times New Roman"/>
        </w:rPr>
        <w:t xml:space="preserve"> and Daur1, which has the highest missing SN</w:t>
      </w:r>
      <w:r>
        <w:rPr>
          <w:rFonts w:ascii="Times New Roman" w:hAnsi="Times New Roman" w:cs="Times New Roman"/>
        </w:rPr>
        <w:t>V</w:t>
      </w:r>
      <w:r w:rsidRPr="004378B4">
        <w:rPr>
          <w:rFonts w:ascii="Times New Roman" w:hAnsi="Times New Roman" w:cs="Times New Roman"/>
        </w:rPr>
        <w:t>s, as a</w:t>
      </w:r>
      <w:r>
        <w:rPr>
          <w:rFonts w:ascii="Times New Roman" w:hAnsi="Times New Roman" w:cs="Times New Roman"/>
        </w:rPr>
        <w:t>n</w:t>
      </w:r>
      <w:r w:rsidRPr="004378B4">
        <w:rPr>
          <w:rFonts w:ascii="Times New Roman" w:hAnsi="Times New Roman" w:cs="Times New Roman"/>
        </w:rPr>
        <w:t xml:space="preserve"> un-clustered individual near to singleton Hawaiian.</w:t>
      </w:r>
    </w:p>
    <w:p w14:paraId="71C24A0E" w14:textId="046E210E" w:rsidR="00D95C74" w:rsidRPr="004378B4" w:rsidRDefault="00D95C74" w:rsidP="00D95C74">
      <w:pPr>
        <w:pStyle w:val="ListParagraph"/>
        <w:numPr>
          <w:ilvl w:val="0"/>
          <w:numId w:val="1"/>
        </w:numPr>
        <w:rPr>
          <w:rFonts w:ascii="Times New Roman" w:hAnsi="Times New Roman" w:cs="Times New Roman"/>
        </w:rPr>
      </w:pPr>
      <w:r w:rsidRPr="004378B4">
        <w:rPr>
          <w:rFonts w:ascii="Times New Roman" w:hAnsi="Times New Roman" w:cs="Times New Roman"/>
        </w:rPr>
        <w:t>Maori belongs to GG</w:t>
      </w:r>
      <w:r w:rsidR="00FA65A7">
        <w:rPr>
          <w:rFonts w:ascii="Times New Roman" w:hAnsi="Times New Roman" w:cs="Times New Roman"/>
        </w:rPr>
        <w:t>8</w:t>
      </w:r>
      <w:r w:rsidRPr="004378B4">
        <w:rPr>
          <w:rFonts w:ascii="Times New Roman" w:hAnsi="Times New Roman" w:cs="Times New Roman"/>
        </w:rPr>
        <w:t xml:space="preserve"> in India although its current geographic location is in </w:t>
      </w:r>
      <w:r w:rsidR="00AC6286">
        <w:rPr>
          <w:rFonts w:ascii="Times New Roman" w:hAnsi="Times New Roman" w:cs="Times New Roman"/>
        </w:rPr>
        <w:t>N</w:t>
      </w:r>
      <w:r w:rsidRPr="004378B4">
        <w:rPr>
          <w:rFonts w:ascii="Times New Roman" w:hAnsi="Times New Roman" w:cs="Times New Roman"/>
        </w:rPr>
        <w:t>ew Zealand.</w:t>
      </w:r>
    </w:p>
    <w:p w14:paraId="459FE5EF" w14:textId="739A0DC0" w:rsidR="00D95C74" w:rsidRPr="004378B4" w:rsidRDefault="00D95C74" w:rsidP="00D95C74">
      <w:pPr>
        <w:pStyle w:val="ListParagraph"/>
        <w:numPr>
          <w:ilvl w:val="0"/>
          <w:numId w:val="1"/>
        </w:numPr>
        <w:autoSpaceDE w:val="0"/>
        <w:autoSpaceDN w:val="0"/>
        <w:adjustRightInd w:val="0"/>
        <w:rPr>
          <w:rFonts w:ascii="Times New Roman" w:hAnsi="Times New Roman" w:cs="Times New Roman"/>
        </w:rPr>
      </w:pPr>
      <w:r w:rsidRPr="004378B4">
        <w:rPr>
          <w:rFonts w:ascii="Times New Roman" w:hAnsi="Times New Roman" w:cs="Times New Roman"/>
        </w:rPr>
        <w:t>Tlingit2 belongs to G</w:t>
      </w:r>
      <w:r w:rsidR="00FA65A7">
        <w:rPr>
          <w:rFonts w:ascii="Times New Roman" w:hAnsi="Times New Roman" w:cs="Times New Roman"/>
        </w:rPr>
        <w:t>9</w:t>
      </w:r>
      <w:r w:rsidRPr="004378B4">
        <w:rPr>
          <w:rFonts w:ascii="Times New Roman" w:hAnsi="Times New Roman" w:cs="Times New Roman"/>
        </w:rPr>
        <w:t xml:space="preserve">, but Tlingit1 </w:t>
      </w:r>
      <w:r>
        <w:rPr>
          <w:rFonts w:ascii="Times New Roman" w:hAnsi="Times New Roman" w:cs="Times New Roman"/>
        </w:rPr>
        <w:t xml:space="preserve">is </w:t>
      </w:r>
      <w:r w:rsidRPr="004378B4">
        <w:rPr>
          <w:rFonts w:ascii="Times New Roman" w:hAnsi="Times New Roman" w:cs="Times New Roman"/>
        </w:rPr>
        <w:t xml:space="preserve">next to </w:t>
      </w:r>
      <w:proofErr w:type="spellStart"/>
      <w:r>
        <w:rPr>
          <w:rFonts w:ascii="Times New Roman" w:hAnsi="Times New Roman" w:cs="Times New Roman"/>
        </w:rPr>
        <w:t>unclustered</w:t>
      </w:r>
      <w:proofErr w:type="spellEnd"/>
      <w:r>
        <w:rPr>
          <w:rFonts w:ascii="Times New Roman" w:hAnsi="Times New Roman" w:cs="Times New Roman"/>
        </w:rPr>
        <w:t xml:space="preserve"> </w:t>
      </w:r>
      <w:r w:rsidRPr="004378B4">
        <w:rPr>
          <w:rFonts w:ascii="Times New Roman" w:hAnsi="Times New Roman" w:cs="Times New Roman"/>
        </w:rPr>
        <w:t xml:space="preserve">Saami pair sampled in N. </w:t>
      </w:r>
      <w:proofErr w:type="spellStart"/>
      <w:r w:rsidRPr="004378B4">
        <w:rPr>
          <w:rFonts w:ascii="Times New Roman" w:hAnsi="Times New Roman" w:cs="Times New Roman"/>
        </w:rPr>
        <w:t>Finnland</w:t>
      </w:r>
      <w:proofErr w:type="spellEnd"/>
      <w:r w:rsidRPr="004378B4">
        <w:rPr>
          <w:rFonts w:ascii="Times New Roman" w:hAnsi="Times New Roman" w:cs="Times New Roman"/>
        </w:rPr>
        <w:t xml:space="preserve">. </w:t>
      </w:r>
    </w:p>
    <w:p w14:paraId="2244DC91" w14:textId="05C3440D" w:rsidR="00D95C74" w:rsidRPr="004378B4" w:rsidRDefault="00D95C74" w:rsidP="00D95C74">
      <w:pPr>
        <w:numPr>
          <w:ilvl w:val="0"/>
          <w:numId w:val="1"/>
        </w:numPr>
        <w:autoSpaceDE w:val="0"/>
        <w:autoSpaceDN w:val="0"/>
        <w:adjustRightInd w:val="0"/>
        <w:rPr>
          <w:sz w:val="24"/>
          <w:szCs w:val="24"/>
        </w:rPr>
      </w:pPr>
      <w:r w:rsidRPr="004378B4">
        <w:rPr>
          <w:sz w:val="24"/>
          <w:szCs w:val="24"/>
        </w:rPr>
        <w:t>Most of ethnic groups in Southeast Asia</w:t>
      </w:r>
      <w:r w:rsidR="00AC6286">
        <w:rPr>
          <w:sz w:val="24"/>
          <w:szCs w:val="24"/>
        </w:rPr>
        <w:t>,</w:t>
      </w:r>
      <w:r w:rsidRPr="004378B4">
        <w:rPr>
          <w:sz w:val="24"/>
          <w:szCs w:val="24"/>
        </w:rPr>
        <w:t xml:space="preserve"> including many islands</w:t>
      </w:r>
      <w:r w:rsidR="00AC6286">
        <w:rPr>
          <w:sz w:val="24"/>
          <w:szCs w:val="24"/>
        </w:rPr>
        <w:t>,</w:t>
      </w:r>
      <w:r w:rsidRPr="004378B4">
        <w:rPr>
          <w:sz w:val="24"/>
          <w:szCs w:val="24"/>
        </w:rPr>
        <w:t xml:space="preserve"> cluster with G1</w:t>
      </w:r>
      <w:r w:rsidR="003B0044">
        <w:rPr>
          <w:sz w:val="24"/>
          <w:szCs w:val="24"/>
        </w:rPr>
        <w:t>3</w:t>
      </w:r>
      <w:r w:rsidRPr="004378B4">
        <w:rPr>
          <w:sz w:val="24"/>
          <w:szCs w:val="24"/>
        </w:rPr>
        <w:t xml:space="preserve"> or GG</w:t>
      </w:r>
      <w:r w:rsidR="003B0044">
        <w:rPr>
          <w:sz w:val="24"/>
          <w:szCs w:val="24"/>
        </w:rPr>
        <w:t>8</w:t>
      </w:r>
      <w:r w:rsidRPr="004378B4">
        <w:rPr>
          <w:sz w:val="24"/>
          <w:szCs w:val="24"/>
        </w:rPr>
        <w:t>.</w:t>
      </w:r>
    </w:p>
    <w:p w14:paraId="46CE58E1" w14:textId="77777777" w:rsidR="00D95C74" w:rsidRDefault="00D95C74" w:rsidP="00D95C74">
      <w:pPr>
        <w:pStyle w:val="SOMContent"/>
        <w:rPr>
          <w:b/>
        </w:rPr>
      </w:pPr>
    </w:p>
    <w:p w14:paraId="04C34C58" w14:textId="38885909" w:rsidR="00D95C74" w:rsidRDefault="00D95C74" w:rsidP="0048731D">
      <w:pPr>
        <w:pStyle w:val="SOMContent"/>
      </w:pPr>
      <w:r w:rsidRPr="0048731D">
        <w:rPr>
          <w:b/>
          <w:i/>
        </w:rPr>
        <w:lastRenderedPageBreak/>
        <w:t>Supplementary Note 2</w:t>
      </w:r>
      <w:r>
        <w:rPr>
          <w:b/>
        </w:rPr>
        <w:t>: Indirect implications</w:t>
      </w:r>
      <w:r w:rsidR="007B3FD4">
        <w:rPr>
          <w:b/>
        </w:rPr>
        <w:t xml:space="preserve"> on </w:t>
      </w:r>
      <w:r w:rsidR="007B3FD4">
        <w:rPr>
          <w:b/>
          <w:color w:val="000000" w:themeColor="text1"/>
        </w:rPr>
        <w:t>a</w:t>
      </w:r>
      <w:r>
        <w:rPr>
          <w:b/>
          <w:color w:val="000000" w:themeColor="text1"/>
        </w:rPr>
        <w:t xml:space="preserve"> molecular scenario for converting environmental diversity to genomic divergence</w:t>
      </w:r>
      <w:r w:rsidR="007B3FD4">
        <w:rPr>
          <w:color w:val="000000" w:themeColor="text1"/>
        </w:rPr>
        <w:t>.</w:t>
      </w:r>
      <w:r w:rsidRPr="00C617FC">
        <w:rPr>
          <w:color w:val="000000" w:themeColor="text1"/>
        </w:rPr>
        <w:t xml:space="preserve">  Such </w:t>
      </w:r>
      <w:r>
        <w:rPr>
          <w:color w:val="000000" w:themeColor="text1"/>
        </w:rPr>
        <w:t xml:space="preserve">a </w:t>
      </w:r>
      <w:r w:rsidRPr="00C617FC">
        <w:rPr>
          <w:color w:val="000000" w:themeColor="text1"/>
        </w:rPr>
        <w:t xml:space="preserve">high </w:t>
      </w:r>
      <w:r>
        <w:rPr>
          <w:color w:val="000000" w:themeColor="text1"/>
        </w:rPr>
        <w:t xml:space="preserve">genomic </w:t>
      </w:r>
      <w:r w:rsidRPr="00C617FC">
        <w:rPr>
          <w:color w:val="000000" w:themeColor="text1"/>
        </w:rPr>
        <w:t>identity</w:t>
      </w:r>
      <w:r>
        <w:rPr>
          <w:color w:val="000000" w:themeColor="text1"/>
        </w:rPr>
        <w:t xml:space="preserve"> (99.8%)</w:t>
      </w:r>
      <w:r w:rsidRPr="00C617FC">
        <w:rPr>
          <w:color w:val="000000" w:themeColor="text1"/>
        </w:rPr>
        <w:t xml:space="preserve"> leaves only about 0.2% of the whole genome content to account for any genotype</w:t>
      </w:r>
      <w:r>
        <w:rPr>
          <w:color w:val="000000" w:themeColor="text1"/>
        </w:rPr>
        <w:t xml:space="preserve"> and phenotype</w:t>
      </w:r>
      <w:r w:rsidRPr="00C617FC">
        <w:rPr>
          <w:color w:val="000000" w:themeColor="text1"/>
        </w:rPr>
        <w:t xml:space="preserve"> differences between two individuals from within a given </w:t>
      </w:r>
      <w:r>
        <w:rPr>
          <w:color w:val="000000" w:themeColor="text1"/>
        </w:rPr>
        <w:t>PG/</w:t>
      </w:r>
      <w:r w:rsidRPr="00C617FC">
        <w:rPr>
          <w:color w:val="000000" w:themeColor="text1"/>
        </w:rPr>
        <w:t xml:space="preserve">GG or between two different </w:t>
      </w:r>
      <w:r>
        <w:rPr>
          <w:color w:val="000000" w:themeColor="text1"/>
        </w:rPr>
        <w:t>PGs/</w:t>
      </w:r>
      <w:r w:rsidRPr="00C617FC">
        <w:rPr>
          <w:color w:val="000000" w:themeColor="text1"/>
        </w:rPr>
        <w:t>GGs.  In theory, it is possible that this 0.2% may be just</w:t>
      </w:r>
      <w:r w:rsidRPr="00EA7CAF">
        <w:rPr>
          <w:color w:val="000000" w:themeColor="text1"/>
        </w:rPr>
        <w:t xml:space="preserve"> random genotypes</w:t>
      </w:r>
      <w:r w:rsidRPr="00C617FC">
        <w:rPr>
          <w:color w:val="000000" w:themeColor="text1"/>
        </w:rPr>
        <w:t xml:space="preserve"> uniformly spread through all </w:t>
      </w:r>
      <w:r>
        <w:rPr>
          <w:color w:val="000000" w:themeColor="text1"/>
        </w:rPr>
        <w:t>PGs/</w:t>
      </w:r>
      <w:r w:rsidRPr="00C617FC">
        <w:rPr>
          <w:color w:val="000000" w:themeColor="text1"/>
        </w:rPr>
        <w:t>GGs. But that possibility is highly unlikely because such uniform noise would not produce 13+ genome-based distinct clusters of the study population as we have shown in Fig. 1.  A more likely possibility is that this 0.2%, which amount</w:t>
      </w:r>
      <w:r>
        <w:rPr>
          <w:color w:val="000000" w:themeColor="text1"/>
        </w:rPr>
        <w:t>s</w:t>
      </w:r>
      <w:r w:rsidRPr="00C617FC">
        <w:rPr>
          <w:color w:val="000000" w:themeColor="text1"/>
        </w:rPr>
        <w:t xml:space="preserve"> to about 6M genomic loci</w:t>
      </w:r>
      <w:r>
        <w:rPr>
          <w:color w:val="000000" w:themeColor="text1"/>
        </w:rPr>
        <w:t xml:space="preserve"> </w:t>
      </w:r>
      <w:r w:rsidRPr="00C617FC">
        <w:rPr>
          <w:color w:val="000000" w:themeColor="text1"/>
        </w:rPr>
        <w:t xml:space="preserve">located </w:t>
      </w:r>
      <w:r>
        <w:rPr>
          <w:color w:val="000000" w:themeColor="text1"/>
        </w:rPr>
        <w:t xml:space="preserve">mostly </w:t>
      </w:r>
      <w:r w:rsidRPr="00C617FC">
        <w:rPr>
          <w:color w:val="000000" w:themeColor="text1"/>
        </w:rPr>
        <w:t>outside of the coding regions</w:t>
      </w:r>
      <w:r>
        <w:rPr>
          <w:color w:val="000000" w:themeColor="text1"/>
        </w:rPr>
        <w:t>,</w:t>
      </w:r>
      <w:r w:rsidRPr="00C617FC">
        <w:rPr>
          <w:color w:val="000000" w:themeColor="text1"/>
        </w:rPr>
        <w:t xml:space="preserve"> may be non-randomly distributed</w:t>
      </w:r>
      <w:r>
        <w:rPr>
          <w:color w:val="000000" w:themeColor="text1"/>
        </w:rPr>
        <w:t xml:space="preserve"> genotypes and they participate in</w:t>
      </w:r>
      <w:r w:rsidRPr="00C617FC">
        <w:rPr>
          <w:color w:val="000000" w:themeColor="text1"/>
        </w:rPr>
        <w:t xml:space="preserve"> regulat</w:t>
      </w:r>
      <w:r>
        <w:rPr>
          <w:color w:val="000000" w:themeColor="text1"/>
        </w:rPr>
        <w:t>ing, directly or indirectly,</w:t>
      </w:r>
      <w:r w:rsidRPr="00C617FC">
        <w:rPr>
          <w:color w:val="000000" w:themeColor="text1"/>
        </w:rPr>
        <w:t xml:space="preserve"> the </w:t>
      </w:r>
      <w:r>
        <w:rPr>
          <w:color w:val="000000" w:themeColor="text1"/>
        </w:rPr>
        <w:t>transcription</w:t>
      </w:r>
      <w:r w:rsidRPr="00C617FC">
        <w:rPr>
          <w:color w:val="000000" w:themeColor="text1"/>
        </w:rPr>
        <w:t xml:space="preserve"> of a</w:t>
      </w:r>
      <w:r>
        <w:rPr>
          <w:color w:val="000000" w:themeColor="text1"/>
        </w:rPr>
        <w:t xml:space="preserve"> set</w:t>
      </w:r>
      <w:r w:rsidRPr="00C617FC">
        <w:rPr>
          <w:color w:val="000000" w:themeColor="text1"/>
        </w:rPr>
        <w:t xml:space="preserve"> of key genes </w:t>
      </w:r>
      <w:r>
        <w:rPr>
          <w:color w:val="000000" w:themeColor="text1"/>
        </w:rPr>
        <w:t>in</w:t>
      </w:r>
      <w:r w:rsidRPr="00C617FC">
        <w:rPr>
          <w:color w:val="000000" w:themeColor="text1"/>
        </w:rPr>
        <w:t xml:space="preserve"> </w:t>
      </w:r>
      <w:r w:rsidRPr="006077DE">
        <w:rPr>
          <w:color w:val="000000" w:themeColor="text1"/>
        </w:rPr>
        <w:t>response</w:t>
      </w:r>
      <w:r w:rsidRPr="00C617FC">
        <w:rPr>
          <w:color w:val="000000" w:themeColor="text1"/>
        </w:rPr>
        <w:t xml:space="preserve"> to environmental signals, thus generating </w:t>
      </w:r>
      <w:r>
        <w:rPr>
          <w:color w:val="000000" w:themeColor="text1"/>
        </w:rPr>
        <w:t xml:space="preserve">environment-dependent </w:t>
      </w:r>
      <w:r w:rsidRPr="00C617FC">
        <w:rPr>
          <w:color w:val="000000" w:themeColor="text1"/>
        </w:rPr>
        <w:t xml:space="preserve">phenotype/trait </w:t>
      </w:r>
      <w:r>
        <w:rPr>
          <w:color w:val="000000" w:themeColor="text1"/>
        </w:rPr>
        <w:t>variations</w:t>
      </w:r>
      <w:r w:rsidRPr="00C617FC">
        <w:rPr>
          <w:color w:val="000000" w:themeColor="text1"/>
        </w:rPr>
        <w:t>.  This possibility implies that this 0.2% of the whole genome genotype differences may play a role in connecting the environmental (non-genomic) signals</w:t>
      </w:r>
      <w:r>
        <w:rPr>
          <w:color w:val="000000" w:themeColor="text1"/>
        </w:rPr>
        <w:t>, be they biological or non-biological,</w:t>
      </w:r>
      <w:r w:rsidRPr="00C617FC">
        <w:rPr>
          <w:color w:val="000000" w:themeColor="text1"/>
        </w:rPr>
        <w:t xml:space="preserve"> to the individual’s genomic variations</w:t>
      </w:r>
      <w:r>
        <w:rPr>
          <w:color w:val="000000" w:themeColor="text1"/>
        </w:rPr>
        <w:t xml:space="preserve"> of the 0.2%</w:t>
      </w:r>
      <w:r w:rsidRPr="00C617FC">
        <w:rPr>
          <w:color w:val="000000" w:themeColor="text1"/>
        </w:rPr>
        <w:t xml:space="preserve"> to produce </w:t>
      </w:r>
      <w:r>
        <w:rPr>
          <w:color w:val="000000" w:themeColor="text1"/>
        </w:rPr>
        <w:t>phenotype diversity for the population.  Then, some of the phenotypes are selected due to better adaptability to the given environment, and the genotypes of the selected individuals are inherited for the subsequent generations</w:t>
      </w:r>
      <w:r w:rsidR="00634E58">
        <w:rPr>
          <w:color w:val="000000" w:themeColor="text1"/>
        </w:rPr>
        <w:t>,</w:t>
      </w:r>
      <w:r>
        <w:rPr>
          <w:color w:val="000000" w:themeColor="text1"/>
        </w:rPr>
        <w:t xml:space="preserve"> thus, </w:t>
      </w:r>
      <w:r w:rsidR="00634E58">
        <w:rPr>
          <w:color w:val="000000" w:themeColor="text1"/>
        </w:rPr>
        <w:t xml:space="preserve">environmental selection becoming </w:t>
      </w:r>
      <w:r w:rsidR="00A34CEF">
        <w:rPr>
          <w:color w:val="000000" w:themeColor="text1"/>
        </w:rPr>
        <w:t xml:space="preserve">genomic selection such GGs. </w:t>
      </w:r>
      <w:r>
        <w:rPr>
          <w:color w:val="000000" w:themeColor="text1"/>
        </w:rPr>
        <w:t xml:space="preserve">Furthermore, this bottlenecking step of the environmentally selected subpopulation with non-random sets of genotypes from the 0.2% results in forming the founder group of a specific GG, which appear to correlate with geological regions </w:t>
      </w:r>
      <w:r w:rsidRPr="006077DE">
        <w:rPr>
          <w:color w:val="000000" w:themeColor="text1"/>
        </w:rPr>
        <w:t>(see</w:t>
      </w:r>
      <w:r>
        <w:rPr>
          <w:color w:val="000000" w:themeColor="text1"/>
        </w:rPr>
        <w:t xml:space="preserve"> </w:t>
      </w:r>
      <w:r w:rsidR="00F06018">
        <w:rPr>
          <w:color w:val="000000" w:themeColor="text1"/>
        </w:rPr>
        <w:t>“</w:t>
      </w:r>
      <w:r w:rsidRPr="00793AA1">
        <w:rPr>
          <w:b/>
        </w:rPr>
        <w:t>Interconnection between environment and individual’s genomic variations</w:t>
      </w:r>
      <w:r w:rsidR="00F06018">
        <w:rPr>
          <w:b/>
        </w:rPr>
        <w:t>”</w:t>
      </w:r>
      <w:r>
        <w:rPr>
          <w:b/>
        </w:rPr>
        <w:t xml:space="preserve"> </w:t>
      </w:r>
      <w:r w:rsidRPr="008633C3">
        <w:t>under</w:t>
      </w:r>
      <w:r>
        <w:rPr>
          <w:b/>
        </w:rPr>
        <w:t xml:space="preserve"> </w:t>
      </w:r>
      <w:r w:rsidR="00F06018">
        <w:rPr>
          <w:b/>
        </w:rPr>
        <w:t xml:space="preserve">Direct </w:t>
      </w:r>
      <w:r>
        <w:rPr>
          <w:b/>
        </w:rPr>
        <w:t>Implications and Discussions)</w:t>
      </w:r>
      <w:r>
        <w:rPr>
          <w:color w:val="000000" w:themeColor="text1"/>
        </w:rPr>
        <w:t xml:space="preserve"> </w:t>
      </w:r>
    </w:p>
    <w:p w14:paraId="53547D92" w14:textId="77777777" w:rsidR="00D95C74" w:rsidRDefault="00D95C74" w:rsidP="00D95C74">
      <w:pPr>
        <w:ind w:firstLine="720"/>
        <w:rPr>
          <w:sz w:val="24"/>
          <w:szCs w:val="24"/>
        </w:rPr>
      </w:pPr>
      <w:r>
        <w:rPr>
          <w:sz w:val="24"/>
          <w:szCs w:val="24"/>
        </w:rPr>
        <w:t>Above</w:t>
      </w:r>
      <w:r w:rsidRPr="00F35011">
        <w:rPr>
          <w:sz w:val="24"/>
          <w:szCs w:val="24"/>
        </w:rPr>
        <w:t xml:space="preserve"> scenario </w:t>
      </w:r>
      <w:r>
        <w:rPr>
          <w:sz w:val="24"/>
          <w:szCs w:val="24"/>
        </w:rPr>
        <w:t>assumes three types of events</w:t>
      </w:r>
      <w:r w:rsidRPr="00793AA1">
        <w:rPr>
          <w:sz w:val="24"/>
          <w:szCs w:val="24"/>
        </w:rPr>
        <w:t xml:space="preserve">: </w:t>
      </w:r>
    </w:p>
    <w:p w14:paraId="6B622D51" w14:textId="136B4A99" w:rsidR="00D95C74" w:rsidRDefault="00D95C74" w:rsidP="00D95C74">
      <w:pPr>
        <w:rPr>
          <w:sz w:val="24"/>
          <w:szCs w:val="24"/>
        </w:rPr>
      </w:pPr>
      <w:r>
        <w:rPr>
          <w:sz w:val="24"/>
          <w:szCs w:val="24"/>
        </w:rPr>
        <w:t>(a) “</w:t>
      </w:r>
      <w:r w:rsidR="005D2A86">
        <w:rPr>
          <w:b/>
          <w:sz w:val="24"/>
          <w:szCs w:val="24"/>
        </w:rPr>
        <w:t>G</w:t>
      </w:r>
      <w:r>
        <w:rPr>
          <w:b/>
          <w:sz w:val="24"/>
          <w:szCs w:val="24"/>
        </w:rPr>
        <w:t xml:space="preserve">enomic </w:t>
      </w:r>
      <w:r w:rsidRPr="001018B0">
        <w:rPr>
          <w:b/>
          <w:sz w:val="24"/>
          <w:szCs w:val="24"/>
        </w:rPr>
        <w:t>diversification</w:t>
      </w:r>
      <w:r>
        <w:rPr>
          <w:sz w:val="24"/>
          <w:szCs w:val="24"/>
        </w:rPr>
        <w:t>”</w:t>
      </w:r>
      <w:r w:rsidR="00560974">
        <w:rPr>
          <w:sz w:val="24"/>
          <w:szCs w:val="24"/>
        </w:rPr>
        <w:t xml:space="preserve"> (including “genetic drift”)</w:t>
      </w:r>
      <w:r>
        <w:rPr>
          <w:sz w:val="24"/>
          <w:szCs w:val="24"/>
        </w:rPr>
        <w:t xml:space="preserve"> of the </w:t>
      </w:r>
      <w:r w:rsidRPr="00793AA1">
        <w:rPr>
          <w:sz w:val="24"/>
          <w:szCs w:val="24"/>
        </w:rPr>
        <w:t xml:space="preserve">founder population of </w:t>
      </w:r>
      <w:r>
        <w:rPr>
          <w:sz w:val="24"/>
          <w:szCs w:val="24"/>
        </w:rPr>
        <w:t>the all extant groups, resulting in</w:t>
      </w:r>
      <w:r w:rsidRPr="00793AA1">
        <w:rPr>
          <w:sz w:val="24"/>
          <w:szCs w:val="24"/>
        </w:rPr>
        <w:t xml:space="preserve"> the genomic variation of 0.2% </w:t>
      </w:r>
      <w:r>
        <w:rPr>
          <w:sz w:val="24"/>
          <w:szCs w:val="24"/>
        </w:rPr>
        <w:t xml:space="preserve">between two individuals </w:t>
      </w:r>
      <w:r w:rsidRPr="00793AA1">
        <w:rPr>
          <w:sz w:val="24"/>
          <w:szCs w:val="24"/>
        </w:rPr>
        <w:t>as the “base-line genomic noise”</w:t>
      </w:r>
      <w:r>
        <w:rPr>
          <w:sz w:val="24"/>
          <w:szCs w:val="24"/>
        </w:rPr>
        <w:t xml:space="preserve"> (for example, due to errors caused by </w:t>
      </w:r>
      <w:r w:rsidRPr="001018B0">
        <w:rPr>
          <w:sz w:val="24"/>
          <w:szCs w:val="24"/>
        </w:rPr>
        <w:t>the</w:t>
      </w:r>
      <w:r>
        <w:rPr>
          <w:sz w:val="24"/>
          <w:szCs w:val="24"/>
        </w:rPr>
        <w:t xml:space="preserve"> biological environment such as the errors during DNA replication or/and repair, or non-biological environment such as radiation and environmental mutagens), thus generating genomic diversity </w:t>
      </w:r>
    </w:p>
    <w:p w14:paraId="3071701E" w14:textId="16199C9C" w:rsidR="00D95C74" w:rsidRDefault="00D95C74" w:rsidP="00D95C74">
      <w:pPr>
        <w:rPr>
          <w:sz w:val="24"/>
          <w:szCs w:val="24"/>
        </w:rPr>
      </w:pPr>
      <w:r>
        <w:rPr>
          <w:sz w:val="24"/>
          <w:szCs w:val="24"/>
        </w:rPr>
        <w:t>(b)</w:t>
      </w:r>
      <w:r w:rsidRPr="00793AA1">
        <w:rPr>
          <w:sz w:val="24"/>
          <w:szCs w:val="24"/>
        </w:rPr>
        <w:t xml:space="preserve"> “</w:t>
      </w:r>
      <w:r>
        <w:rPr>
          <w:b/>
          <w:sz w:val="24"/>
          <w:szCs w:val="24"/>
        </w:rPr>
        <w:t>P</w:t>
      </w:r>
      <w:r w:rsidRPr="00F35011">
        <w:rPr>
          <w:b/>
          <w:sz w:val="24"/>
          <w:szCs w:val="24"/>
        </w:rPr>
        <w:t>henotypic selection</w:t>
      </w:r>
      <w:r>
        <w:rPr>
          <w:b/>
          <w:sz w:val="24"/>
          <w:szCs w:val="24"/>
        </w:rPr>
        <w:t xml:space="preserve">” </w:t>
      </w:r>
      <w:r w:rsidRPr="00CB217C">
        <w:rPr>
          <w:sz w:val="24"/>
          <w:szCs w:val="24"/>
        </w:rPr>
        <w:t>by</w:t>
      </w:r>
      <w:r w:rsidRPr="00793AA1">
        <w:rPr>
          <w:sz w:val="24"/>
          <w:szCs w:val="24"/>
        </w:rPr>
        <w:t xml:space="preserve"> one or more cycles of </w:t>
      </w:r>
      <w:r w:rsidR="00560974">
        <w:rPr>
          <w:sz w:val="24"/>
          <w:szCs w:val="24"/>
        </w:rPr>
        <w:t xml:space="preserve">environmental (including </w:t>
      </w:r>
      <w:r>
        <w:rPr>
          <w:sz w:val="24"/>
          <w:szCs w:val="24"/>
        </w:rPr>
        <w:t>“</w:t>
      </w:r>
      <w:r w:rsidRPr="00793AA1">
        <w:rPr>
          <w:sz w:val="24"/>
          <w:szCs w:val="24"/>
        </w:rPr>
        <w:t>natural</w:t>
      </w:r>
      <w:r>
        <w:rPr>
          <w:sz w:val="24"/>
          <w:szCs w:val="24"/>
        </w:rPr>
        <w:t>”)</w:t>
      </w:r>
      <w:r w:rsidRPr="00793AA1">
        <w:rPr>
          <w:sz w:val="24"/>
          <w:szCs w:val="24"/>
        </w:rPr>
        <w:t xml:space="preserve"> selection</w:t>
      </w:r>
      <w:r>
        <w:rPr>
          <w:sz w:val="24"/>
          <w:szCs w:val="24"/>
        </w:rPr>
        <w:t>s</w:t>
      </w:r>
      <w:r w:rsidRPr="00793AA1">
        <w:rPr>
          <w:sz w:val="24"/>
          <w:szCs w:val="24"/>
        </w:rPr>
        <w:t xml:space="preserve"> of the phenotype</w:t>
      </w:r>
      <w:r>
        <w:rPr>
          <w:sz w:val="24"/>
          <w:szCs w:val="24"/>
        </w:rPr>
        <w:t xml:space="preserve"> variants, which carry non-random set of genotypes from the 0.2%, better suited</w:t>
      </w:r>
      <w:r w:rsidRPr="00793AA1">
        <w:rPr>
          <w:sz w:val="24"/>
          <w:szCs w:val="24"/>
        </w:rPr>
        <w:t xml:space="preserve"> for the environment of </w:t>
      </w:r>
      <w:r>
        <w:rPr>
          <w:sz w:val="24"/>
          <w:szCs w:val="24"/>
        </w:rPr>
        <w:t>each</w:t>
      </w:r>
      <w:r w:rsidRPr="00793AA1">
        <w:rPr>
          <w:sz w:val="24"/>
          <w:szCs w:val="24"/>
        </w:rPr>
        <w:t xml:space="preserve"> GG</w:t>
      </w:r>
      <w:r>
        <w:rPr>
          <w:sz w:val="24"/>
          <w:szCs w:val="24"/>
        </w:rPr>
        <w:t xml:space="preserve">; and </w:t>
      </w:r>
    </w:p>
    <w:p w14:paraId="0AE6F3C3" w14:textId="77777777" w:rsidR="00D95C74" w:rsidRDefault="00D95C74" w:rsidP="00D95C74">
      <w:pPr>
        <w:rPr>
          <w:sz w:val="24"/>
          <w:szCs w:val="24"/>
        </w:rPr>
      </w:pPr>
      <w:r>
        <w:rPr>
          <w:sz w:val="24"/>
          <w:szCs w:val="24"/>
        </w:rPr>
        <w:t>(c)</w:t>
      </w:r>
      <w:r w:rsidRPr="00793AA1">
        <w:rPr>
          <w:sz w:val="24"/>
          <w:szCs w:val="24"/>
        </w:rPr>
        <w:t xml:space="preserve"> “</w:t>
      </w:r>
      <w:r>
        <w:rPr>
          <w:b/>
          <w:sz w:val="24"/>
          <w:szCs w:val="24"/>
        </w:rPr>
        <w:t>Genotypic</w:t>
      </w:r>
      <w:r w:rsidRPr="00F35011">
        <w:rPr>
          <w:b/>
          <w:sz w:val="24"/>
          <w:szCs w:val="24"/>
        </w:rPr>
        <w:t xml:space="preserve"> selection</w:t>
      </w:r>
      <w:r>
        <w:rPr>
          <w:sz w:val="24"/>
          <w:szCs w:val="24"/>
        </w:rPr>
        <w:t xml:space="preserve">” by </w:t>
      </w:r>
      <w:r w:rsidRPr="00793AA1">
        <w:rPr>
          <w:sz w:val="24"/>
          <w:szCs w:val="24"/>
        </w:rPr>
        <w:t>the sexual reproduction</w:t>
      </w:r>
      <w:r>
        <w:rPr>
          <w:sz w:val="24"/>
          <w:szCs w:val="24"/>
        </w:rPr>
        <w:t xml:space="preserve"> among the population of</w:t>
      </w:r>
      <w:r w:rsidRPr="00793AA1">
        <w:rPr>
          <w:sz w:val="24"/>
          <w:szCs w:val="24"/>
        </w:rPr>
        <w:t xml:space="preserve"> the phenotype-selected variants</w:t>
      </w:r>
      <w:r>
        <w:rPr>
          <w:sz w:val="24"/>
          <w:szCs w:val="24"/>
        </w:rPr>
        <w:t xml:space="preserve"> (thus, non-randomly selected genotype variants) in each GG.  </w:t>
      </w:r>
      <w:r w:rsidRPr="00793AA1">
        <w:rPr>
          <w:sz w:val="24"/>
          <w:szCs w:val="24"/>
        </w:rPr>
        <w:t xml:space="preserve"> </w:t>
      </w:r>
    </w:p>
    <w:p w14:paraId="5922308B" w14:textId="277BAB1F" w:rsidR="00D95C74" w:rsidRPr="00793AA1" w:rsidRDefault="00D95C74" w:rsidP="00D95C74">
      <w:pPr>
        <w:ind w:firstLine="720"/>
        <w:rPr>
          <w:color w:val="FF0000"/>
          <w:sz w:val="24"/>
          <w:szCs w:val="24"/>
        </w:rPr>
      </w:pPr>
      <w:r>
        <w:rPr>
          <w:sz w:val="24"/>
          <w:szCs w:val="24"/>
        </w:rPr>
        <w:t xml:space="preserve">Multiple cycles of the three types of events would </w:t>
      </w:r>
      <w:r w:rsidRPr="00793AA1">
        <w:rPr>
          <w:sz w:val="24"/>
          <w:szCs w:val="24"/>
        </w:rPr>
        <w:t>ultimately</w:t>
      </w:r>
      <w:r w:rsidR="00A34CEF">
        <w:rPr>
          <w:sz w:val="24"/>
          <w:szCs w:val="24"/>
        </w:rPr>
        <w:t xml:space="preserve"> form</w:t>
      </w:r>
      <w:r w:rsidRPr="00793AA1">
        <w:rPr>
          <w:sz w:val="24"/>
          <w:szCs w:val="24"/>
        </w:rPr>
        <w:t xml:space="preserve"> </w:t>
      </w:r>
      <w:r>
        <w:rPr>
          <w:sz w:val="24"/>
          <w:szCs w:val="24"/>
        </w:rPr>
        <w:t xml:space="preserve">a particular GG with a </w:t>
      </w:r>
      <w:r w:rsidRPr="00793AA1">
        <w:rPr>
          <w:sz w:val="24"/>
          <w:szCs w:val="24"/>
        </w:rPr>
        <w:t xml:space="preserve">set of </w:t>
      </w:r>
      <w:r>
        <w:rPr>
          <w:sz w:val="24"/>
          <w:szCs w:val="24"/>
        </w:rPr>
        <w:t xml:space="preserve">distinct </w:t>
      </w:r>
      <w:r w:rsidRPr="00793AA1">
        <w:rPr>
          <w:sz w:val="24"/>
          <w:szCs w:val="24"/>
        </w:rPr>
        <w:t>genomic variations</w:t>
      </w:r>
      <w:r>
        <w:rPr>
          <w:sz w:val="24"/>
          <w:szCs w:val="24"/>
        </w:rPr>
        <w:t xml:space="preserve"> at the level of about 0.2% of their whole genomes with apparent correlation to different geological regions</w:t>
      </w:r>
      <w:r w:rsidRPr="00793AA1">
        <w:rPr>
          <w:sz w:val="24"/>
          <w:szCs w:val="24"/>
        </w:rPr>
        <w:t xml:space="preserve">.  </w:t>
      </w:r>
    </w:p>
    <w:p w14:paraId="0FAD20E3" w14:textId="77777777" w:rsidR="00D95C74" w:rsidRDefault="00D95C74" w:rsidP="00D95C74">
      <w:pPr>
        <w:autoSpaceDE w:val="0"/>
        <w:autoSpaceDN w:val="0"/>
        <w:adjustRightInd w:val="0"/>
        <w:rPr>
          <w:b/>
          <w:sz w:val="24"/>
          <w:szCs w:val="24"/>
        </w:rPr>
      </w:pPr>
    </w:p>
    <w:p w14:paraId="73478E72" w14:textId="753F0943" w:rsidR="0048731D" w:rsidRDefault="0048731D" w:rsidP="0048731D"/>
    <w:sectPr w:rsidR="0048731D" w:rsidSect="00007896">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PilGi">
    <w:altName w:val="Arial Unicode MS"/>
    <w:charset w:val="81"/>
    <w:family w:val="auto"/>
    <w:pitch w:val="variable"/>
    <w:sig w:usb0="900002E7" w:usb1="19D7FCFF" w:usb2="00000014" w:usb3="00000000" w:csb0="002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E4BEB"/>
    <w:multiLevelType w:val="hybridMultilevel"/>
    <w:tmpl w:val="D9345CC2"/>
    <w:lvl w:ilvl="0" w:tplc="05C6C59A">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2F67B1"/>
    <w:multiLevelType w:val="hybridMultilevel"/>
    <w:tmpl w:val="F9A86560"/>
    <w:lvl w:ilvl="0" w:tplc="769CA0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FB74C5"/>
    <w:multiLevelType w:val="hybridMultilevel"/>
    <w:tmpl w:val="EA80BB50"/>
    <w:lvl w:ilvl="0" w:tplc="103E8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C74"/>
    <w:rsid w:val="00007896"/>
    <w:rsid w:val="00024FAA"/>
    <w:rsid w:val="0002698D"/>
    <w:rsid w:val="00036CA2"/>
    <w:rsid w:val="00072D80"/>
    <w:rsid w:val="00082261"/>
    <w:rsid w:val="000D21F5"/>
    <w:rsid w:val="000E7746"/>
    <w:rsid w:val="000F5C26"/>
    <w:rsid w:val="00104C12"/>
    <w:rsid w:val="001119BB"/>
    <w:rsid w:val="001E1D49"/>
    <w:rsid w:val="001E6BC0"/>
    <w:rsid w:val="001F5A0E"/>
    <w:rsid w:val="00231CB8"/>
    <w:rsid w:val="0024579A"/>
    <w:rsid w:val="00255F39"/>
    <w:rsid w:val="00263E26"/>
    <w:rsid w:val="002739E6"/>
    <w:rsid w:val="002C1594"/>
    <w:rsid w:val="002C70B5"/>
    <w:rsid w:val="002D2ED0"/>
    <w:rsid w:val="002D60BD"/>
    <w:rsid w:val="002E0144"/>
    <w:rsid w:val="00384264"/>
    <w:rsid w:val="003B0044"/>
    <w:rsid w:val="003F0FA0"/>
    <w:rsid w:val="00446943"/>
    <w:rsid w:val="00450009"/>
    <w:rsid w:val="0048731D"/>
    <w:rsid w:val="00491A6A"/>
    <w:rsid w:val="004A43AB"/>
    <w:rsid w:val="004C08CA"/>
    <w:rsid w:val="004E1EE2"/>
    <w:rsid w:val="004E48A2"/>
    <w:rsid w:val="004F71D3"/>
    <w:rsid w:val="0052129D"/>
    <w:rsid w:val="00560974"/>
    <w:rsid w:val="0056370A"/>
    <w:rsid w:val="005739D7"/>
    <w:rsid w:val="00594CB8"/>
    <w:rsid w:val="005D2A86"/>
    <w:rsid w:val="005E4C06"/>
    <w:rsid w:val="00634E58"/>
    <w:rsid w:val="006550DE"/>
    <w:rsid w:val="0066670E"/>
    <w:rsid w:val="006728A8"/>
    <w:rsid w:val="00695FF6"/>
    <w:rsid w:val="006B239B"/>
    <w:rsid w:val="006D478E"/>
    <w:rsid w:val="00713A47"/>
    <w:rsid w:val="007B3FD4"/>
    <w:rsid w:val="007C7870"/>
    <w:rsid w:val="00802DC7"/>
    <w:rsid w:val="008117A1"/>
    <w:rsid w:val="0085263C"/>
    <w:rsid w:val="008E2351"/>
    <w:rsid w:val="008E778E"/>
    <w:rsid w:val="0098005B"/>
    <w:rsid w:val="009A1F7E"/>
    <w:rsid w:val="009C44C4"/>
    <w:rsid w:val="00A34CEF"/>
    <w:rsid w:val="00A572D2"/>
    <w:rsid w:val="00AC6286"/>
    <w:rsid w:val="00AE03C4"/>
    <w:rsid w:val="00AE517A"/>
    <w:rsid w:val="00BA4217"/>
    <w:rsid w:val="00BA43E3"/>
    <w:rsid w:val="00BC1423"/>
    <w:rsid w:val="00BD20CA"/>
    <w:rsid w:val="00C14579"/>
    <w:rsid w:val="00C452FA"/>
    <w:rsid w:val="00C5279F"/>
    <w:rsid w:val="00CC3A2E"/>
    <w:rsid w:val="00D25637"/>
    <w:rsid w:val="00D95C74"/>
    <w:rsid w:val="00DB7C03"/>
    <w:rsid w:val="00E14848"/>
    <w:rsid w:val="00E22FCD"/>
    <w:rsid w:val="00E807A2"/>
    <w:rsid w:val="00F06018"/>
    <w:rsid w:val="00F15FF0"/>
    <w:rsid w:val="00F30EF5"/>
    <w:rsid w:val="00F370BB"/>
    <w:rsid w:val="00F7529D"/>
    <w:rsid w:val="00F8223A"/>
    <w:rsid w:val="00F959BC"/>
    <w:rsid w:val="00FA29E2"/>
    <w:rsid w:val="00FA65A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05D19"/>
  <w15:chartTrackingRefBased/>
  <w15:docId w15:val="{1666E7D1-EA18-1844-8BE5-2A484AAAD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ko-KR" w:bidi="ar-SA"/>
      </w:rPr>
    </w:rPrDefault>
    <w:pPrDefault>
      <w:pPr>
        <w:ind w:left="14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C74"/>
    <w:pPr>
      <w:ind w:left="0"/>
    </w:pPr>
    <w:rPr>
      <w:rFonts w:ascii="Times New Roman" w:eastAsia="Calibri" w:hAnsi="Times New Roman" w:cs="Times New Roman"/>
      <w:sz w:val="20"/>
      <w:szCs w:val="20"/>
      <w:lang w:eastAsia="en-US"/>
    </w:rPr>
  </w:style>
  <w:style w:type="paragraph" w:styleId="Heading1">
    <w:name w:val="heading 1"/>
    <w:basedOn w:val="Normal"/>
    <w:link w:val="Heading1Char"/>
    <w:uiPriority w:val="9"/>
    <w:qFormat/>
    <w:rsid w:val="007C7870"/>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MContent">
    <w:name w:val="SOMContent"/>
    <w:basedOn w:val="Normal"/>
    <w:rsid w:val="00D95C74"/>
    <w:pPr>
      <w:spacing w:before="120"/>
    </w:pPr>
    <w:rPr>
      <w:rFonts w:eastAsia="Times New Roman"/>
      <w:sz w:val="24"/>
      <w:szCs w:val="24"/>
    </w:rPr>
  </w:style>
  <w:style w:type="paragraph" w:customStyle="1" w:styleId="SOMHead">
    <w:name w:val="SOMHead"/>
    <w:basedOn w:val="Normal"/>
    <w:rsid w:val="00D95C74"/>
    <w:pPr>
      <w:keepNext/>
      <w:spacing w:before="240"/>
      <w:outlineLvl w:val="0"/>
    </w:pPr>
    <w:rPr>
      <w:rFonts w:eastAsia="Times New Roman"/>
      <w:b/>
      <w:kern w:val="28"/>
      <w:sz w:val="24"/>
      <w:szCs w:val="24"/>
    </w:rPr>
  </w:style>
  <w:style w:type="paragraph" w:styleId="ListParagraph">
    <w:name w:val="List Paragraph"/>
    <w:basedOn w:val="Normal"/>
    <w:uiPriority w:val="34"/>
    <w:qFormat/>
    <w:rsid w:val="00D95C74"/>
    <w:pPr>
      <w:ind w:left="720"/>
      <w:contextualSpacing/>
    </w:pPr>
    <w:rPr>
      <w:rFonts w:asciiTheme="minorHAnsi" w:eastAsiaTheme="minorHAnsi" w:hAnsiTheme="minorHAnsi" w:cstheme="minorBidi"/>
      <w:sz w:val="24"/>
      <w:szCs w:val="24"/>
    </w:rPr>
  </w:style>
  <w:style w:type="character" w:styleId="LineNumber">
    <w:name w:val="line number"/>
    <w:basedOn w:val="DefaultParagraphFont"/>
    <w:uiPriority w:val="99"/>
    <w:semiHidden/>
    <w:unhideWhenUsed/>
    <w:rsid w:val="005E4C06"/>
  </w:style>
  <w:style w:type="character" w:customStyle="1" w:styleId="Heading1Char">
    <w:name w:val="Heading 1 Char"/>
    <w:basedOn w:val="DefaultParagraphFont"/>
    <w:link w:val="Heading1"/>
    <w:uiPriority w:val="9"/>
    <w:rsid w:val="007C7870"/>
    <w:rPr>
      <w:rFonts w:ascii="Times New Roman" w:eastAsia="Times New Roman" w:hAnsi="Times New Roman" w:cs="Times New Roman"/>
      <w:b/>
      <w:bCs/>
      <w:kern w:val="36"/>
      <w:sz w:val="48"/>
      <w:szCs w:val="48"/>
      <w:lang w:eastAsia="en-US"/>
    </w:rPr>
  </w:style>
  <w:style w:type="paragraph" w:styleId="BalloonText">
    <w:name w:val="Balloon Text"/>
    <w:basedOn w:val="Normal"/>
    <w:link w:val="BalloonTextChar"/>
    <w:uiPriority w:val="99"/>
    <w:semiHidden/>
    <w:unhideWhenUsed/>
    <w:rsid w:val="00FA65A7"/>
    <w:rPr>
      <w:sz w:val="18"/>
      <w:szCs w:val="18"/>
    </w:rPr>
  </w:style>
  <w:style w:type="character" w:customStyle="1" w:styleId="BalloonTextChar">
    <w:name w:val="Balloon Text Char"/>
    <w:basedOn w:val="DefaultParagraphFont"/>
    <w:link w:val="BalloonText"/>
    <w:uiPriority w:val="99"/>
    <w:semiHidden/>
    <w:rsid w:val="00FA65A7"/>
    <w:rPr>
      <w:rFonts w:ascii="Times New Roman" w:eastAsia="Calibri" w:hAnsi="Times New Roman" w:cs="Times New Roman"/>
      <w:sz w:val="18"/>
      <w:szCs w:val="18"/>
      <w:lang w:eastAsia="en-US"/>
    </w:rPr>
  </w:style>
  <w:style w:type="character" w:styleId="Hyperlink">
    <w:name w:val="Hyperlink"/>
    <w:basedOn w:val="DefaultParagraphFont"/>
    <w:uiPriority w:val="99"/>
    <w:rsid w:val="004E1EE2"/>
    <w:rPr>
      <w:color w:val="0000FF"/>
      <w:u w:val="single"/>
    </w:rPr>
  </w:style>
  <w:style w:type="character" w:styleId="FollowedHyperlink">
    <w:name w:val="FollowedHyperlink"/>
    <w:basedOn w:val="DefaultParagraphFont"/>
    <w:uiPriority w:val="99"/>
    <w:semiHidden/>
    <w:unhideWhenUsed/>
    <w:rsid w:val="001E1D49"/>
    <w:rPr>
      <w:color w:val="954F72" w:themeColor="followedHyperlink"/>
      <w:u w:val="single"/>
    </w:rPr>
  </w:style>
  <w:style w:type="character" w:customStyle="1" w:styleId="UnresolvedMention">
    <w:name w:val="Unresolved Mention"/>
    <w:basedOn w:val="DefaultParagraphFont"/>
    <w:uiPriority w:val="99"/>
    <w:semiHidden/>
    <w:unhideWhenUsed/>
    <w:rsid w:val="00713A47"/>
    <w:rPr>
      <w:color w:val="605E5C"/>
      <w:shd w:val="clear" w:color="auto" w:fill="E1DFDD"/>
    </w:rPr>
  </w:style>
  <w:style w:type="paragraph" w:styleId="Revision">
    <w:name w:val="Revision"/>
    <w:hidden/>
    <w:uiPriority w:val="99"/>
    <w:semiHidden/>
    <w:rsid w:val="0002698D"/>
    <w:pPr>
      <w:ind w:left="0"/>
    </w:pPr>
    <w:rPr>
      <w:rFonts w:ascii="Times New Roman" w:eastAsia="Calibri"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607890">
      <w:bodyDiv w:val="1"/>
      <w:marLeft w:val="0"/>
      <w:marRight w:val="0"/>
      <w:marTop w:val="0"/>
      <w:marBottom w:val="0"/>
      <w:divBdr>
        <w:top w:val="none" w:sz="0" w:space="0" w:color="auto"/>
        <w:left w:val="none" w:sz="0" w:space="0" w:color="auto"/>
        <w:bottom w:val="none" w:sz="0" w:space="0" w:color="auto"/>
        <w:right w:val="none" w:sz="0" w:space="0" w:color="auto"/>
      </w:divBdr>
      <w:divsChild>
        <w:div w:id="1870872553">
          <w:marLeft w:val="0"/>
          <w:marRight w:val="0"/>
          <w:marTop w:val="0"/>
          <w:marBottom w:val="0"/>
          <w:divBdr>
            <w:top w:val="none" w:sz="0" w:space="0" w:color="auto"/>
            <w:left w:val="none" w:sz="0" w:space="0" w:color="auto"/>
            <w:bottom w:val="none" w:sz="0" w:space="0" w:color="auto"/>
            <w:right w:val="none" w:sz="0" w:space="0" w:color="auto"/>
          </w:divBdr>
        </w:div>
        <w:div w:id="1761943665">
          <w:marLeft w:val="0"/>
          <w:marRight w:val="0"/>
          <w:marTop w:val="0"/>
          <w:marBottom w:val="0"/>
          <w:divBdr>
            <w:top w:val="none" w:sz="0" w:space="0" w:color="auto"/>
            <w:left w:val="none" w:sz="0" w:space="0" w:color="auto"/>
            <w:bottom w:val="none" w:sz="0" w:space="0" w:color="auto"/>
            <w:right w:val="none" w:sz="0" w:space="0" w:color="auto"/>
          </w:divBdr>
        </w:div>
      </w:divsChild>
    </w:div>
    <w:div w:id="47160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6</Pages>
  <Words>2902</Words>
  <Characters>16545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Ragavathi V.</cp:lastModifiedBy>
  <cp:revision>17</cp:revision>
  <dcterms:created xsi:type="dcterms:W3CDTF">2022-09-29T14:12:00Z</dcterms:created>
  <dcterms:modified xsi:type="dcterms:W3CDTF">2023-04-05T14:13:00Z</dcterms:modified>
</cp:coreProperties>
</file>