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D8C" w:rsidRDefault="00F92D8C">
      <w:bookmarkStart w:id="0" w:name="_GoBack"/>
      <w:bookmarkEnd w:id="0"/>
    </w:p>
    <w:p w:rsidR="00F92D8C" w:rsidRPr="008B135F" w:rsidRDefault="008B135F">
      <w:pPr>
        <w:rPr>
          <w:b/>
        </w:rPr>
      </w:pPr>
      <w:r w:rsidRPr="008B135F">
        <w:rPr>
          <w:b/>
        </w:rPr>
        <w:t>Supplementary Figures and Tables</w:t>
      </w:r>
    </w:p>
    <w:p w:rsidR="00F92D8C" w:rsidRPr="008B135F" w:rsidRDefault="00F92D8C"/>
    <w:p w:rsidR="00F92D8C" w:rsidRPr="008B135F" w:rsidRDefault="00F92D8C"/>
    <w:p w:rsidR="00F92D8C" w:rsidRPr="008B135F" w:rsidRDefault="008B135F">
      <w:r w:rsidRPr="008B135F">
        <w:rPr>
          <w:noProof/>
          <w:lang w:val="en-IN"/>
        </w:rPr>
        <w:drawing>
          <wp:inline distT="114300" distB="114300" distL="114300" distR="114300">
            <wp:extent cx="5943600" cy="1346200"/>
            <wp:effectExtent l="0" t="0" r="0" b="0"/>
            <wp:docPr id="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5943600" cy="1346200"/>
                    </a:xfrm>
                    <a:prstGeom prst="rect">
                      <a:avLst/>
                    </a:prstGeom>
                    <a:ln/>
                  </pic:spPr>
                </pic:pic>
              </a:graphicData>
            </a:graphic>
          </wp:inline>
        </w:drawing>
      </w:r>
    </w:p>
    <w:p w:rsidR="00F92D8C" w:rsidRPr="008B135F" w:rsidRDefault="008B135F">
      <w:r w:rsidRPr="008B135F">
        <w:rPr>
          <w:b/>
        </w:rPr>
        <w:t>Figure S1.</w:t>
      </w:r>
      <w:r w:rsidRPr="008B135F">
        <w:t xml:space="preserve"> Summary</w:t>
      </w:r>
      <w:r w:rsidRPr="008B135F">
        <w:t xml:space="preserve"> of the effects of management system on (A) overwintering survival, and (B) honey production for each of the three years of the experiment. The three tested management systems were chemical-free (CF, orange), conventional (CON, blue), and organic (ORG, gre</w:t>
      </w:r>
      <w:r w:rsidRPr="008B135F">
        <w:t xml:space="preserve">en). </w:t>
      </w:r>
    </w:p>
    <w:p w:rsidR="00F92D8C" w:rsidRPr="008B135F" w:rsidRDefault="00F92D8C"/>
    <w:p w:rsidR="00F92D8C" w:rsidRPr="008B135F" w:rsidRDefault="00F92D8C"/>
    <w:p w:rsidR="00F92D8C" w:rsidRPr="008B135F" w:rsidRDefault="008B135F">
      <w:r w:rsidRPr="008B135F">
        <w:rPr>
          <w:noProof/>
          <w:lang w:val="en-IN"/>
        </w:rPr>
        <w:drawing>
          <wp:inline distT="114300" distB="114300" distL="114300" distR="114300">
            <wp:extent cx="5943600" cy="1346200"/>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5943600" cy="1346200"/>
                    </a:xfrm>
                    <a:prstGeom prst="rect">
                      <a:avLst/>
                    </a:prstGeom>
                    <a:ln/>
                  </pic:spPr>
                </pic:pic>
              </a:graphicData>
            </a:graphic>
          </wp:inline>
        </w:drawing>
      </w:r>
    </w:p>
    <w:p w:rsidR="00F92D8C" w:rsidRPr="008B135F" w:rsidRDefault="008B135F">
      <w:r w:rsidRPr="008B135F">
        <w:rPr>
          <w:b/>
        </w:rPr>
        <w:t>Figure S2.</w:t>
      </w:r>
      <w:r w:rsidRPr="008B135F">
        <w:t xml:space="preserve"> Summary of the differences in (A) number of </w:t>
      </w:r>
      <w:proofErr w:type="spellStart"/>
      <w:r w:rsidRPr="008B135F">
        <w:rPr>
          <w:i/>
        </w:rPr>
        <w:t>Varroa</w:t>
      </w:r>
      <w:proofErr w:type="spellEnd"/>
      <w:r w:rsidRPr="008B135F">
        <w:t xml:space="preserve"> mites per 100 bees, (B) relative abundance of </w:t>
      </w:r>
      <w:r w:rsidRPr="008B135F">
        <w:rPr>
          <w:i/>
        </w:rPr>
        <w:t xml:space="preserve">V. </w:t>
      </w:r>
      <w:proofErr w:type="spellStart"/>
      <w:r w:rsidRPr="008B135F">
        <w:rPr>
          <w:i/>
        </w:rPr>
        <w:t>ceranae</w:t>
      </w:r>
      <w:proofErr w:type="spellEnd"/>
      <w:r w:rsidRPr="008B135F">
        <w:t>, and (C) relative abundance of DWV in colonies under the three different management systems (CF: chemical-free, CON: convention</w:t>
      </w:r>
      <w:r w:rsidRPr="008B135F">
        <w:t xml:space="preserve">al, ORG: organic) during the three years of the experiment. </w:t>
      </w:r>
    </w:p>
    <w:p w:rsidR="00F92D8C" w:rsidRPr="008B135F" w:rsidRDefault="00F92D8C"/>
    <w:p w:rsidR="00F92D8C" w:rsidRPr="008B135F" w:rsidRDefault="00F92D8C"/>
    <w:p w:rsidR="00F92D8C" w:rsidRPr="008B135F" w:rsidRDefault="008B135F">
      <w:r w:rsidRPr="008B135F">
        <w:rPr>
          <w:noProof/>
          <w:lang w:val="en-IN"/>
        </w:rPr>
        <w:lastRenderedPageBreak/>
        <w:drawing>
          <wp:inline distT="114300" distB="114300" distL="114300" distR="114300">
            <wp:extent cx="5943600" cy="4152900"/>
            <wp:effectExtent l="0" t="0" r="0" b="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5943600" cy="4152900"/>
                    </a:xfrm>
                    <a:prstGeom prst="rect">
                      <a:avLst/>
                    </a:prstGeom>
                    <a:ln/>
                  </pic:spPr>
                </pic:pic>
              </a:graphicData>
            </a:graphic>
          </wp:inline>
        </w:drawing>
      </w:r>
    </w:p>
    <w:p w:rsidR="00F92D8C" w:rsidRPr="008B135F" w:rsidRDefault="008B135F">
      <w:r w:rsidRPr="008B135F">
        <w:rPr>
          <w:b/>
        </w:rPr>
        <w:t>Figure S3</w:t>
      </w:r>
      <w:r w:rsidRPr="008B135F">
        <w:t xml:space="preserve">. Summary of the differences in expression of (A) </w:t>
      </w:r>
      <w:proofErr w:type="spellStart"/>
      <w:r w:rsidRPr="008B135F">
        <w:t>Hymenoptaecin</w:t>
      </w:r>
      <w:proofErr w:type="spellEnd"/>
      <w:r w:rsidRPr="008B135F">
        <w:t xml:space="preserve"> (</w:t>
      </w:r>
      <w:proofErr w:type="spellStart"/>
      <w:r w:rsidRPr="008B135F">
        <w:rPr>
          <w:i/>
        </w:rPr>
        <w:t>hym</w:t>
      </w:r>
      <w:proofErr w:type="spellEnd"/>
      <w:r w:rsidRPr="008B135F">
        <w:t>), (B) Defensin-1 (</w:t>
      </w:r>
      <w:r w:rsidRPr="008B135F">
        <w:rPr>
          <w:i/>
        </w:rPr>
        <w:t>def1</w:t>
      </w:r>
      <w:r w:rsidRPr="008B135F">
        <w:t>), (C) Naked cuticle gene (</w:t>
      </w:r>
      <w:proofErr w:type="spellStart"/>
      <w:r w:rsidRPr="008B135F">
        <w:rPr>
          <w:i/>
        </w:rPr>
        <w:t>nkd</w:t>
      </w:r>
      <w:proofErr w:type="spellEnd"/>
      <w:r w:rsidRPr="008B135F">
        <w:t xml:space="preserve">), and (D) </w:t>
      </w:r>
      <w:proofErr w:type="spellStart"/>
      <w:r w:rsidRPr="008B135F">
        <w:t>Vitellogenin</w:t>
      </w:r>
      <w:proofErr w:type="spellEnd"/>
      <w:r w:rsidRPr="008B135F">
        <w:t xml:space="preserve"> (</w:t>
      </w:r>
      <w:r w:rsidRPr="008B135F">
        <w:rPr>
          <w:i/>
        </w:rPr>
        <w:t>vg</w:t>
      </w:r>
      <w:r w:rsidRPr="008B135F">
        <w:t>) per year in colonies under the t</w:t>
      </w:r>
      <w:r w:rsidRPr="008B135F">
        <w:t xml:space="preserve">hree different management systems (CF: chemical-free, CON: conventional, ORG: organic). </w:t>
      </w:r>
    </w:p>
    <w:p w:rsidR="00F92D8C" w:rsidRPr="008B135F" w:rsidRDefault="00F92D8C"/>
    <w:p w:rsidR="00F92D8C" w:rsidRPr="008B135F" w:rsidRDefault="00F92D8C"/>
    <w:p w:rsidR="00F92D8C" w:rsidRPr="008B135F" w:rsidRDefault="008B135F">
      <w:r w:rsidRPr="008B135F">
        <w:rPr>
          <w:noProof/>
          <w:lang w:val="en-IN"/>
        </w:rPr>
        <w:lastRenderedPageBreak/>
        <w:drawing>
          <wp:inline distT="114300" distB="114300" distL="114300" distR="114300">
            <wp:extent cx="5943600" cy="4038600"/>
            <wp:effectExtent l="0" t="0" r="0" b="0"/>
            <wp:docPr id="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9"/>
                    <a:srcRect/>
                    <a:stretch>
                      <a:fillRect/>
                    </a:stretch>
                  </pic:blipFill>
                  <pic:spPr>
                    <a:xfrm>
                      <a:off x="0" y="0"/>
                      <a:ext cx="5943600" cy="4038600"/>
                    </a:xfrm>
                    <a:prstGeom prst="rect">
                      <a:avLst/>
                    </a:prstGeom>
                    <a:ln/>
                  </pic:spPr>
                </pic:pic>
              </a:graphicData>
            </a:graphic>
          </wp:inline>
        </w:drawing>
      </w:r>
    </w:p>
    <w:p w:rsidR="00F92D8C" w:rsidRPr="008B135F" w:rsidRDefault="008B135F">
      <w:pPr>
        <w:rPr>
          <w:b/>
        </w:rPr>
      </w:pPr>
      <w:r w:rsidRPr="008B135F">
        <w:rPr>
          <w:b/>
        </w:rPr>
        <w:t xml:space="preserve">Figure S4. </w:t>
      </w:r>
      <w:r w:rsidRPr="008B135F">
        <w:t xml:space="preserve"> Changes in </w:t>
      </w:r>
      <w:proofErr w:type="spellStart"/>
      <w:r w:rsidRPr="008B135F">
        <w:rPr>
          <w:i/>
        </w:rPr>
        <w:t>Varroa</w:t>
      </w:r>
      <w:proofErr w:type="spellEnd"/>
      <w:r w:rsidRPr="008B135F">
        <w:rPr>
          <w:i/>
        </w:rPr>
        <w:t xml:space="preserve"> </w:t>
      </w:r>
      <w:r w:rsidRPr="008B135F">
        <w:t>number per 100 bees for colonies in three tested management systems were chemical-free (CF, orange), conventional (CON, blue), and or</w:t>
      </w:r>
      <w:r w:rsidRPr="008B135F">
        <w:t xml:space="preserve">ganic (ORG, green). Each point shows the average </w:t>
      </w:r>
      <w:proofErr w:type="spellStart"/>
      <w:r w:rsidRPr="008B135F">
        <w:rPr>
          <w:i/>
        </w:rPr>
        <w:t>Varroa</w:t>
      </w:r>
      <w:proofErr w:type="spellEnd"/>
      <w:r w:rsidRPr="008B135F">
        <w:rPr>
          <w:i/>
        </w:rPr>
        <w:t xml:space="preserve"> </w:t>
      </w:r>
      <w:r w:rsidRPr="008B135F">
        <w:t>numbers for all surviving colonies during the three years of the experiment. Bars indicate standard errors.</w:t>
      </w:r>
    </w:p>
    <w:p w:rsidR="00F92D8C" w:rsidRPr="008B135F" w:rsidRDefault="00F92D8C"/>
    <w:p w:rsidR="00F92D8C" w:rsidRPr="008B135F" w:rsidRDefault="00F92D8C"/>
    <w:p w:rsidR="00F92D8C" w:rsidRPr="008B135F" w:rsidRDefault="00F92D8C"/>
    <w:p w:rsidR="00F92D8C" w:rsidRPr="008B135F" w:rsidRDefault="008B135F">
      <w:r w:rsidRPr="008B135F">
        <w:br w:type="page"/>
      </w:r>
    </w:p>
    <w:p w:rsidR="00F92D8C" w:rsidRPr="008B135F" w:rsidRDefault="00F92D8C"/>
    <w:p w:rsidR="00F92D8C" w:rsidRPr="008B135F" w:rsidRDefault="008B135F">
      <w:r w:rsidRPr="008B135F">
        <w:rPr>
          <w:noProof/>
          <w:lang w:val="en-IN"/>
        </w:rPr>
        <w:drawing>
          <wp:inline distT="114300" distB="114300" distL="114300" distR="114300">
            <wp:extent cx="5943600" cy="23241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943600" cy="2324100"/>
                    </a:xfrm>
                    <a:prstGeom prst="rect">
                      <a:avLst/>
                    </a:prstGeom>
                    <a:ln/>
                  </pic:spPr>
                </pic:pic>
              </a:graphicData>
            </a:graphic>
          </wp:inline>
        </w:drawing>
      </w:r>
    </w:p>
    <w:p w:rsidR="00F92D8C" w:rsidRPr="008B135F" w:rsidRDefault="008B135F">
      <w:r w:rsidRPr="008B135F">
        <w:rPr>
          <w:b/>
        </w:rPr>
        <w:t>Figure S5.</w:t>
      </w:r>
      <w:r w:rsidRPr="008B135F">
        <w:t xml:space="preserve"> Path analysis showing the effects of management system on health biomarke</w:t>
      </w:r>
      <w:r w:rsidRPr="008B135F">
        <w:t>rs (middle) and how they impact honey bee colony winter survival (right) for colonies in 2018 and ‘2019 and 2020’. Colors indicate positive (orange) and negative (red) effects. Width of the arrows indicate the strength of the association varying from low (</w:t>
      </w:r>
      <w:r w:rsidRPr="008B135F">
        <w:t xml:space="preserve">thin) to high (thick) associations.  In 2018, all colony variables except </w:t>
      </w:r>
      <w:r w:rsidRPr="008B135F">
        <w:rPr>
          <w:i/>
        </w:rPr>
        <w:t>def1</w:t>
      </w:r>
      <w:r w:rsidRPr="008B135F">
        <w:t xml:space="preserve"> had significant effects on survival whereas in 2019-2020 </w:t>
      </w:r>
      <w:r w:rsidRPr="008B135F">
        <w:rPr>
          <w:i/>
        </w:rPr>
        <w:t>def1</w:t>
      </w:r>
      <w:r w:rsidRPr="008B135F">
        <w:t xml:space="preserve"> was the only significant path. In 2018, </w:t>
      </w:r>
      <w:r w:rsidRPr="008B135F">
        <w:rPr>
          <w:i/>
        </w:rPr>
        <w:t>def1</w:t>
      </w:r>
      <w:r w:rsidRPr="008B135F">
        <w:t xml:space="preserve"> had weak positive association with survival (r = 0.14) while in 2019-2</w:t>
      </w:r>
      <w:r w:rsidRPr="008B135F">
        <w:t xml:space="preserve">020 it had a strong negative effect (r = -0.37). </w:t>
      </w:r>
    </w:p>
    <w:p w:rsidR="00F92D8C" w:rsidRPr="008B135F" w:rsidRDefault="00F92D8C"/>
    <w:p w:rsidR="00F92D8C" w:rsidRPr="008B135F" w:rsidRDefault="008B135F">
      <w:r w:rsidRPr="008B135F">
        <w:rPr>
          <w:noProof/>
          <w:lang w:val="en-IN"/>
        </w:rPr>
        <w:drawing>
          <wp:inline distT="114300" distB="114300" distL="114300" distR="114300">
            <wp:extent cx="5943600" cy="5943600"/>
            <wp:effectExtent l="0" t="0" r="0" b="0"/>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1"/>
                    <a:srcRect/>
                    <a:stretch>
                      <a:fillRect/>
                    </a:stretch>
                  </pic:blipFill>
                  <pic:spPr>
                    <a:xfrm>
                      <a:off x="0" y="0"/>
                      <a:ext cx="5943600" cy="5943600"/>
                    </a:xfrm>
                    <a:prstGeom prst="rect">
                      <a:avLst/>
                    </a:prstGeom>
                    <a:ln/>
                  </pic:spPr>
                </pic:pic>
              </a:graphicData>
            </a:graphic>
          </wp:inline>
        </w:drawing>
      </w:r>
    </w:p>
    <w:p w:rsidR="00F92D8C" w:rsidRPr="008B135F" w:rsidRDefault="008B135F">
      <w:pPr>
        <w:rPr>
          <w:rFonts w:ascii="Times New Roman" w:eastAsia="Times New Roman" w:hAnsi="Times New Roman" w:cs="Times New Roman"/>
          <w:b/>
        </w:rPr>
        <w:sectPr w:rsidR="00F92D8C" w:rsidRPr="008B135F">
          <w:headerReference w:type="default" r:id="rId12"/>
          <w:footerReference w:type="default" r:id="rId13"/>
          <w:pgSz w:w="12240" w:h="15840"/>
          <w:pgMar w:top="1440" w:right="1440" w:bottom="1440" w:left="1440" w:header="720" w:footer="720" w:gutter="0"/>
          <w:pgNumType w:start="1"/>
          <w:cols w:space="720"/>
        </w:sectPr>
      </w:pPr>
      <w:r w:rsidRPr="008B135F">
        <w:rPr>
          <w:b/>
        </w:rPr>
        <w:t xml:space="preserve">Figure S6. </w:t>
      </w:r>
      <w:r w:rsidRPr="008B135F">
        <w:t>Pairwise correlations between all continuous variables in the study. Scatter plots on the bottom half show the relationship between each pair of variables along with the best fit linear line. The diagonal shows a histogram of each variable, and the top hal</w:t>
      </w:r>
      <w:r w:rsidRPr="008B135F">
        <w:t xml:space="preserve">f shows Pearson correlation coefficients. </w:t>
      </w:r>
    </w:p>
    <w:p w:rsidR="00F92D8C" w:rsidRPr="008B135F" w:rsidRDefault="008B135F">
      <w:r w:rsidRPr="008B135F">
        <w:rPr>
          <w:b/>
        </w:rPr>
        <w:t>Table S1.</w:t>
      </w:r>
      <w:r w:rsidRPr="008B135F">
        <w:t xml:space="preserve"> Information about sequences of forward and reverse primers used for the quantification of pathogens and immune genes through quantitative PCR. </w:t>
      </w:r>
    </w:p>
    <w:tbl>
      <w:tblPr>
        <w:tblStyle w:val="a"/>
        <w:tblW w:w="13470" w:type="dxa"/>
        <w:tblBorders>
          <w:top w:val="nil"/>
          <w:left w:val="nil"/>
          <w:bottom w:val="nil"/>
          <w:right w:val="nil"/>
          <w:insideH w:val="nil"/>
          <w:insideV w:val="nil"/>
        </w:tblBorders>
        <w:tblLayout w:type="fixed"/>
        <w:tblLook w:val="0600" w:firstRow="0" w:lastRow="0" w:firstColumn="0" w:lastColumn="0" w:noHBand="1" w:noVBand="1"/>
      </w:tblPr>
      <w:tblGrid>
        <w:gridCol w:w="2355"/>
        <w:gridCol w:w="1995"/>
        <w:gridCol w:w="4800"/>
        <w:gridCol w:w="1845"/>
        <w:gridCol w:w="2475"/>
      </w:tblGrid>
      <w:tr w:rsidR="00F92D8C" w:rsidRPr="008B135F">
        <w:trPr>
          <w:trHeight w:val="720"/>
        </w:trPr>
        <w:tc>
          <w:tcPr>
            <w:tcW w:w="23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92D8C" w:rsidRPr="008B135F" w:rsidRDefault="008B135F">
            <w:pPr>
              <w:jc w:val="center"/>
              <w:rPr>
                <w:b/>
              </w:rPr>
            </w:pPr>
            <w:r w:rsidRPr="008B135F">
              <w:rPr>
                <w:b/>
              </w:rPr>
              <w:t>Target</w:t>
            </w:r>
          </w:p>
        </w:tc>
        <w:tc>
          <w:tcPr>
            <w:tcW w:w="19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92D8C" w:rsidRPr="008B135F" w:rsidRDefault="008B135F">
            <w:pPr>
              <w:jc w:val="center"/>
              <w:rPr>
                <w:b/>
              </w:rPr>
            </w:pPr>
            <w:r w:rsidRPr="008B135F">
              <w:rPr>
                <w:b/>
              </w:rPr>
              <w:t>Gene Category</w:t>
            </w:r>
          </w:p>
        </w:tc>
        <w:tc>
          <w:tcPr>
            <w:tcW w:w="48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92D8C" w:rsidRPr="008B135F" w:rsidRDefault="008B135F">
            <w:pPr>
              <w:jc w:val="center"/>
              <w:rPr>
                <w:b/>
              </w:rPr>
            </w:pPr>
            <w:r w:rsidRPr="008B135F">
              <w:rPr>
                <w:b/>
              </w:rPr>
              <w:t>Primer set (5’- 3’)</w:t>
            </w:r>
          </w:p>
        </w:tc>
        <w:tc>
          <w:tcPr>
            <w:tcW w:w="18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92D8C" w:rsidRPr="008B135F" w:rsidRDefault="008B135F">
            <w:pPr>
              <w:jc w:val="center"/>
              <w:rPr>
                <w:b/>
              </w:rPr>
            </w:pPr>
            <w:r w:rsidRPr="008B135F">
              <w:rPr>
                <w:b/>
              </w:rPr>
              <w:t>Reference</w:t>
            </w:r>
          </w:p>
        </w:tc>
        <w:tc>
          <w:tcPr>
            <w:tcW w:w="24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F92D8C" w:rsidRPr="008B135F" w:rsidRDefault="008B135F">
            <w:pPr>
              <w:jc w:val="center"/>
              <w:rPr>
                <w:b/>
              </w:rPr>
            </w:pPr>
            <w:proofErr w:type="spellStart"/>
            <w:r w:rsidRPr="008B135F">
              <w:rPr>
                <w:b/>
              </w:rPr>
              <w:t>GenBank</w:t>
            </w:r>
            <w:proofErr w:type="spellEnd"/>
            <w:r w:rsidRPr="008B135F">
              <w:rPr>
                <w:b/>
              </w:rPr>
              <w:t xml:space="preserve"> </w:t>
            </w:r>
            <w:r w:rsidRPr="008B135F">
              <w:rPr>
                <w:b/>
              </w:rPr>
              <w:t>Reference Sequence no.</w:t>
            </w:r>
          </w:p>
        </w:tc>
      </w:tr>
      <w:tr w:rsidR="00F92D8C" w:rsidRPr="008B135F">
        <w:trPr>
          <w:trHeight w:val="975"/>
        </w:trPr>
        <w:tc>
          <w:tcPr>
            <w:tcW w:w="23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Deformed Wing Virus</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Virus</w:t>
            </w:r>
          </w:p>
        </w:tc>
        <w:tc>
          <w:tcPr>
            <w:tcW w:w="4800"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Forward: GTTTGTATGAGGTTATACTTCAAGGAG</w:t>
            </w:r>
          </w:p>
          <w:p w:rsidR="00F92D8C" w:rsidRPr="008B135F" w:rsidRDefault="008B135F">
            <w:r w:rsidRPr="008B135F">
              <w:t>Reverse: GCCATGCAATCCTTCAGTACCAGC</w:t>
            </w:r>
          </w:p>
        </w:tc>
        <w:tc>
          <w:tcPr>
            <w:tcW w:w="184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proofErr w:type="spellStart"/>
            <w:r w:rsidRPr="008B135F">
              <w:t>Ryabov</w:t>
            </w:r>
            <w:proofErr w:type="spellEnd"/>
            <w:r w:rsidRPr="008B135F">
              <w:t xml:space="preserve"> et al. 2014</w:t>
            </w:r>
          </w:p>
        </w:tc>
        <w:tc>
          <w:tcPr>
            <w:tcW w:w="247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AJ489744</w:t>
            </w:r>
          </w:p>
        </w:tc>
      </w:tr>
      <w:tr w:rsidR="00F92D8C" w:rsidRPr="008B135F">
        <w:trPr>
          <w:trHeight w:val="720"/>
        </w:trPr>
        <w:tc>
          <w:tcPr>
            <w:tcW w:w="23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Israeli Acute Paralysis Virus</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Virus</w:t>
            </w:r>
          </w:p>
        </w:tc>
        <w:tc>
          <w:tcPr>
            <w:tcW w:w="4800"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Forward: GTTGGATGATAGGTCCACCCC</w:t>
            </w:r>
          </w:p>
          <w:p w:rsidR="00F92D8C" w:rsidRPr="008B135F" w:rsidRDefault="008B135F">
            <w:r w:rsidRPr="008B135F">
              <w:t>Reverse: TCAAGTGTCGGTTTTCGGTC</w:t>
            </w:r>
          </w:p>
        </w:tc>
        <w:tc>
          <w:tcPr>
            <w:tcW w:w="184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Jones et al. 2021</w:t>
            </w:r>
          </w:p>
        </w:tc>
        <w:tc>
          <w:tcPr>
            <w:tcW w:w="247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NC_009025.1 (Maori et al., 2007)</w:t>
            </w:r>
          </w:p>
        </w:tc>
      </w:tr>
      <w:tr w:rsidR="00F92D8C" w:rsidRPr="008B135F">
        <w:trPr>
          <w:trHeight w:val="885"/>
        </w:trPr>
        <w:tc>
          <w:tcPr>
            <w:tcW w:w="23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92D8C" w:rsidRPr="008B135F" w:rsidRDefault="008B135F">
            <w:proofErr w:type="spellStart"/>
            <w:r w:rsidRPr="008B135F">
              <w:t>Vitellogenin</w:t>
            </w:r>
            <w:proofErr w:type="spellEnd"/>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Nutritional status biomarker</w:t>
            </w:r>
          </w:p>
        </w:tc>
        <w:tc>
          <w:tcPr>
            <w:tcW w:w="4800"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Forward: GCA GAA TAC ATG GAC GGT GT</w:t>
            </w:r>
          </w:p>
          <w:p w:rsidR="00F92D8C" w:rsidRPr="008B135F" w:rsidRDefault="008B135F">
            <w:r w:rsidRPr="008B135F">
              <w:t>Reverse: GAA CAG TCT TCG GAA GCT TG</w:t>
            </w:r>
          </w:p>
        </w:tc>
        <w:tc>
          <w:tcPr>
            <w:tcW w:w="184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Lourenco et al. 2012</w:t>
            </w:r>
          </w:p>
        </w:tc>
        <w:tc>
          <w:tcPr>
            <w:tcW w:w="247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 xml:space="preserve"> </w:t>
            </w:r>
          </w:p>
        </w:tc>
      </w:tr>
      <w:tr w:rsidR="00F92D8C" w:rsidRPr="008B135F">
        <w:trPr>
          <w:trHeight w:val="885"/>
        </w:trPr>
        <w:tc>
          <w:tcPr>
            <w:tcW w:w="23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92D8C" w:rsidRPr="008B135F" w:rsidRDefault="008B135F">
            <w:proofErr w:type="spellStart"/>
            <w:r w:rsidRPr="008B135F">
              <w:t>Hymenoptaecin</w:t>
            </w:r>
            <w:proofErr w:type="spellEnd"/>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Immune Gene (AMP)</w:t>
            </w:r>
          </w:p>
        </w:tc>
        <w:tc>
          <w:tcPr>
            <w:tcW w:w="4800"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Forward: ACAATGGATTATATCCCGACTCGT</w:t>
            </w:r>
          </w:p>
          <w:p w:rsidR="00F92D8C" w:rsidRPr="008B135F" w:rsidRDefault="008B135F">
            <w:r w:rsidRPr="008B135F">
              <w:t>Reverse: CAATGTCCAAGGATGGACGAC</w:t>
            </w:r>
          </w:p>
        </w:tc>
        <w:tc>
          <w:tcPr>
            <w:tcW w:w="184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proofErr w:type="spellStart"/>
            <w:r w:rsidRPr="008B135F">
              <w:t>Vannette</w:t>
            </w:r>
            <w:proofErr w:type="spellEnd"/>
            <w:r w:rsidRPr="008B135F">
              <w:t xml:space="preserve"> et al. 2015</w:t>
            </w:r>
          </w:p>
        </w:tc>
        <w:tc>
          <w:tcPr>
            <w:tcW w:w="247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FJ546166</w:t>
            </w:r>
          </w:p>
        </w:tc>
      </w:tr>
      <w:tr w:rsidR="00F92D8C" w:rsidRPr="008B135F">
        <w:trPr>
          <w:trHeight w:val="780"/>
        </w:trPr>
        <w:tc>
          <w:tcPr>
            <w:tcW w:w="23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Defensin-1</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Immune Gene (AMP)</w:t>
            </w:r>
          </w:p>
        </w:tc>
        <w:tc>
          <w:tcPr>
            <w:tcW w:w="4800"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Forward: GGCTGCACCTGTTGAGGAT</w:t>
            </w:r>
          </w:p>
          <w:p w:rsidR="00F92D8C" w:rsidRPr="008B135F" w:rsidRDefault="008B135F">
            <w:r w:rsidRPr="008B135F">
              <w:t>Reverse: TGTCCTTTGAATGAGAGAAGGTCA</w:t>
            </w:r>
          </w:p>
        </w:tc>
        <w:tc>
          <w:tcPr>
            <w:tcW w:w="184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proofErr w:type="spellStart"/>
            <w:r w:rsidRPr="008B135F">
              <w:t>Vannette</w:t>
            </w:r>
            <w:proofErr w:type="spellEnd"/>
            <w:r w:rsidRPr="008B135F">
              <w:t xml:space="preserve"> et al. 2015</w:t>
            </w:r>
          </w:p>
        </w:tc>
        <w:tc>
          <w:tcPr>
            <w:tcW w:w="247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 xml:space="preserve"> </w:t>
            </w:r>
          </w:p>
        </w:tc>
      </w:tr>
      <w:tr w:rsidR="00F92D8C" w:rsidRPr="008B135F">
        <w:trPr>
          <w:trHeight w:val="795"/>
        </w:trPr>
        <w:tc>
          <w:tcPr>
            <w:tcW w:w="23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Naked cuticle gene</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Immune Gene (</w:t>
            </w:r>
            <w:proofErr w:type="spellStart"/>
            <w:r w:rsidRPr="008B135F">
              <w:t>Wnt</w:t>
            </w:r>
            <w:proofErr w:type="spellEnd"/>
            <w:r w:rsidRPr="008B135F">
              <w:t>)</w:t>
            </w:r>
          </w:p>
        </w:tc>
        <w:tc>
          <w:tcPr>
            <w:tcW w:w="4800"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Forward:  AGGATGACGGTGAAAATGCG</w:t>
            </w:r>
          </w:p>
          <w:p w:rsidR="00F92D8C" w:rsidRPr="008B135F" w:rsidRDefault="008B135F">
            <w:r w:rsidRPr="008B135F">
              <w:t>Reverse: ATTAGTCGTGAGGAGAGGCG</w:t>
            </w:r>
          </w:p>
        </w:tc>
        <w:tc>
          <w:tcPr>
            <w:tcW w:w="184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Li et al. 2016</w:t>
            </w:r>
          </w:p>
        </w:tc>
        <w:tc>
          <w:tcPr>
            <w:tcW w:w="247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NM_001011616</w:t>
            </w:r>
          </w:p>
        </w:tc>
      </w:tr>
      <w:tr w:rsidR="00F92D8C" w:rsidRPr="008B135F">
        <w:trPr>
          <w:trHeight w:val="720"/>
        </w:trPr>
        <w:tc>
          <w:tcPr>
            <w:tcW w:w="23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Ef1-alpha</w:t>
            </w:r>
          </w:p>
        </w:tc>
        <w:tc>
          <w:tcPr>
            <w:tcW w:w="199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Endogenous reference</w:t>
            </w:r>
          </w:p>
        </w:tc>
        <w:tc>
          <w:tcPr>
            <w:tcW w:w="4800"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Forward: GGAGATGCTGCCATCGTTAT</w:t>
            </w:r>
          </w:p>
          <w:p w:rsidR="00F92D8C" w:rsidRPr="008B135F" w:rsidRDefault="008B135F">
            <w:r w:rsidRPr="008B135F">
              <w:t>Reverse: CAGCAGCGTCCTTGAAAGTT</w:t>
            </w:r>
          </w:p>
        </w:tc>
        <w:tc>
          <w:tcPr>
            <w:tcW w:w="184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Lourenco et al. 2008</w:t>
            </w:r>
          </w:p>
        </w:tc>
        <w:tc>
          <w:tcPr>
            <w:tcW w:w="2475" w:type="dxa"/>
            <w:tcBorders>
              <w:top w:val="nil"/>
              <w:left w:val="nil"/>
              <w:bottom w:val="single" w:sz="8" w:space="0" w:color="000000"/>
              <w:right w:val="single" w:sz="8" w:space="0" w:color="000000"/>
            </w:tcBorders>
            <w:tcMar>
              <w:top w:w="100" w:type="dxa"/>
              <w:left w:w="100" w:type="dxa"/>
              <w:bottom w:w="100" w:type="dxa"/>
              <w:right w:w="100" w:type="dxa"/>
            </w:tcMar>
          </w:tcPr>
          <w:p w:rsidR="00F92D8C" w:rsidRPr="008B135F" w:rsidRDefault="008B135F">
            <w:r w:rsidRPr="008B135F">
              <w:t xml:space="preserve"> </w:t>
            </w:r>
          </w:p>
        </w:tc>
      </w:tr>
    </w:tbl>
    <w:p w:rsidR="00F92D8C" w:rsidRPr="008B135F" w:rsidRDefault="008B135F">
      <w:pPr>
        <w:rPr>
          <w:b/>
        </w:rPr>
        <w:sectPr w:rsidR="00F92D8C" w:rsidRPr="008B135F">
          <w:pgSz w:w="15840" w:h="12240" w:orient="landscape"/>
          <w:pgMar w:top="1440" w:right="1440" w:bottom="1440" w:left="1440" w:header="720" w:footer="720" w:gutter="0"/>
          <w:cols w:space="720"/>
        </w:sectPr>
      </w:pPr>
      <w:r w:rsidRPr="008B135F">
        <w:br w:type="page"/>
      </w:r>
    </w:p>
    <w:p w:rsidR="00F92D8C" w:rsidRPr="008B135F" w:rsidRDefault="00F92D8C">
      <w:pPr>
        <w:rPr>
          <w:b/>
        </w:rPr>
      </w:pPr>
    </w:p>
    <w:p w:rsidR="00F92D8C" w:rsidRPr="008B135F" w:rsidRDefault="008B135F">
      <w:r w:rsidRPr="008B135F">
        <w:rPr>
          <w:b/>
        </w:rPr>
        <w:t>Table S2.</w:t>
      </w:r>
      <w:r w:rsidRPr="008B135F">
        <w:t xml:space="preserve"> Summary statistics (mean and standard deviation) for all variables in the study across the three management systems. Variables were averaged across the three years using apiary as replicates (N=72). </w:t>
      </w:r>
      <w:proofErr w:type="spellStart"/>
      <w:r w:rsidRPr="008B135F">
        <w:t>Posthoc</w:t>
      </w:r>
      <w:proofErr w:type="spellEnd"/>
      <w:r w:rsidRPr="008B135F">
        <w:t xml:space="preserve"> results are from the same models that are summar</w:t>
      </w:r>
      <w:r w:rsidRPr="008B135F">
        <w:t xml:space="preserve">ized in Table 2 and are </w:t>
      </w:r>
      <w:proofErr w:type="spellStart"/>
      <w:r w:rsidRPr="008B135F">
        <w:t>Tukey</w:t>
      </w:r>
      <w:proofErr w:type="spellEnd"/>
      <w:r w:rsidRPr="008B135F">
        <w:t xml:space="preserve"> HSD tests of mixed effects models testing the effects of management system on each response variable. The three columns show the </w:t>
      </w:r>
      <w:proofErr w:type="spellStart"/>
      <w:r w:rsidRPr="008B135F">
        <w:t>posthoc</w:t>
      </w:r>
      <w:proofErr w:type="spellEnd"/>
      <w:r w:rsidRPr="008B135F">
        <w:t xml:space="preserve"> test of the contrasts between each management system, for example, “CF-CON” is testing di</w:t>
      </w:r>
      <w:r w:rsidRPr="008B135F">
        <w:t xml:space="preserve">fferences in means between chemical-free and conventional systems. P values &lt;0.05 are shown in bold. </w:t>
      </w:r>
    </w:p>
    <w:p w:rsidR="00F92D8C" w:rsidRPr="008B135F" w:rsidRDefault="00F92D8C">
      <w:pPr>
        <w:rPr>
          <w:b/>
        </w:rPr>
      </w:pPr>
    </w:p>
    <w:tbl>
      <w:tblPr>
        <w:tblStyle w:val="a0"/>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1"/>
        <w:gridCol w:w="1193"/>
        <w:gridCol w:w="1193"/>
        <w:gridCol w:w="1192"/>
        <w:gridCol w:w="1192"/>
        <w:gridCol w:w="1192"/>
        <w:gridCol w:w="1192"/>
        <w:gridCol w:w="1295"/>
        <w:gridCol w:w="1295"/>
        <w:gridCol w:w="1295"/>
      </w:tblGrid>
      <w:tr w:rsidR="00F92D8C" w:rsidRPr="008B135F">
        <w:trPr>
          <w:trHeight w:val="420"/>
        </w:trPr>
        <w:tc>
          <w:tcPr>
            <w:tcW w:w="1920" w:type="dxa"/>
            <w:shd w:val="clear" w:color="auto" w:fill="auto"/>
            <w:tcMar>
              <w:top w:w="100" w:type="dxa"/>
              <w:left w:w="100" w:type="dxa"/>
              <w:bottom w:w="100" w:type="dxa"/>
              <w:right w:w="100" w:type="dxa"/>
            </w:tcMar>
          </w:tcPr>
          <w:p w:rsidR="00F92D8C" w:rsidRPr="008B135F" w:rsidRDefault="00F92D8C">
            <w:pPr>
              <w:widowControl w:val="0"/>
              <w:pBdr>
                <w:top w:val="nil"/>
                <w:left w:val="nil"/>
                <w:bottom w:val="nil"/>
                <w:right w:val="nil"/>
                <w:between w:val="nil"/>
              </w:pBdr>
              <w:spacing w:line="240" w:lineRule="auto"/>
              <w:rPr>
                <w:b/>
              </w:rPr>
            </w:pPr>
          </w:p>
        </w:tc>
        <w:tc>
          <w:tcPr>
            <w:tcW w:w="7152" w:type="dxa"/>
            <w:gridSpan w:val="6"/>
            <w:shd w:val="clear" w:color="auto" w:fill="auto"/>
            <w:tcMar>
              <w:top w:w="100" w:type="dxa"/>
              <w:left w:w="100" w:type="dxa"/>
              <w:bottom w:w="100" w:type="dxa"/>
              <w:right w:w="100" w:type="dxa"/>
            </w:tcMar>
          </w:tcPr>
          <w:p w:rsidR="00F92D8C" w:rsidRPr="008B135F" w:rsidRDefault="008B135F">
            <w:pPr>
              <w:widowControl w:val="0"/>
              <w:pBdr>
                <w:top w:val="nil"/>
                <w:left w:val="nil"/>
                <w:bottom w:val="nil"/>
                <w:right w:val="nil"/>
                <w:between w:val="nil"/>
              </w:pBdr>
              <w:spacing w:line="240" w:lineRule="auto"/>
              <w:jc w:val="center"/>
              <w:rPr>
                <w:b/>
              </w:rPr>
            </w:pPr>
            <w:r w:rsidRPr="008B135F">
              <w:rPr>
                <w:b/>
              </w:rPr>
              <w:t>Summary Statistics</w:t>
            </w:r>
          </w:p>
        </w:tc>
        <w:tc>
          <w:tcPr>
            <w:tcW w:w="3885" w:type="dxa"/>
            <w:gridSpan w:val="3"/>
            <w:shd w:val="clear" w:color="auto" w:fill="auto"/>
            <w:tcMar>
              <w:top w:w="100" w:type="dxa"/>
              <w:left w:w="100" w:type="dxa"/>
              <w:bottom w:w="100" w:type="dxa"/>
              <w:right w:w="100" w:type="dxa"/>
            </w:tcMar>
          </w:tcPr>
          <w:p w:rsidR="00F92D8C" w:rsidRPr="008B135F" w:rsidRDefault="008B135F">
            <w:pPr>
              <w:widowControl w:val="0"/>
              <w:pBdr>
                <w:top w:val="nil"/>
                <w:left w:val="nil"/>
                <w:bottom w:val="nil"/>
                <w:right w:val="nil"/>
                <w:between w:val="nil"/>
              </w:pBdr>
              <w:spacing w:line="240" w:lineRule="auto"/>
              <w:jc w:val="center"/>
              <w:rPr>
                <w:b/>
              </w:rPr>
            </w:pPr>
            <w:proofErr w:type="spellStart"/>
            <w:r w:rsidRPr="008B135F">
              <w:rPr>
                <w:b/>
              </w:rPr>
              <w:t>Posthoc</w:t>
            </w:r>
            <w:proofErr w:type="spellEnd"/>
            <w:r w:rsidRPr="008B135F">
              <w:rPr>
                <w:b/>
              </w:rPr>
              <w:t xml:space="preserve"> Tests</w:t>
            </w:r>
          </w:p>
        </w:tc>
      </w:tr>
      <w:tr w:rsidR="00F92D8C" w:rsidRPr="008B135F">
        <w:trPr>
          <w:trHeight w:val="420"/>
        </w:trPr>
        <w:tc>
          <w:tcPr>
            <w:tcW w:w="1920" w:type="dxa"/>
            <w:shd w:val="clear" w:color="auto" w:fill="auto"/>
            <w:tcMar>
              <w:top w:w="100" w:type="dxa"/>
              <w:left w:w="100" w:type="dxa"/>
              <w:bottom w:w="100" w:type="dxa"/>
              <w:right w:w="100" w:type="dxa"/>
            </w:tcMar>
          </w:tcPr>
          <w:p w:rsidR="00F92D8C" w:rsidRPr="008B135F" w:rsidRDefault="00F92D8C">
            <w:pPr>
              <w:widowControl w:val="0"/>
              <w:pBdr>
                <w:top w:val="nil"/>
                <w:left w:val="nil"/>
                <w:bottom w:val="nil"/>
                <w:right w:val="nil"/>
                <w:between w:val="nil"/>
              </w:pBdr>
              <w:spacing w:line="240" w:lineRule="auto"/>
              <w:rPr>
                <w:b/>
              </w:rPr>
            </w:pPr>
          </w:p>
        </w:tc>
        <w:tc>
          <w:tcPr>
            <w:tcW w:w="2384" w:type="dxa"/>
            <w:gridSpan w:val="2"/>
            <w:shd w:val="clear" w:color="auto" w:fill="auto"/>
            <w:tcMar>
              <w:top w:w="100" w:type="dxa"/>
              <w:left w:w="100" w:type="dxa"/>
              <w:bottom w:w="100" w:type="dxa"/>
              <w:right w:w="100" w:type="dxa"/>
            </w:tcMar>
          </w:tcPr>
          <w:p w:rsidR="00F92D8C" w:rsidRPr="008B135F" w:rsidRDefault="008B135F">
            <w:pPr>
              <w:widowControl w:val="0"/>
              <w:pBdr>
                <w:top w:val="nil"/>
                <w:left w:val="nil"/>
                <w:bottom w:val="nil"/>
                <w:right w:val="nil"/>
                <w:between w:val="nil"/>
              </w:pBdr>
              <w:spacing w:line="240" w:lineRule="auto"/>
              <w:jc w:val="center"/>
              <w:rPr>
                <w:b/>
              </w:rPr>
            </w:pPr>
            <w:r w:rsidRPr="008B135F">
              <w:rPr>
                <w:b/>
              </w:rPr>
              <w:t>CF</w:t>
            </w:r>
          </w:p>
        </w:tc>
        <w:tc>
          <w:tcPr>
            <w:tcW w:w="2384" w:type="dxa"/>
            <w:gridSpan w:val="2"/>
            <w:shd w:val="clear" w:color="auto" w:fill="auto"/>
            <w:tcMar>
              <w:top w:w="100" w:type="dxa"/>
              <w:left w:w="100" w:type="dxa"/>
              <w:bottom w:w="100" w:type="dxa"/>
              <w:right w:w="100" w:type="dxa"/>
            </w:tcMar>
          </w:tcPr>
          <w:p w:rsidR="00F92D8C" w:rsidRPr="008B135F" w:rsidRDefault="008B135F">
            <w:pPr>
              <w:widowControl w:val="0"/>
              <w:pBdr>
                <w:top w:val="nil"/>
                <w:left w:val="nil"/>
                <w:bottom w:val="nil"/>
                <w:right w:val="nil"/>
                <w:between w:val="nil"/>
              </w:pBdr>
              <w:spacing w:line="240" w:lineRule="auto"/>
              <w:jc w:val="center"/>
              <w:rPr>
                <w:b/>
              </w:rPr>
            </w:pPr>
            <w:r w:rsidRPr="008B135F">
              <w:rPr>
                <w:b/>
              </w:rPr>
              <w:t>CON</w:t>
            </w:r>
          </w:p>
        </w:tc>
        <w:tc>
          <w:tcPr>
            <w:tcW w:w="2384" w:type="dxa"/>
            <w:gridSpan w:val="2"/>
            <w:shd w:val="clear" w:color="auto" w:fill="auto"/>
            <w:tcMar>
              <w:top w:w="100" w:type="dxa"/>
              <w:left w:w="100" w:type="dxa"/>
              <w:bottom w:w="100" w:type="dxa"/>
              <w:right w:w="100" w:type="dxa"/>
            </w:tcMar>
          </w:tcPr>
          <w:p w:rsidR="00F92D8C" w:rsidRPr="008B135F" w:rsidRDefault="008B135F">
            <w:pPr>
              <w:widowControl w:val="0"/>
              <w:pBdr>
                <w:top w:val="nil"/>
                <w:left w:val="nil"/>
                <w:bottom w:val="nil"/>
                <w:right w:val="nil"/>
                <w:between w:val="nil"/>
              </w:pBdr>
              <w:spacing w:line="240" w:lineRule="auto"/>
              <w:jc w:val="center"/>
              <w:rPr>
                <w:b/>
              </w:rPr>
            </w:pPr>
            <w:r w:rsidRPr="008B135F">
              <w:rPr>
                <w:b/>
              </w:rPr>
              <w:t>ORG</w:t>
            </w:r>
          </w:p>
        </w:tc>
        <w:tc>
          <w:tcPr>
            <w:tcW w:w="1295" w:type="dxa"/>
            <w:shd w:val="clear" w:color="auto" w:fill="auto"/>
            <w:tcMar>
              <w:top w:w="100" w:type="dxa"/>
              <w:left w:w="100" w:type="dxa"/>
              <w:bottom w:w="100" w:type="dxa"/>
              <w:right w:w="100" w:type="dxa"/>
            </w:tcMar>
          </w:tcPr>
          <w:p w:rsidR="00F92D8C" w:rsidRPr="008B135F" w:rsidRDefault="008B135F">
            <w:pPr>
              <w:widowControl w:val="0"/>
              <w:pBdr>
                <w:top w:val="nil"/>
                <w:left w:val="nil"/>
                <w:bottom w:val="nil"/>
                <w:right w:val="nil"/>
                <w:between w:val="nil"/>
              </w:pBdr>
              <w:spacing w:line="240" w:lineRule="auto"/>
              <w:jc w:val="center"/>
              <w:rPr>
                <w:b/>
              </w:rPr>
            </w:pPr>
            <w:r w:rsidRPr="008B135F">
              <w:rPr>
                <w:b/>
              </w:rPr>
              <w:t>CF-CON</w:t>
            </w:r>
          </w:p>
        </w:tc>
        <w:tc>
          <w:tcPr>
            <w:tcW w:w="1295" w:type="dxa"/>
            <w:shd w:val="clear" w:color="auto" w:fill="auto"/>
            <w:tcMar>
              <w:top w:w="100" w:type="dxa"/>
              <w:left w:w="100" w:type="dxa"/>
              <w:bottom w:w="100" w:type="dxa"/>
              <w:right w:w="100" w:type="dxa"/>
            </w:tcMar>
          </w:tcPr>
          <w:p w:rsidR="00F92D8C" w:rsidRPr="008B135F" w:rsidRDefault="008B135F">
            <w:pPr>
              <w:widowControl w:val="0"/>
              <w:pBdr>
                <w:top w:val="nil"/>
                <w:left w:val="nil"/>
                <w:bottom w:val="nil"/>
                <w:right w:val="nil"/>
                <w:between w:val="nil"/>
              </w:pBdr>
              <w:spacing w:line="240" w:lineRule="auto"/>
              <w:jc w:val="center"/>
              <w:rPr>
                <w:b/>
              </w:rPr>
            </w:pPr>
            <w:r w:rsidRPr="008B135F">
              <w:rPr>
                <w:b/>
              </w:rPr>
              <w:t>CF-ORG</w:t>
            </w:r>
          </w:p>
        </w:tc>
        <w:tc>
          <w:tcPr>
            <w:tcW w:w="1295" w:type="dxa"/>
            <w:shd w:val="clear" w:color="auto" w:fill="auto"/>
            <w:tcMar>
              <w:top w:w="100" w:type="dxa"/>
              <w:left w:w="100" w:type="dxa"/>
              <w:bottom w:w="100" w:type="dxa"/>
              <w:right w:w="100" w:type="dxa"/>
            </w:tcMar>
          </w:tcPr>
          <w:p w:rsidR="00F92D8C" w:rsidRPr="008B135F" w:rsidRDefault="008B135F">
            <w:pPr>
              <w:widowControl w:val="0"/>
              <w:pBdr>
                <w:top w:val="nil"/>
                <w:left w:val="nil"/>
                <w:bottom w:val="nil"/>
                <w:right w:val="nil"/>
                <w:between w:val="nil"/>
              </w:pBdr>
              <w:spacing w:line="240" w:lineRule="auto"/>
              <w:jc w:val="center"/>
              <w:rPr>
                <w:b/>
              </w:rPr>
            </w:pPr>
            <w:r w:rsidRPr="008B135F">
              <w:rPr>
                <w:b/>
              </w:rPr>
              <w:t>CON-ORG</w:t>
            </w:r>
          </w:p>
        </w:tc>
      </w:tr>
      <w:tr w:rsidR="00F92D8C" w:rsidRPr="008B135F">
        <w:tc>
          <w:tcPr>
            <w:tcW w:w="1920"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Variable</w:t>
            </w:r>
          </w:p>
        </w:tc>
        <w:tc>
          <w:tcPr>
            <w:tcW w:w="1192" w:type="dxa"/>
            <w:tcBorders>
              <w:top w:val="single" w:sz="6" w:space="0" w:color="000000"/>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i/>
              </w:rPr>
              <w:t>Mean</w:t>
            </w:r>
          </w:p>
        </w:tc>
        <w:tc>
          <w:tcPr>
            <w:tcW w:w="1192"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i/>
              </w:rPr>
              <w:t>SD</w:t>
            </w:r>
          </w:p>
        </w:tc>
        <w:tc>
          <w:tcPr>
            <w:tcW w:w="1192" w:type="dxa"/>
            <w:tcBorders>
              <w:top w:val="single" w:sz="6" w:space="0" w:color="000000"/>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i/>
              </w:rPr>
              <w:t>Mean</w:t>
            </w:r>
          </w:p>
        </w:tc>
        <w:tc>
          <w:tcPr>
            <w:tcW w:w="1192"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i/>
              </w:rPr>
              <w:t>SD</w:t>
            </w:r>
          </w:p>
        </w:tc>
        <w:tc>
          <w:tcPr>
            <w:tcW w:w="1192" w:type="dxa"/>
            <w:tcBorders>
              <w:top w:val="single" w:sz="6" w:space="0" w:color="000000"/>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i/>
              </w:rPr>
              <w:t>Mean</w:t>
            </w:r>
          </w:p>
        </w:tc>
        <w:tc>
          <w:tcPr>
            <w:tcW w:w="1192"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i/>
              </w:rPr>
              <w:t>SD</w:t>
            </w:r>
          </w:p>
        </w:tc>
        <w:tc>
          <w:tcPr>
            <w:tcW w:w="129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i/>
              </w:rPr>
              <w:t>P</w:t>
            </w:r>
          </w:p>
        </w:tc>
        <w:tc>
          <w:tcPr>
            <w:tcW w:w="129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i/>
              </w:rPr>
              <w:t>P</w:t>
            </w:r>
          </w:p>
        </w:tc>
        <w:tc>
          <w:tcPr>
            <w:tcW w:w="1295" w:type="dxa"/>
            <w:tcBorders>
              <w:top w:val="single" w:sz="6" w:space="0" w:color="000000"/>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i/>
              </w:rPr>
              <w:t>P</w:t>
            </w:r>
          </w:p>
        </w:tc>
      </w:tr>
      <w:tr w:rsidR="00F92D8C" w:rsidRPr="008B135F">
        <w:tc>
          <w:tcPr>
            <w:tcW w:w="1920" w:type="dxa"/>
            <w:tcBorders>
              <w:top w:val="single" w:sz="6" w:space="0" w:color="000000"/>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pPr>
            <w:r w:rsidRPr="008B135F">
              <w:t>Survival</w:t>
            </w:r>
          </w:p>
        </w:tc>
        <w:tc>
          <w:tcPr>
            <w:tcW w:w="1192" w:type="dxa"/>
            <w:tcBorders>
              <w:top w:val="single" w:sz="6" w:space="0" w:color="000000"/>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0.29</w:t>
            </w:r>
          </w:p>
        </w:tc>
        <w:tc>
          <w:tcPr>
            <w:tcW w:w="1192" w:type="dxa"/>
            <w:tcBorders>
              <w:top w:val="single" w:sz="6" w:space="0" w:color="000000"/>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0.21</w:t>
            </w:r>
          </w:p>
        </w:tc>
        <w:tc>
          <w:tcPr>
            <w:tcW w:w="1192" w:type="dxa"/>
            <w:tcBorders>
              <w:top w:val="single" w:sz="6" w:space="0" w:color="000000"/>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0.82</w:t>
            </w:r>
          </w:p>
        </w:tc>
        <w:tc>
          <w:tcPr>
            <w:tcW w:w="1192" w:type="dxa"/>
            <w:tcBorders>
              <w:top w:val="single" w:sz="6" w:space="0" w:color="000000"/>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0.23</w:t>
            </w:r>
          </w:p>
        </w:tc>
        <w:tc>
          <w:tcPr>
            <w:tcW w:w="1192" w:type="dxa"/>
            <w:tcBorders>
              <w:top w:val="single" w:sz="6" w:space="0" w:color="000000"/>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0.83</w:t>
            </w:r>
          </w:p>
        </w:tc>
        <w:tc>
          <w:tcPr>
            <w:tcW w:w="1192" w:type="dxa"/>
            <w:tcBorders>
              <w:top w:val="single" w:sz="6" w:space="0" w:color="000000"/>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0.23</w:t>
            </w:r>
          </w:p>
        </w:tc>
        <w:tc>
          <w:tcPr>
            <w:tcW w:w="1295" w:type="dxa"/>
            <w:tcBorders>
              <w:top w:val="single" w:sz="6" w:space="0" w:color="000000"/>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&lt;</w:t>
            </w:r>
            <w:r w:rsidRPr="008B135F">
              <w:rPr>
                <w:b/>
              </w:rPr>
              <w:t>0.001</w:t>
            </w:r>
          </w:p>
        </w:tc>
        <w:tc>
          <w:tcPr>
            <w:tcW w:w="1295" w:type="dxa"/>
            <w:tcBorders>
              <w:top w:val="single" w:sz="6" w:space="0" w:color="000000"/>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&lt;0.001</w:t>
            </w:r>
          </w:p>
        </w:tc>
        <w:tc>
          <w:tcPr>
            <w:tcW w:w="1295" w:type="dxa"/>
            <w:tcBorders>
              <w:top w:val="single" w:sz="6" w:space="0" w:color="000000"/>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0.997</w:t>
            </w:r>
          </w:p>
        </w:tc>
      </w:tr>
      <w:tr w:rsidR="00F92D8C" w:rsidRPr="008B135F">
        <w:tc>
          <w:tcPr>
            <w:tcW w:w="192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pPr>
            <w:r w:rsidRPr="008B135F">
              <w:t>Honey production</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22.77</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29.08</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45.98</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42.04</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49.81</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38.83</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0.028</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0.009</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0.901</w:t>
            </w:r>
          </w:p>
        </w:tc>
      </w:tr>
      <w:tr w:rsidR="00F92D8C" w:rsidRPr="008B135F">
        <w:tc>
          <w:tcPr>
            <w:tcW w:w="192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pPr>
            <w:proofErr w:type="spellStart"/>
            <w:r w:rsidRPr="008B135F">
              <w:rPr>
                <w:i/>
              </w:rPr>
              <w:t>Varroa</w:t>
            </w:r>
            <w:proofErr w:type="spellEnd"/>
            <w:r w:rsidRPr="008B135F">
              <w:rPr>
                <w:i/>
              </w:rPr>
              <w:t xml:space="preserve"> </w:t>
            </w:r>
            <w:r w:rsidRPr="008B135F">
              <w:t>mites</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4.52</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2.31</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1</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0.57</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1.28</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0.83</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&lt;0.001</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&lt;0.001</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0.748</w:t>
            </w:r>
          </w:p>
        </w:tc>
      </w:tr>
      <w:tr w:rsidR="00F92D8C" w:rsidRPr="008B135F">
        <w:tc>
          <w:tcPr>
            <w:tcW w:w="192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pPr>
            <w:r w:rsidRPr="008B135F">
              <w:rPr>
                <w:i/>
              </w:rPr>
              <w:t xml:space="preserve">V. </w:t>
            </w:r>
            <w:proofErr w:type="spellStart"/>
            <w:r w:rsidRPr="008B135F">
              <w:rPr>
                <w:i/>
              </w:rPr>
              <w:t>ceranae</w:t>
            </w:r>
            <w:proofErr w:type="spellEnd"/>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8.6</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3.11</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7.33</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2.45</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6.86</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1.94</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0.119</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0.021</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0.739</w:t>
            </w:r>
          </w:p>
        </w:tc>
      </w:tr>
      <w:tr w:rsidR="00F92D8C" w:rsidRPr="008B135F">
        <w:tc>
          <w:tcPr>
            <w:tcW w:w="192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pPr>
            <w:r w:rsidRPr="008B135F">
              <w:t>DWV</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12.51</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2.65</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10.03</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2.74</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9.01</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2.84</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0.001</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&lt;</w:t>
            </w:r>
            <w:r w:rsidRPr="008B135F">
              <w:rPr>
                <w:b/>
              </w:rPr>
              <w:t>0.001</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0.267</w:t>
            </w:r>
          </w:p>
        </w:tc>
      </w:tr>
      <w:tr w:rsidR="00F92D8C" w:rsidRPr="008B135F">
        <w:tc>
          <w:tcPr>
            <w:tcW w:w="192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pPr>
            <w:proofErr w:type="spellStart"/>
            <w:r w:rsidRPr="008B135F">
              <w:t>Hym</w:t>
            </w:r>
            <w:proofErr w:type="spellEnd"/>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5.09</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1.01</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3.81</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1.03</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3.76</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0.92</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&lt;0.001</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&lt;0.001</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0.973</w:t>
            </w:r>
          </w:p>
        </w:tc>
      </w:tr>
      <w:tr w:rsidR="00F92D8C" w:rsidRPr="008B135F">
        <w:tc>
          <w:tcPr>
            <w:tcW w:w="192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pPr>
            <w:r w:rsidRPr="008B135F">
              <w:t>Def1</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5.11</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0.9</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3.9</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0.94</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3.66</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0.7</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&lt;0.001</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&lt;0.001</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0.503</w:t>
            </w:r>
          </w:p>
        </w:tc>
      </w:tr>
      <w:tr w:rsidR="00F92D8C" w:rsidRPr="008B135F">
        <w:tc>
          <w:tcPr>
            <w:tcW w:w="192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pPr>
            <w:r w:rsidRPr="008B135F">
              <w:t>Vg</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4.41</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0.55</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4.32</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0.64</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4.1</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0.61</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0.803</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0.112</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0.345</w:t>
            </w:r>
          </w:p>
        </w:tc>
      </w:tr>
      <w:tr w:rsidR="00F92D8C" w:rsidRPr="008B135F">
        <w:tc>
          <w:tcPr>
            <w:tcW w:w="192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pPr>
            <w:proofErr w:type="spellStart"/>
            <w:r w:rsidRPr="008B135F">
              <w:t>Nkd</w:t>
            </w:r>
            <w:proofErr w:type="spellEnd"/>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4.93</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1.25</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3.93</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1.06</w:t>
            </w:r>
          </w:p>
        </w:tc>
        <w:tc>
          <w:tcPr>
            <w:tcW w:w="1192"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3.81</w:t>
            </w:r>
          </w:p>
        </w:tc>
        <w:tc>
          <w:tcPr>
            <w:tcW w:w="1192"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1.08</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0.004</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rPr>
                <w:b/>
              </w:rPr>
              <w:t>0.001</w:t>
            </w:r>
          </w:p>
        </w:tc>
        <w:tc>
          <w:tcPr>
            <w:tcW w:w="1295"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pPr>
            <w:r w:rsidRPr="008B135F">
              <w:t>0.908</w:t>
            </w:r>
          </w:p>
        </w:tc>
      </w:tr>
    </w:tbl>
    <w:p w:rsidR="00F92D8C" w:rsidRPr="008B135F" w:rsidRDefault="00F92D8C">
      <w:pPr>
        <w:rPr>
          <w:b/>
        </w:rPr>
      </w:pPr>
    </w:p>
    <w:p w:rsidR="00F92D8C" w:rsidRPr="008B135F" w:rsidRDefault="00F92D8C">
      <w:pPr>
        <w:rPr>
          <w:b/>
        </w:rPr>
        <w:sectPr w:rsidR="00F92D8C" w:rsidRPr="008B135F">
          <w:pgSz w:w="15840" w:h="12240" w:orient="landscape"/>
          <w:pgMar w:top="1440" w:right="1440" w:bottom="1440" w:left="1440" w:header="720" w:footer="720" w:gutter="0"/>
          <w:cols w:space="720"/>
        </w:sectPr>
      </w:pPr>
    </w:p>
    <w:p w:rsidR="00F92D8C" w:rsidRPr="008B135F" w:rsidRDefault="008B135F">
      <w:r w:rsidRPr="008B135F">
        <w:rPr>
          <w:b/>
        </w:rPr>
        <w:t>Table S3.</w:t>
      </w:r>
      <w:r w:rsidRPr="008B135F">
        <w:t xml:space="preserve"> </w:t>
      </w:r>
      <w:r w:rsidRPr="008B135F">
        <w:t>Results of mixed linear models showing effects of the management systems, year, and management system by year interaction on the different response variables. Farm was included as a random effect as well as year number to account for repeated measures (see</w:t>
      </w:r>
      <w:r w:rsidRPr="008B135F">
        <w:t xml:space="preserve"> methods section for model syntax). Denominator degrees of freedom (</w:t>
      </w:r>
      <w:proofErr w:type="spellStart"/>
      <w:r w:rsidRPr="008B135F">
        <w:t>ddf</w:t>
      </w:r>
      <w:proofErr w:type="spellEnd"/>
      <w:r w:rsidRPr="008B135F">
        <w:t xml:space="preserve">) were determined using </w:t>
      </w:r>
      <w:proofErr w:type="spellStart"/>
      <w:r w:rsidRPr="008B135F">
        <w:t>Kenward</w:t>
      </w:r>
      <w:proofErr w:type="spellEnd"/>
      <w:r w:rsidRPr="008B135F">
        <w:t xml:space="preserve">-Roger approximation.  P values &lt;0.05 are shown in bold. </w:t>
      </w:r>
    </w:p>
    <w:p w:rsidR="00F92D8C" w:rsidRPr="008B135F" w:rsidRDefault="00F92D8C">
      <w:pPr>
        <w:rPr>
          <w:b/>
        </w:rPr>
      </w:pPr>
    </w:p>
    <w:p w:rsidR="00F92D8C" w:rsidRPr="008B135F" w:rsidRDefault="00F92D8C">
      <w:pPr>
        <w:rPr>
          <w:b/>
        </w:rPr>
      </w:pPr>
    </w:p>
    <w:tbl>
      <w:tblPr>
        <w:tblStyle w:val="a1"/>
        <w:tblW w:w="13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31"/>
        <w:gridCol w:w="932"/>
        <w:gridCol w:w="932"/>
        <w:gridCol w:w="931"/>
        <w:gridCol w:w="931"/>
        <w:gridCol w:w="931"/>
        <w:gridCol w:w="931"/>
        <w:gridCol w:w="931"/>
        <w:gridCol w:w="931"/>
        <w:gridCol w:w="931"/>
        <w:gridCol w:w="931"/>
        <w:gridCol w:w="931"/>
        <w:gridCol w:w="931"/>
      </w:tblGrid>
      <w:tr w:rsidR="00F92D8C" w:rsidRPr="008B135F">
        <w:trPr>
          <w:trHeight w:val="420"/>
        </w:trPr>
        <w:tc>
          <w:tcPr>
            <w:tcW w:w="1830" w:type="dxa"/>
            <w:shd w:val="clear" w:color="auto" w:fill="auto"/>
            <w:tcMar>
              <w:top w:w="100" w:type="dxa"/>
              <w:left w:w="100" w:type="dxa"/>
              <w:bottom w:w="100" w:type="dxa"/>
              <w:right w:w="100" w:type="dxa"/>
            </w:tcMar>
          </w:tcPr>
          <w:p w:rsidR="00F92D8C" w:rsidRPr="008B135F" w:rsidRDefault="00F92D8C">
            <w:pPr>
              <w:widowControl w:val="0"/>
              <w:pBdr>
                <w:top w:val="nil"/>
                <w:left w:val="nil"/>
                <w:bottom w:val="nil"/>
                <w:right w:val="nil"/>
                <w:between w:val="nil"/>
              </w:pBdr>
              <w:spacing w:line="240" w:lineRule="auto"/>
              <w:rPr>
                <w:b/>
              </w:rPr>
            </w:pPr>
          </w:p>
        </w:tc>
        <w:tc>
          <w:tcPr>
            <w:tcW w:w="3724" w:type="dxa"/>
            <w:gridSpan w:val="4"/>
            <w:shd w:val="clear" w:color="auto" w:fill="auto"/>
            <w:tcMar>
              <w:top w:w="100" w:type="dxa"/>
              <w:left w:w="100" w:type="dxa"/>
              <w:bottom w:w="100" w:type="dxa"/>
              <w:right w:w="100" w:type="dxa"/>
            </w:tcMar>
          </w:tcPr>
          <w:p w:rsidR="00F92D8C" w:rsidRPr="008B135F" w:rsidRDefault="008B135F">
            <w:pPr>
              <w:widowControl w:val="0"/>
              <w:pBdr>
                <w:top w:val="nil"/>
                <w:left w:val="nil"/>
                <w:bottom w:val="nil"/>
                <w:right w:val="nil"/>
                <w:between w:val="nil"/>
              </w:pBdr>
              <w:spacing w:line="240" w:lineRule="auto"/>
              <w:jc w:val="center"/>
              <w:rPr>
                <w:b/>
              </w:rPr>
            </w:pPr>
            <w:r w:rsidRPr="008B135F">
              <w:rPr>
                <w:b/>
              </w:rPr>
              <w:t>Management</w:t>
            </w:r>
          </w:p>
        </w:tc>
        <w:tc>
          <w:tcPr>
            <w:tcW w:w="3724" w:type="dxa"/>
            <w:gridSpan w:val="4"/>
            <w:shd w:val="clear" w:color="auto" w:fill="auto"/>
            <w:tcMar>
              <w:top w:w="100" w:type="dxa"/>
              <w:left w:w="100" w:type="dxa"/>
              <w:bottom w:w="100" w:type="dxa"/>
              <w:right w:w="100" w:type="dxa"/>
            </w:tcMar>
          </w:tcPr>
          <w:p w:rsidR="00F92D8C" w:rsidRPr="008B135F" w:rsidRDefault="008B135F">
            <w:pPr>
              <w:widowControl w:val="0"/>
              <w:pBdr>
                <w:top w:val="nil"/>
                <w:left w:val="nil"/>
                <w:bottom w:val="nil"/>
                <w:right w:val="nil"/>
                <w:between w:val="nil"/>
              </w:pBdr>
              <w:spacing w:line="240" w:lineRule="auto"/>
              <w:jc w:val="center"/>
              <w:rPr>
                <w:b/>
              </w:rPr>
            </w:pPr>
            <w:r w:rsidRPr="008B135F">
              <w:rPr>
                <w:b/>
              </w:rPr>
              <w:t>Year</w:t>
            </w:r>
          </w:p>
        </w:tc>
        <w:tc>
          <w:tcPr>
            <w:tcW w:w="3724" w:type="dxa"/>
            <w:gridSpan w:val="4"/>
            <w:shd w:val="clear" w:color="auto" w:fill="auto"/>
            <w:tcMar>
              <w:top w:w="100" w:type="dxa"/>
              <w:left w:w="100" w:type="dxa"/>
              <w:bottom w:w="100" w:type="dxa"/>
              <w:right w:w="100" w:type="dxa"/>
            </w:tcMar>
          </w:tcPr>
          <w:p w:rsidR="00F92D8C" w:rsidRPr="008B135F" w:rsidRDefault="008B135F">
            <w:pPr>
              <w:widowControl w:val="0"/>
              <w:pBdr>
                <w:top w:val="nil"/>
                <w:left w:val="nil"/>
                <w:bottom w:val="nil"/>
                <w:right w:val="nil"/>
                <w:between w:val="nil"/>
              </w:pBdr>
              <w:spacing w:line="240" w:lineRule="auto"/>
              <w:jc w:val="center"/>
              <w:rPr>
                <w:b/>
              </w:rPr>
            </w:pPr>
            <w:r w:rsidRPr="008B135F">
              <w:rPr>
                <w:b/>
              </w:rPr>
              <w:t>Management * Year</w:t>
            </w:r>
          </w:p>
        </w:tc>
      </w:tr>
      <w:tr w:rsidR="00F92D8C" w:rsidRPr="008B135F">
        <w:tc>
          <w:tcPr>
            <w:tcW w:w="183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rPr>
                <w:sz w:val="20"/>
                <w:szCs w:val="20"/>
              </w:rPr>
            </w:pPr>
            <w:r w:rsidRPr="008B135F">
              <w:rPr>
                <w:b/>
                <w:sz w:val="20"/>
                <w:szCs w:val="20"/>
              </w:rPr>
              <w:t>Variable</w:t>
            </w:r>
          </w:p>
        </w:tc>
        <w:tc>
          <w:tcPr>
            <w:tcW w:w="93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F</w:t>
            </w:r>
          </w:p>
        </w:tc>
        <w:tc>
          <w:tcPr>
            <w:tcW w:w="93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proofErr w:type="spellStart"/>
            <w:r w:rsidRPr="008B135F">
              <w:rPr>
                <w:b/>
                <w:sz w:val="20"/>
                <w:szCs w:val="20"/>
              </w:rPr>
              <w:t>ndf</w:t>
            </w:r>
            <w:proofErr w:type="spellEnd"/>
          </w:p>
        </w:tc>
        <w:tc>
          <w:tcPr>
            <w:tcW w:w="93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proofErr w:type="spellStart"/>
            <w:r w:rsidRPr="008B135F">
              <w:rPr>
                <w:b/>
                <w:sz w:val="20"/>
                <w:szCs w:val="20"/>
              </w:rPr>
              <w:t>ddf</w:t>
            </w:r>
            <w:proofErr w:type="spellEnd"/>
          </w:p>
        </w:tc>
        <w:tc>
          <w:tcPr>
            <w:tcW w:w="931"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P</w:t>
            </w:r>
          </w:p>
        </w:tc>
        <w:tc>
          <w:tcPr>
            <w:tcW w:w="93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F</w:t>
            </w:r>
          </w:p>
        </w:tc>
        <w:tc>
          <w:tcPr>
            <w:tcW w:w="93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proofErr w:type="spellStart"/>
            <w:r w:rsidRPr="008B135F">
              <w:rPr>
                <w:b/>
                <w:sz w:val="20"/>
                <w:szCs w:val="20"/>
              </w:rPr>
              <w:t>ndf</w:t>
            </w:r>
            <w:proofErr w:type="spellEnd"/>
          </w:p>
        </w:tc>
        <w:tc>
          <w:tcPr>
            <w:tcW w:w="93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proofErr w:type="spellStart"/>
            <w:r w:rsidRPr="008B135F">
              <w:rPr>
                <w:b/>
                <w:sz w:val="20"/>
                <w:szCs w:val="20"/>
              </w:rPr>
              <w:t>ddf</w:t>
            </w:r>
            <w:proofErr w:type="spellEnd"/>
          </w:p>
        </w:tc>
        <w:tc>
          <w:tcPr>
            <w:tcW w:w="931"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P</w:t>
            </w:r>
          </w:p>
        </w:tc>
        <w:tc>
          <w:tcPr>
            <w:tcW w:w="93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F</w:t>
            </w:r>
          </w:p>
        </w:tc>
        <w:tc>
          <w:tcPr>
            <w:tcW w:w="93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proofErr w:type="spellStart"/>
            <w:r w:rsidRPr="008B135F">
              <w:rPr>
                <w:b/>
                <w:sz w:val="20"/>
                <w:szCs w:val="20"/>
              </w:rPr>
              <w:t>ndf</w:t>
            </w:r>
            <w:proofErr w:type="spellEnd"/>
          </w:p>
        </w:tc>
        <w:tc>
          <w:tcPr>
            <w:tcW w:w="93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proofErr w:type="spellStart"/>
            <w:r w:rsidRPr="008B135F">
              <w:rPr>
                <w:b/>
                <w:sz w:val="20"/>
                <w:szCs w:val="20"/>
              </w:rPr>
              <w:t>ddf</w:t>
            </w:r>
            <w:proofErr w:type="spellEnd"/>
          </w:p>
        </w:tc>
        <w:tc>
          <w:tcPr>
            <w:tcW w:w="931" w:type="dxa"/>
            <w:tcBorders>
              <w:top w:val="single" w:sz="6" w:space="0" w:color="CCCCCC"/>
              <w:left w:val="single" w:sz="6" w:space="0" w:color="CCCCCC"/>
              <w:bottom w:val="single" w:sz="6" w:space="0" w:color="000000"/>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P</w:t>
            </w:r>
          </w:p>
        </w:tc>
      </w:tr>
      <w:tr w:rsidR="00F92D8C" w:rsidRPr="008B135F">
        <w:tc>
          <w:tcPr>
            <w:tcW w:w="183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rPr>
                <w:sz w:val="20"/>
                <w:szCs w:val="20"/>
              </w:rPr>
            </w:pPr>
            <w:r w:rsidRPr="008B135F">
              <w:rPr>
                <w:sz w:val="20"/>
                <w:szCs w:val="20"/>
              </w:rPr>
              <w:t>Survival</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30.11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142</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&lt;0.001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1.5</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97</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0.228</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0.76</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145</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0.554</w:t>
            </w:r>
          </w:p>
        </w:tc>
      </w:tr>
      <w:tr w:rsidR="00F92D8C" w:rsidRPr="008B135F">
        <w:tc>
          <w:tcPr>
            <w:tcW w:w="183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rPr>
                <w:sz w:val="20"/>
                <w:szCs w:val="20"/>
              </w:rPr>
            </w:pPr>
            <w:r w:rsidRPr="008B135F">
              <w:rPr>
                <w:sz w:val="20"/>
                <w:szCs w:val="20"/>
              </w:rPr>
              <w:t>Honey production</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0.45</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520</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0.637</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22.7</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37</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&lt;0.001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2.9</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520</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0.022</w:t>
            </w:r>
          </w:p>
        </w:tc>
      </w:tr>
      <w:tr w:rsidR="00F92D8C" w:rsidRPr="008B135F">
        <w:tc>
          <w:tcPr>
            <w:tcW w:w="183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rPr>
                <w:sz w:val="20"/>
                <w:szCs w:val="20"/>
              </w:rPr>
            </w:pPr>
            <w:proofErr w:type="spellStart"/>
            <w:r w:rsidRPr="008B135F">
              <w:rPr>
                <w:i/>
                <w:sz w:val="20"/>
                <w:szCs w:val="20"/>
              </w:rPr>
              <w:t>Varroa</w:t>
            </w:r>
            <w:proofErr w:type="spellEnd"/>
            <w:r w:rsidRPr="008B135F">
              <w:rPr>
                <w:i/>
                <w:sz w:val="20"/>
                <w:szCs w:val="20"/>
              </w:rPr>
              <w:t xml:space="preserve"> </w:t>
            </w:r>
            <w:r w:rsidRPr="008B135F">
              <w:rPr>
                <w:sz w:val="20"/>
                <w:szCs w:val="20"/>
              </w:rPr>
              <w:t>mites</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6.29</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144</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0.002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13.09</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116</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&lt;0.001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4.97</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146</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0.001</w:t>
            </w:r>
          </w:p>
        </w:tc>
      </w:tr>
      <w:tr w:rsidR="00F92D8C" w:rsidRPr="008B135F">
        <w:tc>
          <w:tcPr>
            <w:tcW w:w="183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rPr>
                <w:sz w:val="20"/>
                <w:szCs w:val="20"/>
              </w:rPr>
            </w:pPr>
            <w:r w:rsidRPr="008B135F">
              <w:rPr>
                <w:i/>
                <w:sz w:val="20"/>
                <w:szCs w:val="20"/>
              </w:rPr>
              <w:t xml:space="preserve">V. </w:t>
            </w:r>
            <w:proofErr w:type="spellStart"/>
            <w:r w:rsidRPr="008B135F">
              <w:rPr>
                <w:i/>
                <w:sz w:val="20"/>
                <w:szCs w:val="20"/>
              </w:rPr>
              <w:t>ceranae</w:t>
            </w:r>
            <w:proofErr w:type="spellEnd"/>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0.27</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142</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0.761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3.78</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35</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0.033</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0.25</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143</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0.912</w:t>
            </w:r>
          </w:p>
        </w:tc>
      </w:tr>
      <w:tr w:rsidR="00F92D8C" w:rsidRPr="008B135F">
        <w:tc>
          <w:tcPr>
            <w:tcW w:w="183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rPr>
                <w:sz w:val="20"/>
                <w:szCs w:val="20"/>
              </w:rPr>
            </w:pPr>
            <w:r w:rsidRPr="008B135F">
              <w:rPr>
                <w:sz w:val="20"/>
                <w:szCs w:val="20"/>
              </w:rPr>
              <w:t>DWV</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7.84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142</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0.001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0.09</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27</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0.917</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0.21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0.933</w:t>
            </w:r>
          </w:p>
        </w:tc>
      </w:tr>
      <w:tr w:rsidR="00F92D8C" w:rsidRPr="008B135F">
        <w:tc>
          <w:tcPr>
            <w:tcW w:w="183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rPr>
                <w:sz w:val="20"/>
                <w:szCs w:val="20"/>
              </w:rPr>
            </w:pPr>
            <w:proofErr w:type="spellStart"/>
            <w:r w:rsidRPr="008B135F">
              <w:rPr>
                <w:sz w:val="20"/>
                <w:szCs w:val="20"/>
              </w:rPr>
              <w:t>Hym</w:t>
            </w:r>
            <w:proofErr w:type="spellEnd"/>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2.24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143</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0.11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14.83</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88</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&lt;0.001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1.23</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0.3</w:t>
            </w:r>
          </w:p>
        </w:tc>
      </w:tr>
      <w:tr w:rsidR="00F92D8C" w:rsidRPr="008B135F">
        <w:tc>
          <w:tcPr>
            <w:tcW w:w="183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rPr>
                <w:sz w:val="20"/>
                <w:szCs w:val="20"/>
              </w:rPr>
            </w:pPr>
            <w:r w:rsidRPr="008B135F">
              <w:rPr>
                <w:sz w:val="20"/>
                <w:szCs w:val="20"/>
              </w:rPr>
              <w:t>Def1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4.5</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142</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0.013</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5.48</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45</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0.007</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0.56</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143</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0.695</w:t>
            </w:r>
          </w:p>
        </w:tc>
      </w:tr>
      <w:tr w:rsidR="00F92D8C" w:rsidRPr="008B135F">
        <w:tc>
          <w:tcPr>
            <w:tcW w:w="183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rPr>
                <w:sz w:val="20"/>
                <w:szCs w:val="20"/>
              </w:rPr>
            </w:pPr>
            <w:r w:rsidRPr="008B135F">
              <w:rPr>
                <w:sz w:val="20"/>
                <w:szCs w:val="20"/>
              </w:rPr>
              <w:t>Vg</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1.71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143</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0.185</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13.96</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63</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&lt;0.001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0.24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0.916</w:t>
            </w:r>
          </w:p>
        </w:tc>
      </w:tr>
      <w:tr w:rsidR="00F92D8C" w:rsidRPr="008B135F">
        <w:tc>
          <w:tcPr>
            <w:tcW w:w="1830"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rPr>
                <w:sz w:val="20"/>
                <w:szCs w:val="20"/>
              </w:rPr>
            </w:pPr>
            <w:proofErr w:type="spellStart"/>
            <w:r w:rsidRPr="008B135F">
              <w:rPr>
                <w:sz w:val="20"/>
                <w:szCs w:val="20"/>
              </w:rPr>
              <w:t>Nkd</w:t>
            </w:r>
            <w:proofErr w:type="spellEnd"/>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3.93</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143</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0.022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119.75</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2</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79</w:t>
            </w:r>
          </w:p>
        </w:tc>
        <w:tc>
          <w:tcPr>
            <w:tcW w:w="931" w:type="dxa"/>
            <w:tcBorders>
              <w:top w:val="single" w:sz="6" w:space="0" w:color="CCCCCC"/>
              <w:left w:val="single" w:sz="6" w:space="0" w:color="CCCCCC"/>
              <w:bottom w:val="single" w:sz="6" w:space="0" w:color="CCCCCC"/>
              <w:right w:val="single" w:sz="6" w:space="0" w:color="000000"/>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b/>
                <w:sz w:val="20"/>
                <w:szCs w:val="20"/>
              </w:rPr>
              <w:t>&lt;0.001</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1.45</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4</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146</w:t>
            </w:r>
          </w:p>
        </w:tc>
        <w:tc>
          <w:tcPr>
            <w:tcW w:w="931" w:type="dxa"/>
            <w:tcBorders>
              <w:top w:val="single" w:sz="6" w:space="0" w:color="CCCCCC"/>
              <w:left w:val="single" w:sz="6" w:space="0" w:color="CCCCCC"/>
              <w:bottom w:val="single" w:sz="6" w:space="0" w:color="CCCCCC"/>
              <w:right w:val="single" w:sz="6" w:space="0" w:color="CCCCCC"/>
            </w:tcBorders>
            <w:shd w:val="clear" w:color="auto" w:fill="FFFFFF"/>
            <w:tcMar>
              <w:top w:w="40" w:type="dxa"/>
              <w:left w:w="40" w:type="dxa"/>
              <w:bottom w:w="40" w:type="dxa"/>
              <w:right w:w="40" w:type="dxa"/>
            </w:tcMar>
            <w:vAlign w:val="bottom"/>
          </w:tcPr>
          <w:p w:rsidR="00F92D8C" w:rsidRPr="008B135F" w:rsidRDefault="008B135F">
            <w:pPr>
              <w:widowControl w:val="0"/>
              <w:jc w:val="center"/>
              <w:rPr>
                <w:sz w:val="20"/>
                <w:szCs w:val="20"/>
              </w:rPr>
            </w:pPr>
            <w:r w:rsidRPr="008B135F">
              <w:rPr>
                <w:sz w:val="20"/>
                <w:szCs w:val="20"/>
              </w:rPr>
              <w:t>0.222</w:t>
            </w:r>
          </w:p>
        </w:tc>
      </w:tr>
    </w:tbl>
    <w:p w:rsidR="00F92D8C" w:rsidRPr="008B135F" w:rsidRDefault="00F92D8C">
      <w:pPr>
        <w:rPr>
          <w:b/>
        </w:rPr>
      </w:pPr>
    </w:p>
    <w:p w:rsidR="00F92D8C" w:rsidRPr="008B135F" w:rsidRDefault="00F92D8C">
      <w:pPr>
        <w:widowControl w:val="0"/>
        <w:pBdr>
          <w:top w:val="nil"/>
          <w:left w:val="nil"/>
          <w:bottom w:val="nil"/>
          <w:right w:val="nil"/>
          <w:between w:val="nil"/>
        </w:pBdr>
        <w:sectPr w:rsidR="00F92D8C" w:rsidRPr="008B135F">
          <w:pgSz w:w="15840" w:h="12240" w:orient="landscape"/>
          <w:pgMar w:top="1440" w:right="1440" w:bottom="1440" w:left="1440" w:header="720" w:footer="720" w:gutter="0"/>
          <w:cols w:space="720"/>
        </w:sectPr>
      </w:pPr>
    </w:p>
    <w:p w:rsidR="00F92D8C" w:rsidRPr="008B135F" w:rsidRDefault="008B135F">
      <w:pPr>
        <w:widowControl w:val="0"/>
        <w:rPr>
          <w:b/>
        </w:rPr>
      </w:pPr>
      <w:r w:rsidRPr="008B135F">
        <w:rPr>
          <w:b/>
        </w:rPr>
        <w:t>Appendix 1. Expanded Methods</w:t>
      </w:r>
    </w:p>
    <w:p w:rsidR="00F92D8C" w:rsidRPr="008B135F" w:rsidRDefault="008B135F">
      <w:pPr>
        <w:widowControl w:val="0"/>
        <w:rPr>
          <w:b/>
        </w:rPr>
      </w:pPr>
      <w:r w:rsidRPr="008B135F">
        <w:rPr>
          <w:b/>
        </w:rPr>
        <w:t xml:space="preserve"> </w:t>
      </w:r>
    </w:p>
    <w:p w:rsidR="00F92D8C" w:rsidRPr="008B135F" w:rsidRDefault="008B135F">
      <w:pPr>
        <w:widowControl w:val="0"/>
        <w:rPr>
          <w:b/>
        </w:rPr>
      </w:pPr>
      <w:r w:rsidRPr="008B135F">
        <w:rPr>
          <w:b/>
        </w:rPr>
        <w:t>Management Details</w:t>
      </w:r>
    </w:p>
    <w:p w:rsidR="00F92D8C" w:rsidRPr="008B135F" w:rsidRDefault="008B135F">
      <w:pPr>
        <w:widowControl w:val="0"/>
      </w:pPr>
      <w:r w:rsidRPr="008B135F">
        <w:t xml:space="preserve"> </w:t>
      </w:r>
    </w:p>
    <w:p w:rsidR="00F92D8C" w:rsidRPr="008B135F" w:rsidRDefault="008B135F">
      <w:pPr>
        <w:widowControl w:val="0"/>
      </w:pPr>
      <w:r w:rsidRPr="008B135F">
        <w:t>Table 1. Details of the three management systems. *Mite treatments were applied to all of the colonies in the group in the specific location when one or more colonies reached a mite population over 1 mite per 100 bees (1%) during the summer. In the fall, a</w:t>
      </w:r>
      <w:r w:rsidRPr="008B135F">
        <w:t>ll colonies in a given system were treated regardless of their mite loads. In year 3, fall treatment type for the organic management system was dependent on previous treatments, to ensure chemical rotation for integrated pest management.</w:t>
      </w:r>
    </w:p>
    <w:p w:rsidR="00F92D8C" w:rsidRPr="008B135F" w:rsidRDefault="008B135F">
      <w:pPr>
        <w:widowControl w:val="0"/>
      </w:pPr>
      <w:r w:rsidRPr="008B135F">
        <w:t xml:space="preserve"> </w:t>
      </w:r>
    </w:p>
    <w:tbl>
      <w:tblPr>
        <w:tblStyle w:val="a2"/>
        <w:tblW w:w="9330" w:type="dxa"/>
        <w:tblBorders>
          <w:top w:val="nil"/>
          <w:left w:val="nil"/>
          <w:bottom w:val="nil"/>
          <w:right w:val="nil"/>
          <w:insideH w:val="nil"/>
          <w:insideV w:val="nil"/>
        </w:tblBorders>
        <w:tblLayout w:type="fixed"/>
        <w:tblLook w:val="0600" w:firstRow="0" w:lastRow="0" w:firstColumn="0" w:lastColumn="0" w:noHBand="1" w:noVBand="1"/>
      </w:tblPr>
      <w:tblGrid>
        <w:gridCol w:w="3135"/>
        <w:gridCol w:w="3090"/>
        <w:gridCol w:w="3105"/>
      </w:tblGrid>
      <w:tr w:rsidR="00F92D8C" w:rsidRPr="008B135F">
        <w:trPr>
          <w:trHeight w:val="480"/>
        </w:trPr>
        <w:tc>
          <w:tcPr>
            <w:tcW w:w="3135"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rsidR="00F92D8C" w:rsidRPr="008B135F" w:rsidRDefault="008B135F">
            <w:pPr>
              <w:widowControl w:val="0"/>
              <w:jc w:val="center"/>
              <w:rPr>
                <w:b/>
              </w:rPr>
            </w:pPr>
            <w:r w:rsidRPr="008B135F">
              <w:rPr>
                <w:b/>
              </w:rPr>
              <w:t>Conventional</w:t>
            </w:r>
          </w:p>
        </w:tc>
        <w:tc>
          <w:tcPr>
            <w:tcW w:w="3090"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tcPr>
          <w:p w:rsidR="00F92D8C" w:rsidRPr="008B135F" w:rsidRDefault="008B135F">
            <w:pPr>
              <w:widowControl w:val="0"/>
              <w:jc w:val="center"/>
              <w:rPr>
                <w:b/>
              </w:rPr>
            </w:pPr>
            <w:r w:rsidRPr="008B135F">
              <w:rPr>
                <w:b/>
              </w:rPr>
              <w:t>Org</w:t>
            </w:r>
            <w:r w:rsidRPr="008B135F">
              <w:rPr>
                <w:b/>
              </w:rPr>
              <w:t>anic</w:t>
            </w:r>
          </w:p>
        </w:tc>
        <w:tc>
          <w:tcPr>
            <w:tcW w:w="310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tcPr>
          <w:p w:rsidR="00F92D8C" w:rsidRPr="008B135F" w:rsidRDefault="008B135F">
            <w:pPr>
              <w:widowControl w:val="0"/>
              <w:jc w:val="center"/>
              <w:rPr>
                <w:b/>
              </w:rPr>
            </w:pPr>
            <w:r w:rsidRPr="008B135F">
              <w:rPr>
                <w:b/>
              </w:rPr>
              <w:t>Chemical-Free</w:t>
            </w:r>
          </w:p>
        </w:tc>
      </w:tr>
      <w:tr w:rsidR="00F92D8C" w:rsidRPr="008B135F">
        <w:trPr>
          <w:trHeight w:val="480"/>
        </w:trPr>
        <w:tc>
          <w:tcPr>
            <w:tcW w:w="9330" w:type="dxa"/>
            <w:gridSpan w:val="3"/>
            <w:tcBorders>
              <w:top w:val="nil"/>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rsidR="00F92D8C" w:rsidRPr="008B135F" w:rsidRDefault="008B135F">
            <w:pPr>
              <w:widowControl w:val="0"/>
              <w:jc w:val="center"/>
            </w:pPr>
            <w:r w:rsidRPr="008B135F">
              <w:t>Equipment</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5.4 mm plastic foundation</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5.4 mm plastic foundation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4.9 mm plastic foundation</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All standard worker comb</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10% drone comb</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10% freeform comb</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Screened bottom board</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Solid bottom board</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Solid bottom board</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Queen excluder used</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 queen excluder</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 queen excluder</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Smooth boxes</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Smooth boxes</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Roughened boxes</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Wooden wintering cover</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Wooden wintering cover</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Cotton duck cloth cover</w:t>
            </w:r>
          </w:p>
        </w:tc>
      </w:tr>
      <w:tr w:rsidR="00F92D8C" w:rsidRPr="008B135F">
        <w:trPr>
          <w:trHeight w:val="480"/>
        </w:trPr>
        <w:tc>
          <w:tcPr>
            <w:tcW w:w="9330" w:type="dxa"/>
            <w:gridSpan w:val="3"/>
            <w:tcBorders>
              <w:top w:val="nil"/>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rsidR="00F92D8C" w:rsidRPr="008B135F" w:rsidRDefault="008B135F">
            <w:pPr>
              <w:widowControl w:val="0"/>
              <w:jc w:val="center"/>
            </w:pPr>
            <w:r w:rsidRPr="008B135F">
              <w:t>Feed</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proofErr w:type="spellStart"/>
            <w:r w:rsidRPr="008B135F">
              <w:t>ProSweet</w:t>
            </w:r>
            <w:proofErr w:type="spellEnd"/>
            <w:r w:rsidRPr="008B135F">
              <w:t>, as needed</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proofErr w:type="spellStart"/>
            <w:r w:rsidRPr="008B135F">
              <w:t>ProSweet</w:t>
            </w:r>
            <w:proofErr w:type="spellEnd"/>
            <w:r w:rsidRPr="008B135F">
              <w:t>, as needed</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proofErr w:type="spellStart"/>
            <w:r w:rsidRPr="008B135F">
              <w:t>ProSweet</w:t>
            </w:r>
            <w:proofErr w:type="spellEnd"/>
            <w:r w:rsidRPr="008B135F">
              <w:t>, as needed</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Candy board for winter</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Dry sucrose for winter</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None needed</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 pollen patty</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⅓ pollen patty in Mar.</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 pollen patty</w:t>
            </w:r>
          </w:p>
        </w:tc>
      </w:tr>
      <w:tr w:rsidR="00F92D8C" w:rsidRPr="008B135F">
        <w:trPr>
          <w:trHeight w:val="480"/>
        </w:trPr>
        <w:tc>
          <w:tcPr>
            <w:tcW w:w="9330" w:type="dxa"/>
            <w:gridSpan w:val="3"/>
            <w:tcBorders>
              <w:top w:val="nil"/>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rsidR="00F92D8C" w:rsidRPr="008B135F" w:rsidRDefault="008B135F">
            <w:pPr>
              <w:widowControl w:val="0"/>
              <w:jc w:val="center"/>
            </w:pPr>
            <w:r w:rsidRPr="008B135F">
              <w:t>Treatments</w:t>
            </w:r>
          </w:p>
        </w:tc>
      </w:tr>
      <w:tr w:rsidR="00F92D8C" w:rsidRPr="008B135F">
        <w:trPr>
          <w:trHeight w:val="480"/>
        </w:trPr>
        <w:tc>
          <w:tcPr>
            <w:tcW w:w="9330"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Year 1</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Screened bottom board</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Drone brood removal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Small cell comb</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OA dribble within 1 week</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OA dribble within 1 week</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None</w:t>
            </w:r>
          </w:p>
        </w:tc>
      </w:tr>
      <w:tr w:rsidR="00F92D8C" w:rsidRPr="008B135F">
        <w:trPr>
          <w:trHeight w:val="99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proofErr w:type="spellStart"/>
            <w:r w:rsidRPr="008B135F">
              <w:t>Amitraz</w:t>
            </w:r>
            <w:proofErr w:type="spellEnd"/>
          </w:p>
          <w:p w:rsidR="00F92D8C" w:rsidRPr="008B135F" w:rsidRDefault="008B135F">
            <w:pPr>
              <w:widowControl w:val="0"/>
              <w:jc w:val="center"/>
            </w:pPr>
            <w:proofErr w:type="gramStart"/>
            <w:r w:rsidRPr="008B135F">
              <w:t>in</w:t>
            </w:r>
            <w:proofErr w:type="gramEnd"/>
            <w:r w:rsidRPr="008B135F">
              <w:t xml:space="preserve"> mid-Aug.</w:t>
            </w:r>
          </w:p>
          <w:p w:rsidR="00F92D8C" w:rsidRPr="008B135F" w:rsidRDefault="008B135F">
            <w:pPr>
              <w:widowControl w:val="0"/>
              <w:jc w:val="center"/>
            </w:pPr>
            <w:r w:rsidRPr="008B135F">
              <w:t>(</w:t>
            </w:r>
            <w:proofErr w:type="spellStart"/>
            <w:r w:rsidRPr="008B135F">
              <w:t>ApiVar</w:t>
            </w:r>
            <w:proofErr w:type="spellEnd"/>
            <w:r w:rsidRPr="008B135F">
              <w:t>, 4 strips for 42 days)</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Formic acid (Formic Pro)</w:t>
            </w:r>
          </w:p>
          <w:p w:rsidR="00F92D8C" w:rsidRPr="008B135F" w:rsidRDefault="008B135F">
            <w:pPr>
              <w:widowControl w:val="0"/>
              <w:jc w:val="center"/>
            </w:pPr>
            <w:proofErr w:type="gramStart"/>
            <w:r w:rsidRPr="008B135F">
              <w:t>in</w:t>
            </w:r>
            <w:proofErr w:type="gramEnd"/>
            <w:r w:rsidRPr="008B135F">
              <w:t xml:space="preserve"> mid-Aug.</w:t>
            </w:r>
          </w:p>
          <w:p w:rsidR="00F92D8C" w:rsidRPr="008B135F" w:rsidRDefault="008B135F">
            <w:pPr>
              <w:widowControl w:val="0"/>
              <w:jc w:val="center"/>
            </w:pPr>
            <w:r w:rsidRPr="008B135F">
              <w:t>(1 pad x 2 @ 10 days)</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None</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OA vapor in Dec.</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OA vapor in Dec.</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None</w:t>
            </w:r>
          </w:p>
        </w:tc>
      </w:tr>
      <w:tr w:rsidR="00F92D8C" w:rsidRPr="008B135F">
        <w:trPr>
          <w:trHeight w:val="480"/>
        </w:trPr>
        <w:tc>
          <w:tcPr>
            <w:tcW w:w="9330"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Years 2 and 3</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OA vapor in Mar.</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 Mar. treatment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None</w:t>
            </w:r>
          </w:p>
        </w:tc>
      </w:tr>
      <w:tr w:rsidR="00F92D8C" w:rsidRPr="008B135F">
        <w:trPr>
          <w:trHeight w:val="735"/>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*OA vapor Apr-June</w:t>
            </w:r>
          </w:p>
          <w:p w:rsidR="00F92D8C" w:rsidRPr="008B135F" w:rsidRDefault="008B135F">
            <w:pPr>
              <w:widowControl w:val="0"/>
              <w:jc w:val="center"/>
            </w:pPr>
            <w:r w:rsidRPr="008B135F">
              <w:t>(1g crystals x 3 @ 7 days)</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*OA vapor Apr-June</w:t>
            </w:r>
          </w:p>
          <w:p w:rsidR="00F92D8C" w:rsidRPr="008B135F" w:rsidRDefault="008B135F">
            <w:pPr>
              <w:widowControl w:val="0"/>
              <w:jc w:val="center"/>
            </w:pPr>
            <w:r w:rsidRPr="008B135F">
              <w:t>(1g crystals x 3 @ 7 days)</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None</w:t>
            </w:r>
          </w:p>
        </w:tc>
      </w:tr>
      <w:tr w:rsidR="00F92D8C" w:rsidRPr="008B135F">
        <w:trPr>
          <w:trHeight w:val="735"/>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*Formic acid Jul.-Aug.</w:t>
            </w:r>
          </w:p>
          <w:p w:rsidR="00F92D8C" w:rsidRPr="008B135F" w:rsidRDefault="008B135F">
            <w:pPr>
              <w:widowControl w:val="0"/>
              <w:jc w:val="center"/>
            </w:pPr>
            <w:r w:rsidRPr="008B135F">
              <w:t>(Formic Pro 2 pads)</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*Formic acid Jul.-Aug.</w:t>
            </w:r>
          </w:p>
          <w:p w:rsidR="00F92D8C" w:rsidRPr="008B135F" w:rsidRDefault="008B135F">
            <w:pPr>
              <w:widowControl w:val="0"/>
              <w:jc w:val="center"/>
            </w:pPr>
            <w:r w:rsidRPr="008B135F">
              <w:t>(Formic Pro 2 pads)</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None</w:t>
            </w:r>
          </w:p>
        </w:tc>
      </w:tr>
      <w:tr w:rsidR="00F92D8C" w:rsidRPr="008B135F">
        <w:trPr>
          <w:trHeight w:val="129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proofErr w:type="spellStart"/>
            <w:r w:rsidRPr="008B135F">
              <w:t>Amitraz</w:t>
            </w:r>
            <w:proofErr w:type="spellEnd"/>
          </w:p>
          <w:p w:rsidR="00F92D8C" w:rsidRPr="008B135F" w:rsidRDefault="008B135F">
            <w:pPr>
              <w:widowControl w:val="0"/>
              <w:jc w:val="center"/>
            </w:pPr>
            <w:proofErr w:type="gramStart"/>
            <w:r w:rsidRPr="008B135F">
              <w:t>in</w:t>
            </w:r>
            <w:proofErr w:type="gramEnd"/>
            <w:r w:rsidRPr="008B135F">
              <w:t xml:space="preserve"> mid-Aug.</w:t>
            </w:r>
          </w:p>
          <w:p w:rsidR="00F92D8C" w:rsidRPr="008B135F" w:rsidRDefault="008B135F">
            <w:pPr>
              <w:widowControl w:val="0"/>
              <w:jc w:val="center"/>
            </w:pPr>
            <w:r w:rsidRPr="008B135F">
              <w:t>(</w:t>
            </w:r>
            <w:proofErr w:type="spellStart"/>
            <w:r w:rsidRPr="008B135F">
              <w:t>ApiVar</w:t>
            </w:r>
            <w:proofErr w:type="spellEnd"/>
            <w:r w:rsidRPr="008B135F">
              <w:t>, 4 strips for 42 days)</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proofErr w:type="spellStart"/>
            <w:proofErr w:type="gramStart"/>
            <w:r w:rsidRPr="008B135F">
              <w:rPr>
                <w:vertAlign w:val="superscript"/>
              </w:rPr>
              <w:t>t</w:t>
            </w:r>
            <w:r w:rsidRPr="008B135F">
              <w:t>Thymol</w:t>
            </w:r>
            <w:proofErr w:type="spellEnd"/>
            <w:proofErr w:type="gramEnd"/>
            <w:r w:rsidRPr="008B135F">
              <w:t xml:space="preserve"> or formic acid (as above) in mid-Aug.</w:t>
            </w:r>
          </w:p>
          <w:p w:rsidR="00F92D8C" w:rsidRPr="008B135F" w:rsidRDefault="008B135F">
            <w:pPr>
              <w:widowControl w:val="0"/>
              <w:jc w:val="center"/>
            </w:pPr>
            <w:r w:rsidRPr="008B135F">
              <w:t>(</w:t>
            </w:r>
            <w:proofErr w:type="spellStart"/>
            <w:r w:rsidRPr="008B135F">
              <w:t>Apiguard</w:t>
            </w:r>
            <w:proofErr w:type="spellEnd"/>
            <w:r w:rsidRPr="008B135F">
              <w:t>, 50 g for 2 weeks, then 50 g for 4 weeks)</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None</w:t>
            </w:r>
          </w:p>
        </w:tc>
      </w:tr>
      <w:tr w:rsidR="00F92D8C" w:rsidRPr="008B135F">
        <w:trPr>
          <w:trHeight w:val="480"/>
        </w:trPr>
        <w:tc>
          <w:tcPr>
            <w:tcW w:w="313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OA vapor in Dec.</w:t>
            </w:r>
          </w:p>
        </w:tc>
        <w:tc>
          <w:tcPr>
            <w:tcW w:w="30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OA vapor in Dec.</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2D8C" w:rsidRPr="008B135F" w:rsidRDefault="008B135F">
            <w:pPr>
              <w:widowControl w:val="0"/>
              <w:jc w:val="center"/>
            </w:pPr>
            <w:r w:rsidRPr="008B135F">
              <w:t>None</w:t>
            </w:r>
          </w:p>
        </w:tc>
      </w:tr>
    </w:tbl>
    <w:p w:rsidR="00F92D8C" w:rsidRPr="008B135F" w:rsidRDefault="008B135F">
      <w:pPr>
        <w:widowControl w:val="0"/>
      </w:pPr>
      <w:r w:rsidRPr="008B135F">
        <w:t xml:space="preserve"> </w:t>
      </w:r>
    </w:p>
    <w:p w:rsidR="00F92D8C" w:rsidRPr="008B135F" w:rsidRDefault="008B135F">
      <w:pPr>
        <w:widowControl w:val="0"/>
      </w:pPr>
      <w:r w:rsidRPr="008B135F">
        <w:t>*Colonies were treated only if they exceeded the 1% mite infestation threshold</w:t>
      </w:r>
    </w:p>
    <w:p w:rsidR="00F92D8C" w:rsidRPr="008B135F" w:rsidRDefault="008B135F">
      <w:pPr>
        <w:widowControl w:val="0"/>
      </w:pPr>
      <w:proofErr w:type="spellStart"/>
      <w:proofErr w:type="gramStart"/>
      <w:r w:rsidRPr="008B135F">
        <w:rPr>
          <w:vertAlign w:val="superscript"/>
        </w:rPr>
        <w:t>t</w:t>
      </w:r>
      <w:r w:rsidRPr="008B135F">
        <w:t>Treatments</w:t>
      </w:r>
      <w:proofErr w:type="spellEnd"/>
      <w:proofErr w:type="gramEnd"/>
      <w:r w:rsidRPr="008B135F">
        <w:t xml:space="preserve"> in the organic management system were dependent on previous treatments.</w:t>
      </w:r>
    </w:p>
    <w:p w:rsidR="00F92D8C" w:rsidRPr="008B135F" w:rsidRDefault="008B135F">
      <w:pPr>
        <w:widowControl w:val="0"/>
      </w:pPr>
      <w:r w:rsidRPr="008B135F">
        <w:t xml:space="preserve"> </w:t>
      </w:r>
    </w:p>
    <w:p w:rsidR="00F92D8C" w:rsidRPr="008B135F" w:rsidRDefault="008B135F">
      <w:pPr>
        <w:widowControl w:val="0"/>
      </w:pPr>
      <w:r w:rsidRPr="008B135F">
        <w:t xml:space="preserve">In spring of 2018, we fed all colonies </w:t>
      </w:r>
      <w:proofErr w:type="spellStart"/>
      <w:r w:rsidRPr="008B135F">
        <w:t>ProSweet</w:t>
      </w:r>
      <w:proofErr w:type="spellEnd"/>
      <w:r w:rsidRPr="008B135F">
        <w:t xml:space="preserve"> (Mann Lake Ltd.) </w:t>
      </w:r>
      <w:r w:rsidRPr="008B135F">
        <w:rPr>
          <w:rFonts w:ascii="Roboto" w:eastAsia="Roboto" w:hAnsi="Roboto" w:cs="Roboto"/>
          <w:color w:val="3C4043"/>
          <w:sz w:val="21"/>
          <w:szCs w:val="21"/>
        </w:rPr>
        <w:t xml:space="preserve">every two weeks for the first six weeks </w:t>
      </w:r>
      <w:r w:rsidRPr="008B135F">
        <w:t>after package installation. Thereafter, we fed them each fall, onl</w:t>
      </w:r>
      <w:r w:rsidRPr="008B135F">
        <w:t xml:space="preserve">y as needed, to a minimum weight of 60 </w:t>
      </w:r>
      <w:proofErr w:type="spellStart"/>
      <w:r w:rsidRPr="008B135F">
        <w:t>lb</w:t>
      </w:r>
      <w:proofErr w:type="spellEnd"/>
      <w:r w:rsidRPr="008B135F">
        <w:t xml:space="preserve"> of stored food (120 </w:t>
      </w:r>
      <w:proofErr w:type="spellStart"/>
      <w:r w:rsidRPr="008B135F">
        <w:t>lb</w:t>
      </w:r>
      <w:proofErr w:type="spellEnd"/>
      <w:r w:rsidRPr="008B135F">
        <w:t xml:space="preserve"> total hive weight). We assessed the colonies every two weeks throughout the 2018 and 2019 beekeeping seasons, and every three weeks due to pandemic restrictions, during the 2020 beekeeping se</w:t>
      </w:r>
      <w:r w:rsidRPr="008B135F">
        <w:t xml:space="preserve">ason. At each visit, we determined queen status, watched for diseases and pests, and added or removed boxes, as needed. Once each month, we measured the population of parasitic </w:t>
      </w:r>
      <w:proofErr w:type="spellStart"/>
      <w:r w:rsidRPr="008B135F">
        <w:rPr>
          <w:i/>
        </w:rPr>
        <w:t>Varroa</w:t>
      </w:r>
      <w:proofErr w:type="spellEnd"/>
      <w:r w:rsidRPr="008B135F">
        <w:t xml:space="preserve"> mites using an alcohol wash of approximately 300 bees (standard procedur</w:t>
      </w:r>
      <w:r w:rsidRPr="008B135F">
        <w:t>e). If a single colony in a group in an apiary in the conventional or organic management system tested above a threshold of 1 mite per 100 bees (1%), all of the colonies in that system in that apiary were treated using either oxalic or formic acid, dependi</w:t>
      </w:r>
      <w:r w:rsidRPr="008B135F">
        <w:t>ng on the season (see Table 1).</w:t>
      </w:r>
    </w:p>
    <w:p w:rsidR="00F92D8C" w:rsidRPr="008B135F" w:rsidRDefault="008B135F">
      <w:pPr>
        <w:widowControl w:val="0"/>
      </w:pPr>
      <w:r w:rsidRPr="008B135F">
        <w:t xml:space="preserve"> </w:t>
      </w:r>
    </w:p>
    <w:p w:rsidR="00F92D8C" w:rsidRPr="008B135F" w:rsidRDefault="008B135F">
      <w:pPr>
        <w:widowControl w:val="0"/>
      </w:pPr>
      <w:r w:rsidRPr="008B135F">
        <w:t>We monitored each colony for signs of swarm initiation (2019 and 2020). If any sign of swarming was seen (queen cells at any stage), the colony was split into two colonies. The new colonies (splits) were used to replace wi</w:t>
      </w:r>
      <w:r w:rsidRPr="008B135F">
        <w:t>nter losses, so that the colony density remained at 12 per apiary when possible. If too many splits were made, the extras were removed from the area. We managed splits in the same way as continuous colonies, continuing the management system of the parent c</w:t>
      </w:r>
      <w:r w:rsidRPr="008B135F">
        <w:t>olony. However, we do not report on these colonies in this paper.</w:t>
      </w:r>
    </w:p>
    <w:p w:rsidR="00F92D8C" w:rsidRPr="008B135F" w:rsidRDefault="008B135F">
      <w:pPr>
        <w:widowControl w:val="0"/>
      </w:pPr>
      <w:r w:rsidRPr="008B135F">
        <w:t xml:space="preserve"> </w:t>
      </w:r>
    </w:p>
    <w:p w:rsidR="00F92D8C" w:rsidRPr="008B135F" w:rsidRDefault="008B135F">
      <w:pPr>
        <w:widowControl w:val="0"/>
      </w:pPr>
      <w:r w:rsidRPr="008B135F">
        <w:t>In mid-August each year, all colonies in the conventional and organic management systems were treated for mites, regardless of the mite population size. Colonies in the conventional manage</w:t>
      </w:r>
      <w:r w:rsidRPr="008B135F">
        <w:t xml:space="preserve">ment system were treated each fall with a full dose (4 strips) of </w:t>
      </w:r>
      <w:proofErr w:type="spellStart"/>
      <w:r w:rsidRPr="008B135F">
        <w:t>ApiVar</w:t>
      </w:r>
      <w:proofErr w:type="spellEnd"/>
      <w:r w:rsidRPr="008B135F">
        <w:t xml:space="preserve"> (</w:t>
      </w:r>
      <w:proofErr w:type="spellStart"/>
      <w:r w:rsidRPr="008B135F">
        <w:t>amitraz</w:t>
      </w:r>
      <w:proofErr w:type="spellEnd"/>
      <w:r w:rsidRPr="008B135F">
        <w:t>) for 42 days, when strips were removed. Colonies in the organic management system were treated using an integrated pest management strategy. In 2018, the colonies were all tr</w:t>
      </w:r>
      <w:r w:rsidRPr="008B135F">
        <w:t xml:space="preserve">eated with </w:t>
      </w:r>
      <w:proofErr w:type="spellStart"/>
      <w:r w:rsidRPr="008B135F">
        <w:t>FormicPro</w:t>
      </w:r>
      <w:proofErr w:type="spellEnd"/>
      <w:r w:rsidRPr="008B135F">
        <w:t xml:space="preserve"> (formic acid) by adding one pad to the hive for 10 days followed by a second pad for an additional 10 days. In 2019, colonies that had not been treated during the summer received </w:t>
      </w:r>
      <w:proofErr w:type="spellStart"/>
      <w:r w:rsidRPr="008B135F">
        <w:t>FormicPro</w:t>
      </w:r>
      <w:proofErr w:type="spellEnd"/>
      <w:r w:rsidRPr="008B135F">
        <w:t xml:space="preserve"> pads using two pads per hive, while colonies t</w:t>
      </w:r>
      <w:r w:rsidRPr="008B135F">
        <w:t xml:space="preserve">hat had already been treated over the summer with formic acid because they reached the threshold were treated with </w:t>
      </w:r>
      <w:proofErr w:type="spellStart"/>
      <w:r w:rsidRPr="008B135F">
        <w:t>ApiGuard</w:t>
      </w:r>
      <w:proofErr w:type="spellEnd"/>
      <w:r w:rsidRPr="008B135F">
        <w:t xml:space="preserve"> (</w:t>
      </w:r>
      <w:proofErr w:type="spellStart"/>
      <w:r w:rsidRPr="008B135F">
        <w:t>thymol</w:t>
      </w:r>
      <w:proofErr w:type="spellEnd"/>
      <w:r w:rsidRPr="008B135F">
        <w:t>) by adding 50 g of gel that remained for 14 days followed by an additional 50 g of gel that remained in place for 28 days. I</w:t>
      </w:r>
      <w:r w:rsidRPr="008B135F">
        <w:t>n 2020, summer mite levels did not lead to treatments, so all colonies were treated with Formic Pro using 2 pads.</w:t>
      </w:r>
      <w:r w:rsidRPr="008B135F">
        <w:rPr>
          <w:i/>
        </w:rPr>
        <w:t xml:space="preserve"> </w:t>
      </w:r>
      <w:proofErr w:type="spellStart"/>
      <w:r w:rsidRPr="008B135F">
        <w:rPr>
          <w:i/>
        </w:rPr>
        <w:t>Varroa</w:t>
      </w:r>
      <w:proofErr w:type="spellEnd"/>
      <w:r w:rsidRPr="008B135F">
        <w:t xml:space="preserve"> mite levels were reassessed after treatment, in early October. In 2018 and 2019, the mite levels were sufficiently low. In 2020, howeve</w:t>
      </w:r>
      <w:r w:rsidRPr="008B135F">
        <w:t>r, the mite levels at 5 of the 6 PA farms were well over the 1% threshold in both the conventional and organic management systems. Therefore, these colonies were treated with oxalic acid three times at 7-day intervals. The first of the three oxalic acid tr</w:t>
      </w:r>
      <w:r w:rsidRPr="008B135F">
        <w:t xml:space="preserve">eatments was oxalic acid dribble using 1:1 syrup with 35g oxalic acid crystals per liter at a rate of 50 ml per hive. The second and third treatments were via sublimation at a rate of 1 g oxalic acid crystals per hive using a </w:t>
      </w:r>
      <w:proofErr w:type="spellStart"/>
      <w:r w:rsidRPr="008B135F">
        <w:t>ProVap</w:t>
      </w:r>
      <w:proofErr w:type="spellEnd"/>
      <w:r w:rsidRPr="008B135F">
        <w:t xml:space="preserve"> vaporizer.</w:t>
      </w:r>
    </w:p>
    <w:p w:rsidR="00F92D8C" w:rsidRPr="008B135F" w:rsidRDefault="008B135F">
      <w:pPr>
        <w:widowControl w:val="0"/>
      </w:pPr>
      <w:r w:rsidRPr="008B135F">
        <w:t xml:space="preserve"> </w:t>
      </w:r>
    </w:p>
    <w:p w:rsidR="00F92D8C" w:rsidRPr="008B135F" w:rsidRDefault="008B135F">
      <w:pPr>
        <w:widowControl w:val="0"/>
        <w:rPr>
          <w:b/>
          <w:i/>
        </w:rPr>
      </w:pPr>
      <w:r w:rsidRPr="008B135F">
        <w:rPr>
          <w:b/>
          <w:i/>
        </w:rPr>
        <w:t xml:space="preserve"> </w:t>
      </w:r>
    </w:p>
    <w:p w:rsidR="00F92D8C" w:rsidRPr="008B135F" w:rsidRDefault="008B135F">
      <w:pPr>
        <w:widowControl w:val="0"/>
        <w:rPr>
          <w:b/>
        </w:rPr>
      </w:pPr>
      <w:proofErr w:type="spellStart"/>
      <w:r w:rsidRPr="008B135F">
        <w:rPr>
          <w:b/>
          <w:i/>
        </w:rPr>
        <w:t>Varroa</w:t>
      </w:r>
      <w:proofErr w:type="spellEnd"/>
      <w:r w:rsidRPr="008B135F">
        <w:rPr>
          <w:b/>
          <w:i/>
        </w:rPr>
        <w:t xml:space="preserve"> </w:t>
      </w:r>
      <w:r w:rsidRPr="008B135F">
        <w:rPr>
          <w:b/>
        </w:rPr>
        <w:t>m</w:t>
      </w:r>
      <w:r w:rsidRPr="008B135F">
        <w:rPr>
          <w:b/>
        </w:rPr>
        <w:t>ite quantifications</w:t>
      </w:r>
    </w:p>
    <w:p w:rsidR="00F92D8C" w:rsidRPr="008B135F" w:rsidRDefault="008B135F">
      <w:pPr>
        <w:widowControl w:val="0"/>
      </w:pPr>
      <w:r w:rsidRPr="008B135F">
        <w:t xml:space="preserve">For </w:t>
      </w:r>
      <w:proofErr w:type="spellStart"/>
      <w:r w:rsidRPr="008B135F">
        <w:rPr>
          <w:i/>
        </w:rPr>
        <w:t>Varroa</w:t>
      </w:r>
      <w:proofErr w:type="spellEnd"/>
      <w:r w:rsidRPr="008B135F">
        <w:rPr>
          <w:i/>
        </w:rPr>
        <w:t xml:space="preserve"> </w:t>
      </w:r>
      <w:r w:rsidRPr="008B135F">
        <w:t xml:space="preserve">quantification, we used alcohol wash of approximately 300 bees every month of the study </w:t>
      </w:r>
      <w:proofErr w:type="gramStart"/>
      <w:r w:rsidRPr="008B135F">
        <w:t>We</w:t>
      </w:r>
      <w:proofErr w:type="gramEnd"/>
      <w:r w:rsidRPr="008B135F">
        <w:t xml:space="preserve"> shook worker bees from a frame containing an abundance of 4th and 5th instar larvae, then scooped ½ cup of bees into a jar containing </w:t>
      </w:r>
      <w:r w:rsidRPr="008B135F">
        <w:t>alcohol. We shook the jar for 60 seconds, then drained the alcohol through a fine sieve while vigorously shaking the jar. We counted the number of mites that were removed from the bees during this alcohol wash procedure to estimate the infestation level of</w:t>
      </w:r>
      <w:r w:rsidRPr="008B135F">
        <w:t xml:space="preserve"> the mites, as is standard procedure.</w:t>
      </w:r>
    </w:p>
    <w:p w:rsidR="00F92D8C" w:rsidRPr="008B135F" w:rsidRDefault="008B135F">
      <w:pPr>
        <w:widowControl w:val="0"/>
      </w:pPr>
      <w:r w:rsidRPr="008B135F">
        <w:t xml:space="preserve"> </w:t>
      </w:r>
    </w:p>
    <w:p w:rsidR="00F92D8C" w:rsidRPr="008B135F" w:rsidRDefault="008B135F">
      <w:pPr>
        <w:widowControl w:val="0"/>
        <w:rPr>
          <w:b/>
          <w:i/>
        </w:rPr>
      </w:pPr>
      <w:r w:rsidRPr="008B135F">
        <w:rPr>
          <w:b/>
          <w:i/>
        </w:rPr>
        <w:t xml:space="preserve"> </w:t>
      </w:r>
    </w:p>
    <w:p w:rsidR="00F92D8C" w:rsidRPr="008B135F" w:rsidRDefault="008B135F">
      <w:pPr>
        <w:widowControl w:val="0"/>
        <w:rPr>
          <w:b/>
        </w:rPr>
      </w:pPr>
      <w:proofErr w:type="spellStart"/>
      <w:r w:rsidRPr="008B135F">
        <w:rPr>
          <w:b/>
          <w:i/>
        </w:rPr>
        <w:t>Vairimorpha</w:t>
      </w:r>
      <w:proofErr w:type="spellEnd"/>
      <w:r w:rsidRPr="008B135F">
        <w:rPr>
          <w:b/>
          <w:i/>
        </w:rPr>
        <w:t xml:space="preserve"> </w:t>
      </w:r>
      <w:proofErr w:type="spellStart"/>
      <w:r w:rsidRPr="008B135F">
        <w:rPr>
          <w:b/>
          <w:i/>
        </w:rPr>
        <w:t>ceranae</w:t>
      </w:r>
      <w:proofErr w:type="spellEnd"/>
      <w:r w:rsidRPr="008B135F">
        <w:rPr>
          <w:b/>
          <w:i/>
        </w:rPr>
        <w:t xml:space="preserve"> </w:t>
      </w:r>
      <w:r w:rsidRPr="008B135F">
        <w:rPr>
          <w:b/>
        </w:rPr>
        <w:t xml:space="preserve">and </w:t>
      </w:r>
      <w:proofErr w:type="spellStart"/>
      <w:r w:rsidRPr="008B135F">
        <w:rPr>
          <w:b/>
          <w:i/>
        </w:rPr>
        <w:t>Vairimorpha</w:t>
      </w:r>
      <w:proofErr w:type="spellEnd"/>
      <w:r w:rsidRPr="008B135F">
        <w:rPr>
          <w:b/>
          <w:i/>
        </w:rPr>
        <w:t xml:space="preserve"> </w:t>
      </w:r>
      <w:proofErr w:type="spellStart"/>
      <w:proofErr w:type="gramStart"/>
      <w:r w:rsidRPr="008B135F">
        <w:rPr>
          <w:b/>
          <w:i/>
        </w:rPr>
        <w:t>apis</w:t>
      </w:r>
      <w:proofErr w:type="spellEnd"/>
      <w:proofErr w:type="gramEnd"/>
      <w:r w:rsidRPr="008B135F">
        <w:rPr>
          <w:b/>
          <w:i/>
        </w:rPr>
        <w:t xml:space="preserve"> </w:t>
      </w:r>
      <w:r w:rsidRPr="008B135F">
        <w:rPr>
          <w:b/>
        </w:rPr>
        <w:t>quantification</w:t>
      </w:r>
    </w:p>
    <w:p w:rsidR="00F92D8C" w:rsidRPr="008B135F" w:rsidRDefault="008B135F">
      <w:pPr>
        <w:widowControl w:val="0"/>
        <w:spacing w:after="200"/>
        <w:jc w:val="both"/>
      </w:pPr>
      <w:r w:rsidRPr="008B135F">
        <w:t>Workers were sampled from a frame with an abundance of 4th and 5th instar larvae and stored in 75% ethanol. From each colony at each sampling period, DNA was extracted from 30 worker abdomens in pools of five abdomen for a total of six composite samples pe</w:t>
      </w:r>
      <w:r w:rsidRPr="008B135F">
        <w:t xml:space="preserve">r colony per sampling period. DNA was extracted using a Bender Buffer </w:t>
      </w:r>
      <w:proofErr w:type="spellStart"/>
      <w:r w:rsidRPr="008B135F">
        <w:t>lysis</w:t>
      </w:r>
      <w:proofErr w:type="spellEnd"/>
      <w:r w:rsidRPr="008B135F">
        <w:t xml:space="preserve"> and </w:t>
      </w:r>
      <w:proofErr w:type="spellStart"/>
      <w:r w:rsidRPr="008B135F">
        <w:t>phenol</w:t>
      </w:r>
      <w:proofErr w:type="gramStart"/>
      <w:r w:rsidRPr="008B135F">
        <w:t>:chloroform</w:t>
      </w:r>
      <w:proofErr w:type="spellEnd"/>
      <w:proofErr w:type="gramEnd"/>
      <w:r w:rsidRPr="008B135F">
        <w:t xml:space="preserve"> extraction as previously described (</w:t>
      </w:r>
      <w:proofErr w:type="spellStart"/>
      <w:r w:rsidRPr="008B135F">
        <w:t>Traver</w:t>
      </w:r>
      <w:proofErr w:type="spellEnd"/>
      <w:r w:rsidRPr="008B135F">
        <w:t xml:space="preserve"> et al. 2009). From each colony at each sampling period, DNA was extracted from 30 worker abdomens in pools of five </w:t>
      </w:r>
      <w:r w:rsidRPr="008B135F">
        <w:t xml:space="preserve">abdomens for a total of six composite samples per colony per sampling period. DNA was quantified and </w:t>
      </w:r>
      <w:proofErr w:type="spellStart"/>
      <w:r w:rsidRPr="008B135F">
        <w:t>qPCR</w:t>
      </w:r>
      <w:proofErr w:type="spellEnd"/>
      <w:r w:rsidRPr="008B135F">
        <w:t xml:space="preserve"> was performed with species-specific primers to determine whether </w:t>
      </w:r>
      <w:proofErr w:type="spellStart"/>
      <w:r w:rsidRPr="008B135F">
        <w:rPr>
          <w:i/>
        </w:rPr>
        <w:t>Vairimorpha</w:t>
      </w:r>
      <w:proofErr w:type="spellEnd"/>
      <w:r w:rsidRPr="008B135F">
        <w:rPr>
          <w:i/>
        </w:rPr>
        <w:t xml:space="preserve"> </w:t>
      </w:r>
      <w:proofErr w:type="spellStart"/>
      <w:r w:rsidRPr="008B135F">
        <w:rPr>
          <w:i/>
        </w:rPr>
        <w:t>ceranae</w:t>
      </w:r>
      <w:proofErr w:type="spellEnd"/>
      <w:r w:rsidRPr="008B135F">
        <w:rPr>
          <w:i/>
        </w:rPr>
        <w:t xml:space="preserve"> and </w:t>
      </w:r>
      <w:proofErr w:type="spellStart"/>
      <w:r w:rsidRPr="008B135F">
        <w:rPr>
          <w:i/>
        </w:rPr>
        <w:t>Vairimorpha</w:t>
      </w:r>
      <w:proofErr w:type="spellEnd"/>
      <w:r w:rsidRPr="008B135F">
        <w:rPr>
          <w:i/>
        </w:rPr>
        <w:t xml:space="preserve"> </w:t>
      </w:r>
      <w:proofErr w:type="spellStart"/>
      <w:proofErr w:type="gramStart"/>
      <w:r w:rsidRPr="008B135F">
        <w:rPr>
          <w:i/>
        </w:rPr>
        <w:t>apis</w:t>
      </w:r>
      <w:proofErr w:type="spellEnd"/>
      <w:proofErr w:type="gramEnd"/>
      <w:r w:rsidRPr="008B135F">
        <w:rPr>
          <w:i/>
        </w:rPr>
        <w:t xml:space="preserve"> </w:t>
      </w:r>
      <w:r w:rsidRPr="008B135F">
        <w:t xml:space="preserve">(formerly </w:t>
      </w:r>
      <w:proofErr w:type="spellStart"/>
      <w:r w:rsidRPr="008B135F">
        <w:rPr>
          <w:i/>
        </w:rPr>
        <w:t>Nosema</w:t>
      </w:r>
      <w:proofErr w:type="spellEnd"/>
      <w:r w:rsidRPr="008B135F">
        <w:rPr>
          <w:i/>
        </w:rPr>
        <w:t xml:space="preserve"> </w:t>
      </w:r>
      <w:proofErr w:type="spellStart"/>
      <w:r w:rsidRPr="008B135F">
        <w:rPr>
          <w:i/>
        </w:rPr>
        <w:t>ceranae</w:t>
      </w:r>
      <w:proofErr w:type="spellEnd"/>
      <w:r w:rsidRPr="008B135F">
        <w:t xml:space="preserve"> and </w:t>
      </w:r>
      <w:proofErr w:type="spellStart"/>
      <w:r w:rsidRPr="008B135F">
        <w:rPr>
          <w:i/>
        </w:rPr>
        <w:t>Nosema</w:t>
      </w:r>
      <w:proofErr w:type="spellEnd"/>
      <w:r w:rsidRPr="008B135F">
        <w:rPr>
          <w:i/>
        </w:rPr>
        <w:t xml:space="preserve"> </w:t>
      </w:r>
      <w:proofErr w:type="spellStart"/>
      <w:r w:rsidRPr="008B135F">
        <w:rPr>
          <w:i/>
        </w:rPr>
        <w:t>apis</w:t>
      </w:r>
      <w:proofErr w:type="spellEnd"/>
      <w:r w:rsidRPr="008B135F">
        <w:t xml:space="preserve">; </w:t>
      </w:r>
      <w:proofErr w:type="spellStart"/>
      <w:r w:rsidRPr="008B135F">
        <w:t>To</w:t>
      </w:r>
      <w:r w:rsidRPr="008B135F">
        <w:t>karev</w:t>
      </w:r>
      <w:proofErr w:type="spellEnd"/>
      <w:r w:rsidRPr="008B135F">
        <w:t xml:space="preserve"> et al. 2020). Standard curve quantitation was used to determine pathogen levels (</w:t>
      </w:r>
      <w:proofErr w:type="spellStart"/>
      <w:r w:rsidRPr="008B135F">
        <w:t>Traver</w:t>
      </w:r>
      <w:proofErr w:type="spellEnd"/>
      <w:r w:rsidRPr="008B135F">
        <w:t xml:space="preserve"> and Fell 2011).</w:t>
      </w:r>
    </w:p>
    <w:p w:rsidR="00F92D8C" w:rsidRPr="008B135F" w:rsidRDefault="008B135F">
      <w:pPr>
        <w:widowControl w:val="0"/>
        <w:rPr>
          <w:b/>
        </w:rPr>
      </w:pPr>
      <w:r w:rsidRPr="008B135F">
        <w:rPr>
          <w:b/>
        </w:rPr>
        <w:t xml:space="preserve"> </w:t>
      </w:r>
    </w:p>
    <w:p w:rsidR="00F92D8C" w:rsidRPr="008B135F" w:rsidRDefault="008B135F">
      <w:pPr>
        <w:widowControl w:val="0"/>
        <w:rPr>
          <w:b/>
        </w:rPr>
      </w:pPr>
      <w:r w:rsidRPr="008B135F">
        <w:rPr>
          <w:b/>
        </w:rPr>
        <w:t>Virus and gene expression quantification</w:t>
      </w:r>
    </w:p>
    <w:p w:rsidR="00F92D8C" w:rsidRPr="008B135F" w:rsidRDefault="008B135F">
      <w:pPr>
        <w:widowControl w:val="0"/>
        <w:jc w:val="both"/>
      </w:pPr>
      <w:r w:rsidRPr="008B135F">
        <w:t>Samples of in-hive worker bees were collected in October each year. We shook bees from frames with an a</w:t>
      </w:r>
      <w:r w:rsidRPr="008B135F">
        <w:t>bundance of 4th and 5th instar larvae into sampling bins and then collected bees in 50 mL conical tubes. We transported the samples from the field to the lab on dry ice until stored at - 80°C.</w:t>
      </w:r>
    </w:p>
    <w:p w:rsidR="00F92D8C" w:rsidRPr="008B135F" w:rsidRDefault="008B135F">
      <w:pPr>
        <w:widowControl w:val="0"/>
        <w:jc w:val="both"/>
      </w:pPr>
      <w:r w:rsidRPr="008B135F">
        <w:t xml:space="preserve"> </w:t>
      </w:r>
    </w:p>
    <w:p w:rsidR="00F92D8C" w:rsidRPr="008B135F" w:rsidRDefault="008B135F">
      <w:pPr>
        <w:widowControl w:val="0"/>
        <w:jc w:val="both"/>
      </w:pPr>
      <w:r w:rsidRPr="008B135F">
        <w:t>For RNA extraction, we removed the abdomens of 30 bees per co</w:t>
      </w:r>
      <w:r w:rsidRPr="008B135F">
        <w:t xml:space="preserve">lony. All dissections were performed in sterilized petri dishes. One sample per colony was created by pooling 30 abdomens from a colony in a plastic bag with 7 mL of Chaos buffer (4.5 M Guanidine </w:t>
      </w:r>
      <w:proofErr w:type="spellStart"/>
      <w:r w:rsidRPr="008B135F">
        <w:t>thiocyanate</w:t>
      </w:r>
      <w:proofErr w:type="spellEnd"/>
      <w:r w:rsidRPr="008B135F">
        <w:t>, N-</w:t>
      </w:r>
      <w:proofErr w:type="spellStart"/>
      <w:r w:rsidRPr="008B135F">
        <w:t>Lauroylsarcosine</w:t>
      </w:r>
      <w:proofErr w:type="spellEnd"/>
      <w:r w:rsidRPr="008B135F">
        <w:t xml:space="preserve"> sodium, EDTA, 0.1 M beta-</w:t>
      </w:r>
      <w:proofErr w:type="spellStart"/>
      <w:r w:rsidRPr="008B135F">
        <w:t>mer</w:t>
      </w:r>
      <w:r w:rsidRPr="008B135F">
        <w:t>captoethanol</w:t>
      </w:r>
      <w:proofErr w:type="spellEnd"/>
      <w:r w:rsidRPr="008B135F">
        <w:t xml:space="preserve">). Abdomens were crushed with a rolling pin for 30 seconds, and then a 300 </w:t>
      </w:r>
      <w:proofErr w:type="spellStart"/>
      <w:r w:rsidRPr="008B135F">
        <w:t>ulL</w:t>
      </w:r>
      <w:proofErr w:type="spellEnd"/>
      <w:r w:rsidRPr="008B135F">
        <w:t xml:space="preserve"> aliquot of buffer was transferred to a 1.7 mL centrifuge tube. An additional 100 </w:t>
      </w:r>
      <w:proofErr w:type="spellStart"/>
      <w:r w:rsidRPr="008B135F">
        <w:t>uL</w:t>
      </w:r>
      <w:proofErr w:type="spellEnd"/>
      <w:r w:rsidRPr="008B135F">
        <w:t xml:space="preserve"> of Chaos buffer was added to each sample and centrifuged for 3 minutes at 12000 x</w:t>
      </w:r>
      <w:r w:rsidRPr="008B135F">
        <w:t xml:space="preserve"> g (11.4 rpm). 200 </w:t>
      </w:r>
      <w:proofErr w:type="spellStart"/>
      <w:r w:rsidRPr="008B135F">
        <w:t>μuL</w:t>
      </w:r>
      <w:proofErr w:type="spellEnd"/>
      <w:r w:rsidRPr="008B135F">
        <w:t xml:space="preserve"> of supernatant was transferred to a new centrifuge tube and 200 </w:t>
      </w:r>
      <w:proofErr w:type="spellStart"/>
      <w:r w:rsidRPr="008B135F">
        <w:t>uL</w:t>
      </w:r>
      <w:proofErr w:type="spellEnd"/>
      <w:r w:rsidRPr="008B135F">
        <w:t xml:space="preserve"> of 95-100% ethanol was added to the tube. RNA was extracted from this homogenate using the </w:t>
      </w:r>
      <w:proofErr w:type="spellStart"/>
      <w:r w:rsidRPr="008B135F">
        <w:t>Zymo</w:t>
      </w:r>
      <w:proofErr w:type="spellEnd"/>
      <w:r w:rsidRPr="008B135F">
        <w:t xml:space="preserve"> Quick-RNA </w:t>
      </w:r>
      <w:proofErr w:type="spellStart"/>
      <w:r w:rsidRPr="008B135F">
        <w:t>Microprep</w:t>
      </w:r>
      <w:proofErr w:type="spellEnd"/>
      <w:r w:rsidRPr="008B135F">
        <w:t xml:space="preserve"> Kit (Catalog number R1050) according to the manufa</w:t>
      </w:r>
      <w:r w:rsidRPr="008B135F">
        <w:t xml:space="preserve">cturer’s protocol and eluted into 30 µl </w:t>
      </w:r>
      <w:proofErr w:type="spellStart"/>
      <w:r w:rsidRPr="008B135F">
        <w:t>DNase</w:t>
      </w:r>
      <w:proofErr w:type="spellEnd"/>
      <w:r w:rsidRPr="008B135F">
        <w:t>/</w:t>
      </w:r>
      <w:proofErr w:type="spellStart"/>
      <w:r w:rsidRPr="008B135F">
        <w:t>RNase</w:t>
      </w:r>
      <w:proofErr w:type="spellEnd"/>
      <w:r w:rsidRPr="008B135F">
        <w:t xml:space="preserve">-Free Water. Quality and quantity of the RNA was assessed using a </w:t>
      </w:r>
      <w:proofErr w:type="spellStart"/>
      <w:r w:rsidRPr="008B135F">
        <w:t>SpectraMax</w:t>
      </w:r>
      <w:proofErr w:type="spellEnd"/>
      <w:r w:rsidRPr="008B135F">
        <w:t xml:space="preserve"> iD3 Multi-Mode </w:t>
      </w:r>
      <w:proofErr w:type="spellStart"/>
      <w:r w:rsidRPr="008B135F">
        <w:t>Microplate</w:t>
      </w:r>
      <w:proofErr w:type="spellEnd"/>
      <w:r w:rsidRPr="008B135F">
        <w:t xml:space="preserve"> Reader (Molecular Devices, San Jose, CA).</w:t>
      </w:r>
    </w:p>
    <w:p w:rsidR="00F92D8C" w:rsidRPr="008B135F" w:rsidRDefault="008B135F">
      <w:pPr>
        <w:widowControl w:val="0"/>
        <w:jc w:val="both"/>
        <w:rPr>
          <w:i/>
        </w:rPr>
      </w:pPr>
      <w:r w:rsidRPr="008B135F">
        <w:rPr>
          <w:i/>
        </w:rPr>
        <w:t xml:space="preserve"> </w:t>
      </w:r>
    </w:p>
    <w:p w:rsidR="00F92D8C" w:rsidRPr="008B135F" w:rsidRDefault="008B135F">
      <w:pPr>
        <w:widowControl w:val="0"/>
        <w:jc w:val="both"/>
        <w:rPr>
          <w:i/>
        </w:rPr>
      </w:pPr>
      <w:r w:rsidRPr="008B135F">
        <w:rPr>
          <w:i/>
        </w:rPr>
        <w:t xml:space="preserve">Reverse transcription and </w:t>
      </w:r>
      <w:proofErr w:type="spellStart"/>
      <w:r w:rsidRPr="008B135F">
        <w:rPr>
          <w:i/>
        </w:rPr>
        <w:t>qPCR</w:t>
      </w:r>
      <w:proofErr w:type="spellEnd"/>
    </w:p>
    <w:p w:rsidR="00F92D8C" w:rsidRPr="008B135F" w:rsidRDefault="008B135F">
      <w:pPr>
        <w:widowControl w:val="0"/>
        <w:jc w:val="both"/>
      </w:pPr>
      <w:r w:rsidRPr="008B135F">
        <w:t>We quantified the viral load of the two pathogens and the expression of the four genes through quantitative reverse-transcription PCR (</w:t>
      </w:r>
      <w:proofErr w:type="spellStart"/>
      <w:r w:rsidRPr="008B135F">
        <w:t>qRT</w:t>
      </w:r>
      <w:proofErr w:type="spellEnd"/>
      <w:r w:rsidRPr="008B135F">
        <w:t xml:space="preserve">-PCR) using previously-developed primer sequences (Table S1). Before </w:t>
      </w:r>
      <w:proofErr w:type="spellStart"/>
      <w:r w:rsidRPr="008B135F">
        <w:t>qRT</w:t>
      </w:r>
      <w:proofErr w:type="spellEnd"/>
      <w:r w:rsidRPr="008B135F">
        <w:t xml:space="preserve">-PCR could be conducted, RNA extractions from </w:t>
      </w:r>
      <w:r w:rsidRPr="008B135F">
        <w:t xml:space="preserve">each colony were used as templates to generate complementary DNA. </w:t>
      </w:r>
      <w:proofErr w:type="gramStart"/>
      <w:r w:rsidRPr="008B135F">
        <w:t>cDNA</w:t>
      </w:r>
      <w:proofErr w:type="gramEnd"/>
      <w:r w:rsidRPr="008B135F">
        <w:t xml:space="preserve"> was synthesized from 2 µg of RNA using random primers and </w:t>
      </w:r>
      <w:proofErr w:type="spellStart"/>
      <w:r w:rsidRPr="008B135F">
        <w:t>MultiScribe</w:t>
      </w:r>
      <w:proofErr w:type="spellEnd"/>
      <w:r w:rsidRPr="008B135F">
        <w:t xml:space="preserve"> RT, following the manufacturer’s protocol (Applied </w:t>
      </w:r>
      <w:proofErr w:type="spellStart"/>
      <w:r w:rsidRPr="008B135F">
        <w:t>Biosystems</w:t>
      </w:r>
      <w:proofErr w:type="spellEnd"/>
      <w:r w:rsidRPr="008B135F">
        <w:t xml:space="preserve">, Foster City, CA). </w:t>
      </w:r>
      <w:proofErr w:type="spellStart"/>
      <w:proofErr w:type="gramStart"/>
      <w:r w:rsidRPr="008B135F">
        <w:t>qRT</w:t>
      </w:r>
      <w:proofErr w:type="spellEnd"/>
      <w:r w:rsidRPr="008B135F">
        <w:t>-PCR</w:t>
      </w:r>
      <w:proofErr w:type="gramEnd"/>
      <w:r w:rsidRPr="008B135F">
        <w:t xml:space="preserve"> reactions were carried out</w:t>
      </w:r>
      <w:r w:rsidRPr="008B135F">
        <w:t xml:space="preserve"> in 384 well plates using a </w:t>
      </w:r>
      <w:proofErr w:type="spellStart"/>
      <w:r w:rsidRPr="008B135F">
        <w:t>QuantStudio</w:t>
      </w:r>
      <w:proofErr w:type="spellEnd"/>
      <w:r w:rsidRPr="008B135F">
        <w:t xml:space="preserve"> 5 Real-Time PCR System (Applied </w:t>
      </w:r>
      <w:proofErr w:type="spellStart"/>
      <w:r w:rsidRPr="008B135F">
        <w:t>Biosystems</w:t>
      </w:r>
      <w:proofErr w:type="spellEnd"/>
      <w:r w:rsidRPr="008B135F">
        <w:t xml:space="preserve">). Each well contained 5 µl of </w:t>
      </w:r>
      <w:proofErr w:type="spellStart"/>
      <w:r w:rsidRPr="008B135F">
        <w:t>qPCR</w:t>
      </w:r>
      <w:proofErr w:type="spellEnd"/>
      <w:r w:rsidRPr="008B135F">
        <w:t xml:space="preserve"> Master Mix, 0.25 µl of each of the forward and reverse primers (10 µM), 2.5 µl nuclease-free H 2 O, and 2 µl cDNA template. Reactions were</w:t>
      </w:r>
      <w:r w:rsidRPr="008B135F">
        <w:t xml:space="preserve"> carried out under the following conditions: 60s at 95°C for initial denaturation, then 40 cycles of 15s at 95°C for denaturation, and 30s at 60°C for annealing, extension, and data collection followed by a melting curve analysis of 15s at 95°C, 60s at 60°</w:t>
      </w:r>
      <w:r w:rsidRPr="008B135F">
        <w:t>C, and 1s at 95°C to determine the specificity of amplification products. All reactions were run in triplicate and each plate included negative controls of nuclease-free water for each set of primers. Elongation factor 1-alpha (ef1-alpha) was determined to</w:t>
      </w:r>
      <w:r w:rsidRPr="008B135F">
        <w:t xml:space="preserve"> be a suitable reference gene due to its similar level of expression in all samples, and was used as the reference gene for these experiments.</w:t>
      </w:r>
    </w:p>
    <w:p w:rsidR="00F92D8C" w:rsidRPr="008B135F" w:rsidRDefault="008B135F">
      <w:pPr>
        <w:widowControl w:val="0"/>
        <w:jc w:val="both"/>
        <w:rPr>
          <w:i/>
        </w:rPr>
      </w:pPr>
      <w:r w:rsidRPr="008B135F">
        <w:rPr>
          <w:i/>
        </w:rPr>
        <w:t xml:space="preserve"> </w:t>
      </w:r>
    </w:p>
    <w:p w:rsidR="00F92D8C" w:rsidRDefault="008B135F">
      <w:pPr>
        <w:widowControl w:val="0"/>
        <w:jc w:val="both"/>
      </w:pPr>
      <w:r w:rsidRPr="008B135F">
        <w:t>The Ct value for each sample was determined by taking the mean of the three technical replicates. We subtracted</w:t>
      </w:r>
      <w:r w:rsidRPr="008B135F">
        <w:t xml:space="preserve"> the Ct value of the reference gene from the Ct value of target genes to generate </w:t>
      </w:r>
      <w:proofErr w:type="spellStart"/>
      <w:r w:rsidRPr="008B135F">
        <w:t>ΔCt</w:t>
      </w:r>
      <w:proofErr w:type="spellEnd"/>
      <w:r w:rsidRPr="008B135F">
        <w:t xml:space="preserve"> values for each sample.</w:t>
      </w:r>
    </w:p>
    <w:p w:rsidR="00F92D8C" w:rsidRDefault="00F92D8C">
      <w:pPr>
        <w:widowControl w:val="0"/>
        <w:pBdr>
          <w:top w:val="nil"/>
          <w:left w:val="nil"/>
          <w:bottom w:val="nil"/>
          <w:right w:val="nil"/>
          <w:between w:val="nil"/>
        </w:pBdr>
      </w:pPr>
    </w:p>
    <w:p w:rsidR="00F92D8C" w:rsidRDefault="00F92D8C">
      <w:pPr>
        <w:widowControl w:val="0"/>
        <w:pBdr>
          <w:top w:val="nil"/>
          <w:left w:val="nil"/>
          <w:bottom w:val="nil"/>
          <w:right w:val="nil"/>
          <w:between w:val="nil"/>
        </w:pBdr>
      </w:pPr>
    </w:p>
    <w:p w:rsidR="00F92D8C" w:rsidRDefault="00F92D8C">
      <w:pPr>
        <w:widowControl w:val="0"/>
        <w:pBdr>
          <w:top w:val="nil"/>
          <w:left w:val="nil"/>
          <w:bottom w:val="nil"/>
          <w:right w:val="nil"/>
          <w:between w:val="nil"/>
        </w:pBdr>
      </w:pPr>
    </w:p>
    <w:sectPr w:rsidR="00F92D8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B135F">
      <w:pPr>
        <w:spacing w:line="240" w:lineRule="auto"/>
      </w:pPr>
      <w:r>
        <w:separator/>
      </w:r>
    </w:p>
  </w:endnote>
  <w:endnote w:type="continuationSeparator" w:id="0">
    <w:p w:rsidR="00000000" w:rsidRDefault="008B13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D8C" w:rsidRDefault="008B135F">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B135F">
      <w:pPr>
        <w:spacing w:line="240" w:lineRule="auto"/>
      </w:pPr>
      <w:r>
        <w:separator/>
      </w:r>
    </w:p>
  </w:footnote>
  <w:footnote w:type="continuationSeparator" w:id="0">
    <w:p w:rsidR="00000000" w:rsidRDefault="008B135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D8C" w:rsidRDefault="00F92D8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D8C"/>
    <w:rsid w:val="008B135F"/>
    <w:rsid w:val="00F92D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4858F5-2EB7-41A1-A96E-7BB33B843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2310</Words>
  <Characters>13169</Characters>
  <Application>Microsoft Office Word</Application>
  <DocSecurity>0</DocSecurity>
  <Lines>109</Lines>
  <Paragraphs>30</Paragraphs>
  <ScaleCrop>false</ScaleCrop>
  <Company>HP Inc.</Company>
  <LinksUpToDate>false</LinksUpToDate>
  <CharactersWithSpaces>15449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Kiruthika S.</cp:lastModifiedBy>
  <cp:revision>2</cp:revision>
  <dcterms:created xsi:type="dcterms:W3CDTF">2023-04-03T17:24:00Z</dcterms:created>
  <dcterms:modified xsi:type="dcterms:W3CDTF">2023-04-03T17:25:00Z</dcterms:modified>
</cp:coreProperties>
</file>