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D6E21" w14:textId="25903F76" w:rsidR="58FD0E8F" w:rsidRDefault="58FD0E8F" w:rsidP="419D0EAB">
      <w:pPr>
        <w:spacing w:line="360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proofErr w:type="spellStart"/>
      <w:r w:rsidRPr="419D0EAB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SproutAngio</w:t>
      </w:r>
      <w:proofErr w:type="spellEnd"/>
      <w:r w:rsidRPr="419D0EAB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: An Open-Source Bioimage Informatics Tool for Quantitative Analysis of Sprouting Angiogenesis and Lumen Space</w:t>
      </w:r>
    </w:p>
    <w:p w14:paraId="3B199091" w14:textId="2C2DB30C" w:rsidR="58FD0E8F" w:rsidRDefault="58FD0E8F" w:rsidP="419D0EAB">
      <w:pPr>
        <w:spacing w:line="360" w:lineRule="auto"/>
        <w:rPr>
          <w:rFonts w:ascii="Calibri" w:eastAsia="Calibri" w:hAnsi="Calibri" w:cs="Calibri"/>
          <w:color w:val="000000" w:themeColor="text1"/>
          <w:sz w:val="24"/>
          <w:szCs w:val="24"/>
          <w:vertAlign w:val="superscript"/>
        </w:rPr>
      </w:pPr>
      <w:r w:rsidRPr="419D0EAB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Authors:</w:t>
      </w:r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>Beter</w:t>
      </w:r>
      <w:proofErr w:type="spellEnd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M., </w:t>
      </w:r>
      <w:proofErr w:type="spellStart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>Abdollahzadeh</w:t>
      </w:r>
      <w:proofErr w:type="spellEnd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A., </w:t>
      </w:r>
      <w:proofErr w:type="spellStart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>Pulkkinen</w:t>
      </w:r>
      <w:proofErr w:type="spellEnd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HH, Huang H., </w:t>
      </w:r>
      <w:proofErr w:type="spellStart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>Orsenigo</w:t>
      </w:r>
      <w:proofErr w:type="spellEnd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F., Magnusson PU, </w:t>
      </w:r>
      <w:proofErr w:type="spellStart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>Ylä-Herttuala</w:t>
      </w:r>
      <w:proofErr w:type="spellEnd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S., </w:t>
      </w:r>
      <w:proofErr w:type="spellStart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>Tohka</w:t>
      </w:r>
      <w:proofErr w:type="spellEnd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J., </w:t>
      </w:r>
      <w:proofErr w:type="spellStart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>Laakkonen</w:t>
      </w:r>
      <w:proofErr w:type="spellEnd"/>
      <w:r w:rsidRPr="419D0EA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JP.</w:t>
      </w:r>
    </w:p>
    <w:p w14:paraId="401CA6D9" w14:textId="4CFF1376" w:rsidR="00486278" w:rsidRDefault="00486278" w:rsidP="419D0EAB">
      <w:pPr>
        <w:spacing w:line="360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6719B9BA">
        <w:rPr>
          <w:rFonts w:ascii="Calibri" w:eastAsia="Calibri" w:hAnsi="Calibri" w:cs="Calibri"/>
          <w:b/>
          <w:bCs/>
          <w:sz w:val="28"/>
          <w:szCs w:val="28"/>
        </w:rPr>
        <w:t>SUPPLEMENTA</w:t>
      </w:r>
      <w:r w:rsidR="278A6313" w:rsidRPr="6719B9BA">
        <w:rPr>
          <w:rFonts w:ascii="Calibri" w:eastAsia="Calibri" w:hAnsi="Calibri" w:cs="Calibri"/>
          <w:b/>
          <w:bCs/>
          <w:sz w:val="28"/>
          <w:szCs w:val="28"/>
        </w:rPr>
        <w:t>RY</w:t>
      </w:r>
      <w:r w:rsidRPr="6719B9BA">
        <w:rPr>
          <w:rFonts w:ascii="Calibri" w:eastAsia="Calibri" w:hAnsi="Calibri" w:cs="Calibri"/>
          <w:b/>
          <w:bCs/>
          <w:sz w:val="28"/>
          <w:szCs w:val="28"/>
        </w:rPr>
        <w:t xml:space="preserve"> FIGURES</w:t>
      </w:r>
    </w:p>
    <w:p w14:paraId="6FA2C15E" w14:textId="1C247EBE" w:rsidR="00486278" w:rsidRDefault="305972F6" w:rsidP="0BB078D2">
      <w:pPr>
        <w:spacing w:line="360" w:lineRule="auto"/>
      </w:pPr>
      <w:r>
        <w:rPr>
          <w:noProof/>
        </w:rPr>
        <w:drawing>
          <wp:inline distT="0" distB="0" distL="0" distR="0" wp14:anchorId="35D560BC" wp14:editId="163ABA5A">
            <wp:extent cx="5505450" cy="1204317"/>
            <wp:effectExtent l="0" t="0" r="0" b="0"/>
            <wp:docPr id="1373911813" name="Picture 137391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120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123C4" w14:textId="42A52AA4" w:rsidR="00486278" w:rsidRDefault="00486278" w:rsidP="00486278">
      <w:pPr>
        <w:spacing w:line="240" w:lineRule="auto"/>
        <w:jc w:val="both"/>
      </w:pPr>
      <w:r w:rsidRPr="6719B9BA">
        <w:rPr>
          <w:b/>
          <w:bCs/>
        </w:rPr>
        <w:t>Supplementa</w:t>
      </w:r>
      <w:r w:rsidR="181C4CB7" w:rsidRPr="6719B9BA">
        <w:rPr>
          <w:b/>
          <w:bCs/>
        </w:rPr>
        <w:t>ry</w:t>
      </w:r>
      <w:r w:rsidRPr="6719B9BA">
        <w:rPr>
          <w:b/>
          <w:bCs/>
        </w:rPr>
        <w:t xml:space="preserve"> Figure 1</w:t>
      </w:r>
      <w:r>
        <w:t>: The comparison of accuracy scores between our automated analysis results and ImageJ Sprout Morphology plugin results</w:t>
      </w:r>
      <w:r w:rsidR="5346A9A5">
        <w:t xml:space="preserve"> </w:t>
      </w:r>
      <w:r>
        <w:t>for each VEGF-A treatment group (0-50 ng/ml) in fibrin bead assay.</w:t>
      </w:r>
      <w:r w:rsidR="71C5E601">
        <w:t xml:space="preserve"> Accuracy scores were calculated using manual measurement</w:t>
      </w:r>
      <w:r w:rsidR="5C01B67E">
        <w:t>s</w:t>
      </w:r>
      <w:r w:rsidR="71C5E601">
        <w:t>.</w:t>
      </w:r>
      <w:r>
        <w:t xml:space="preserve"> </w:t>
      </w:r>
      <w:bookmarkStart w:id="0" w:name="_Int_E82Wc4CH"/>
      <w:r>
        <w:t>Scale 0-1, 1 being the ground truth.</w:t>
      </w:r>
      <w:bookmarkEnd w:id="0"/>
      <w:r>
        <w:t xml:space="preserve"> </w:t>
      </w:r>
    </w:p>
    <w:p w14:paraId="4525F058" w14:textId="77777777" w:rsidR="00486278" w:rsidRDefault="00486278" w:rsidP="00486278">
      <w:pPr>
        <w:spacing w:line="360" w:lineRule="auto"/>
      </w:pPr>
    </w:p>
    <w:p w14:paraId="5B822726" w14:textId="59BED90B" w:rsidR="00486278" w:rsidRDefault="1C9C8D0A" w:rsidP="60F9020B">
      <w:pPr>
        <w:spacing w:line="360" w:lineRule="auto"/>
      </w:pPr>
      <w:r>
        <w:rPr>
          <w:noProof/>
        </w:rPr>
        <w:drawing>
          <wp:inline distT="0" distB="0" distL="0" distR="0" wp14:anchorId="2F15334A" wp14:editId="04B16044">
            <wp:extent cx="5543548" cy="1778556"/>
            <wp:effectExtent l="0" t="0" r="0" b="0"/>
            <wp:docPr id="622322453" name="Picture 622322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48" cy="177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4CC13" w14:textId="4F9D83BF" w:rsidR="00486278" w:rsidRPr="00883E01" w:rsidRDefault="00486278" w:rsidP="60F9020B">
      <w:pPr>
        <w:spacing w:line="240" w:lineRule="auto"/>
        <w:jc w:val="both"/>
      </w:pPr>
      <w:r w:rsidRPr="6719B9BA">
        <w:rPr>
          <w:b/>
          <w:bCs/>
        </w:rPr>
        <w:t>Supplementa</w:t>
      </w:r>
      <w:r w:rsidR="02E474A9" w:rsidRPr="6719B9BA">
        <w:rPr>
          <w:b/>
          <w:bCs/>
        </w:rPr>
        <w:t>ry</w:t>
      </w:r>
      <w:r w:rsidRPr="6719B9BA">
        <w:rPr>
          <w:b/>
          <w:bCs/>
        </w:rPr>
        <w:t xml:space="preserve"> Figure 2</w:t>
      </w:r>
      <w:r>
        <w:t xml:space="preserve">: Representative image showing the 3D segmentation of sprouts by </w:t>
      </w:r>
      <w:proofErr w:type="spellStart"/>
      <w:r>
        <w:t>SproutAngio</w:t>
      </w:r>
      <w:proofErr w:type="spellEnd"/>
      <w:r w:rsidR="4E2F404C">
        <w:t>, s</w:t>
      </w:r>
      <w:r w:rsidR="4E2F404C" w:rsidRPr="6719B9BA">
        <w:rPr>
          <w:rFonts w:ascii="Calibri" w:eastAsia="Calibri" w:hAnsi="Calibri" w:cs="Calibri"/>
          <w:color w:val="000000" w:themeColor="text1"/>
        </w:rPr>
        <w:t>cale bar: 200 µm</w:t>
      </w:r>
      <w:r>
        <w:t xml:space="preserve"> (left figure). Sprout volume measurements from the fibrin bead assay confocal microscopy images are shown on the right for each VEGF-A treatment group (0-50 ng/ml). </w:t>
      </w:r>
      <w:r w:rsidRPr="6719B9BA">
        <w:rPr>
          <w:rFonts w:ascii="Calibri" w:eastAsia="Calibri" w:hAnsi="Calibri" w:cs="Calibri"/>
        </w:rPr>
        <w:t>Each treatment group has 10-x images. Kruskal-Wallis test was used to determine the statistical significance. ** p&lt;0.01.</w:t>
      </w:r>
    </w:p>
    <w:p w14:paraId="3DB5C4A0" w14:textId="77777777" w:rsidR="00486278" w:rsidRDefault="00486278" w:rsidP="00486278">
      <w:pPr>
        <w:spacing w:line="360" w:lineRule="auto"/>
        <w:rPr>
          <w:rFonts w:ascii="Calibri" w:eastAsia="Calibri" w:hAnsi="Calibri" w:cs="Calibri"/>
        </w:rPr>
      </w:pPr>
    </w:p>
    <w:p w14:paraId="01451229" w14:textId="07A30B87" w:rsidR="00486278" w:rsidRDefault="0E9E90AD" w:rsidP="60F9020B">
      <w:r>
        <w:rPr>
          <w:noProof/>
        </w:rPr>
        <w:lastRenderedPageBreak/>
        <w:drawing>
          <wp:inline distT="0" distB="0" distL="0" distR="0" wp14:anchorId="2D6F1582" wp14:editId="6E8DBE39">
            <wp:extent cx="5332732" cy="2499717"/>
            <wp:effectExtent l="0" t="0" r="0" b="0"/>
            <wp:docPr id="446666702" name="Picture 446666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2732" cy="2499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64ED0" w14:textId="1EFADC81" w:rsidR="00486278" w:rsidRDefault="00486278" w:rsidP="00486278">
      <w:pPr>
        <w:spacing w:line="240" w:lineRule="auto"/>
        <w:jc w:val="both"/>
      </w:pPr>
      <w:r w:rsidRPr="6719B9BA">
        <w:rPr>
          <w:b/>
          <w:bCs/>
        </w:rPr>
        <w:t>Supplementa</w:t>
      </w:r>
      <w:r w:rsidR="50B0A331" w:rsidRPr="6719B9BA">
        <w:rPr>
          <w:b/>
          <w:bCs/>
        </w:rPr>
        <w:t>ry</w:t>
      </w:r>
      <w:r w:rsidRPr="6719B9BA">
        <w:rPr>
          <w:b/>
          <w:bCs/>
        </w:rPr>
        <w:t xml:space="preserve"> Figure 3:</w:t>
      </w:r>
      <w:r>
        <w:t xml:space="preserve"> Representative intensity profiles from cross-sections of 10ng/ml VEGF-A and 20ng/ml VEGF-A samples used in Fig. 3A. The cell membrane was labelled using </w:t>
      </w:r>
      <w:proofErr w:type="spellStart"/>
      <w:r>
        <w:t>podocalyxin</w:t>
      </w:r>
      <w:proofErr w:type="spellEnd"/>
      <w:r>
        <w:t xml:space="preserve">. The lower intensities are detected in the middle of the sprouts, implicating the presence of the endothelial lumen. The intensity profiles were measured by the </w:t>
      </w:r>
      <w:proofErr w:type="spellStart"/>
      <w:r>
        <w:t>Napari</w:t>
      </w:r>
      <w:proofErr w:type="spellEnd"/>
      <w:r>
        <w:t>-Plot-Profile plugin.</w:t>
      </w:r>
    </w:p>
    <w:p w14:paraId="14C02E03" w14:textId="51B584B9" w:rsidR="47A821DF" w:rsidRDefault="47A821DF" w:rsidP="163ABA5A">
      <w:pPr>
        <w:spacing w:line="240" w:lineRule="auto"/>
        <w:jc w:val="both"/>
      </w:pPr>
    </w:p>
    <w:p w14:paraId="3F6253E4" w14:textId="5A17F0E9" w:rsidR="43A08E82" w:rsidRDefault="43A08E82" w:rsidP="03B01037">
      <w:pPr>
        <w:spacing w:line="240" w:lineRule="auto"/>
        <w:jc w:val="both"/>
      </w:pPr>
      <w:r>
        <w:rPr>
          <w:noProof/>
        </w:rPr>
        <w:drawing>
          <wp:inline distT="0" distB="0" distL="0" distR="0" wp14:anchorId="3A97BC2B" wp14:editId="43A08E82">
            <wp:extent cx="5410748" cy="3133725"/>
            <wp:effectExtent l="0" t="0" r="0" b="0"/>
            <wp:docPr id="982976318" name="Picture 982976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748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D5D51" w14:textId="55BA06DE" w:rsidR="47A821DF" w:rsidRDefault="73E527A2" w:rsidP="163ABA5A">
      <w:pPr>
        <w:spacing w:line="240" w:lineRule="auto"/>
        <w:jc w:val="both"/>
      </w:pPr>
      <w:r w:rsidRPr="00F250C2">
        <w:rPr>
          <w:b/>
          <w:bCs/>
        </w:rPr>
        <w:t>Supplementa</w:t>
      </w:r>
      <w:r w:rsidR="6CD8DD01" w:rsidRPr="00F250C2">
        <w:rPr>
          <w:b/>
          <w:bCs/>
        </w:rPr>
        <w:t>ry</w:t>
      </w:r>
      <w:r w:rsidRPr="00F250C2">
        <w:rPr>
          <w:b/>
          <w:bCs/>
        </w:rPr>
        <w:t xml:space="preserve"> Figure 4:</w:t>
      </w:r>
      <w:r w:rsidRPr="00F250C2">
        <w:t xml:space="preserve"> </w:t>
      </w:r>
      <w:r w:rsidR="7E1AC70E" w:rsidRPr="00F250C2">
        <w:rPr>
          <w:b/>
          <w:bCs/>
        </w:rPr>
        <w:t>A)</w:t>
      </w:r>
      <w:r w:rsidR="7E1AC70E" w:rsidRPr="00F250C2">
        <w:t xml:space="preserve"> </w:t>
      </w:r>
      <w:r w:rsidR="34AF9925" w:rsidRPr="00F250C2">
        <w:t>M</w:t>
      </w:r>
      <w:r w:rsidR="594E9136" w:rsidRPr="00F250C2">
        <w:rPr>
          <w:rFonts w:ascii="Calibri" w:eastAsia="Calibri" w:hAnsi="Calibri" w:cs="Calibri"/>
          <w:color w:val="000000" w:themeColor="text1"/>
        </w:rPr>
        <w:t>anual measure</w:t>
      </w:r>
      <w:r w:rsidR="7F817C64" w:rsidRPr="00F250C2">
        <w:rPr>
          <w:rFonts w:ascii="Calibri" w:eastAsia="Calibri" w:hAnsi="Calibri" w:cs="Calibri"/>
          <w:color w:val="000000" w:themeColor="text1"/>
        </w:rPr>
        <w:t>ment of</w:t>
      </w:r>
      <w:r w:rsidR="594E9136" w:rsidRPr="00F250C2">
        <w:rPr>
          <w:rFonts w:ascii="Calibri" w:eastAsia="Calibri" w:hAnsi="Calibri" w:cs="Calibri"/>
          <w:color w:val="000000" w:themeColor="text1"/>
        </w:rPr>
        <w:t xml:space="preserve"> the sprout width at</w:t>
      </w:r>
      <w:r w:rsidR="44E9FE75" w:rsidRPr="00F250C2">
        <w:rPr>
          <w:rFonts w:ascii="Calibri" w:eastAsia="Calibri" w:hAnsi="Calibri" w:cs="Calibri"/>
          <w:color w:val="000000" w:themeColor="text1"/>
        </w:rPr>
        <w:t xml:space="preserve"> the center of the sprouts</w:t>
      </w:r>
      <w:r w:rsidR="4A31292D" w:rsidRPr="00F250C2">
        <w:rPr>
          <w:rFonts w:ascii="Calibri" w:eastAsia="Calibri" w:hAnsi="Calibri" w:cs="Calibri"/>
          <w:color w:val="000000" w:themeColor="text1"/>
        </w:rPr>
        <w:t xml:space="preserve"> (stalk width)</w:t>
      </w:r>
      <w:r w:rsidR="44E9FE75" w:rsidRPr="00F250C2">
        <w:rPr>
          <w:rFonts w:ascii="Calibri" w:eastAsia="Calibri" w:hAnsi="Calibri" w:cs="Calibri"/>
          <w:color w:val="000000" w:themeColor="text1"/>
        </w:rPr>
        <w:t xml:space="preserve"> </w:t>
      </w:r>
      <w:r w:rsidR="51C95F9B" w:rsidRPr="00F250C2">
        <w:rPr>
          <w:rFonts w:ascii="Calibri" w:eastAsia="Calibri" w:hAnsi="Calibri" w:cs="Calibri"/>
          <w:color w:val="000000" w:themeColor="text1"/>
        </w:rPr>
        <w:t xml:space="preserve">for </w:t>
      </w:r>
      <w:r w:rsidR="594E9136" w:rsidRPr="00F250C2">
        <w:rPr>
          <w:rFonts w:ascii="Calibri" w:eastAsia="Calibri" w:hAnsi="Calibri" w:cs="Calibri"/>
          <w:color w:val="000000" w:themeColor="text1"/>
        </w:rPr>
        <w:t>the VEGF-A treatment groups</w:t>
      </w:r>
      <w:r w:rsidR="2DF45066" w:rsidRPr="00F250C2">
        <w:rPr>
          <w:rFonts w:ascii="Calibri" w:eastAsia="Calibri" w:hAnsi="Calibri" w:cs="Calibri"/>
          <w:color w:val="000000" w:themeColor="text1"/>
        </w:rPr>
        <w:t>.</w:t>
      </w:r>
      <w:r w:rsidR="43D2FF8C" w:rsidRPr="00F250C2">
        <w:rPr>
          <w:rFonts w:ascii="Calibri" w:eastAsia="Calibri" w:hAnsi="Calibri" w:cs="Calibri"/>
          <w:color w:val="000000" w:themeColor="text1"/>
        </w:rPr>
        <w:t xml:space="preserve"> </w:t>
      </w:r>
      <w:r w:rsidR="43D2FF8C" w:rsidRPr="00F250C2">
        <w:rPr>
          <w:rFonts w:ascii="Calibri" w:eastAsia="Calibri" w:hAnsi="Calibri" w:cs="Calibri"/>
          <w:b/>
          <w:bCs/>
          <w:color w:val="000000" w:themeColor="text1"/>
        </w:rPr>
        <w:t>B)</w:t>
      </w:r>
      <w:r w:rsidR="43D2FF8C" w:rsidRPr="00F250C2">
        <w:rPr>
          <w:rFonts w:ascii="Calibri" w:eastAsia="Calibri" w:hAnsi="Calibri" w:cs="Calibri"/>
          <w:color w:val="000000" w:themeColor="text1"/>
        </w:rPr>
        <w:t xml:space="preserve"> </w:t>
      </w:r>
      <w:r w:rsidR="23257225" w:rsidRPr="00F250C2">
        <w:rPr>
          <w:rFonts w:ascii="Calibri" w:eastAsia="Calibri" w:hAnsi="Calibri" w:cs="Calibri"/>
          <w:color w:val="000000" w:themeColor="text1"/>
        </w:rPr>
        <w:t xml:space="preserve">Manual measurement of the </w:t>
      </w:r>
      <w:r w:rsidR="43D2FF8C" w:rsidRPr="00F250C2">
        <w:rPr>
          <w:rFonts w:ascii="Calibri" w:eastAsia="Calibri" w:hAnsi="Calibri" w:cs="Calibri"/>
          <w:color w:val="000000" w:themeColor="text1"/>
        </w:rPr>
        <w:t xml:space="preserve">paired nuclei distance from the raw images using </w:t>
      </w:r>
      <w:proofErr w:type="spellStart"/>
      <w:r w:rsidR="43D2FF8C" w:rsidRPr="00F250C2">
        <w:rPr>
          <w:rFonts w:ascii="Calibri" w:eastAsia="Calibri" w:hAnsi="Calibri" w:cs="Calibri"/>
          <w:color w:val="000000" w:themeColor="text1"/>
        </w:rPr>
        <w:t>Napari</w:t>
      </w:r>
      <w:proofErr w:type="spellEnd"/>
      <w:r w:rsidR="43D2FF8C" w:rsidRPr="00F250C2">
        <w:rPr>
          <w:rFonts w:ascii="Calibri" w:eastAsia="Calibri" w:hAnsi="Calibri" w:cs="Calibri"/>
          <w:color w:val="000000" w:themeColor="text1"/>
        </w:rPr>
        <w:t xml:space="preserve"> viewer and Pythagorean theorem for distance.</w:t>
      </w:r>
      <w:r w:rsidR="06586243" w:rsidRPr="00F250C2">
        <w:rPr>
          <w:rFonts w:ascii="Calibri" w:eastAsia="Calibri" w:hAnsi="Calibri" w:cs="Calibri"/>
          <w:color w:val="000000" w:themeColor="text1"/>
        </w:rPr>
        <w:t xml:space="preserve"> </w:t>
      </w:r>
      <w:r w:rsidR="30AAA974" w:rsidRPr="00F250C2">
        <w:rPr>
          <w:rFonts w:ascii="Calibri" w:eastAsia="Calibri" w:hAnsi="Calibri" w:cs="Calibri"/>
          <w:b/>
          <w:bCs/>
          <w:color w:val="000000" w:themeColor="text1"/>
        </w:rPr>
        <w:t>C</w:t>
      </w:r>
      <w:r w:rsidR="7FE670AC" w:rsidRPr="00F250C2">
        <w:rPr>
          <w:rFonts w:ascii="Calibri" w:eastAsia="Calibri" w:hAnsi="Calibri" w:cs="Calibri"/>
          <w:b/>
          <w:bCs/>
          <w:color w:val="000000" w:themeColor="text1"/>
        </w:rPr>
        <w:t>)</w:t>
      </w:r>
      <w:r w:rsidR="7FE670AC" w:rsidRPr="00F250C2">
        <w:rPr>
          <w:rFonts w:ascii="Calibri" w:eastAsia="Calibri" w:hAnsi="Calibri" w:cs="Calibri"/>
          <w:color w:val="000000" w:themeColor="text1"/>
        </w:rPr>
        <w:t xml:space="preserve"> </w:t>
      </w:r>
      <w:r w:rsidR="7717CA04" w:rsidRPr="00F250C2">
        <w:t xml:space="preserve">The accuracy scores </w:t>
      </w:r>
      <w:r w:rsidR="003DECA2" w:rsidRPr="00F250C2">
        <w:t>of</w:t>
      </w:r>
      <w:r w:rsidR="7717CA04" w:rsidRPr="00F250C2">
        <w:t xml:space="preserve"> </w:t>
      </w:r>
      <w:r w:rsidR="67ACBB98" w:rsidRPr="00F250C2">
        <w:t>a</w:t>
      </w:r>
      <w:r w:rsidR="7717CA04" w:rsidRPr="00F250C2">
        <w:t xml:space="preserve">utomated </w:t>
      </w:r>
      <w:r w:rsidR="53476494" w:rsidRPr="00F250C2">
        <w:t xml:space="preserve">lumen </w:t>
      </w:r>
      <w:r w:rsidR="7717CA04" w:rsidRPr="00F250C2">
        <w:t>analysis results for each VEGF-A treatment group (0-50 ng/ml) in fibrin bead assay. Accuracy scores were calculated using manual measurements. Scale 0-1, 1 being the ground truth.</w:t>
      </w:r>
      <w:r w:rsidR="732D8A6B" w:rsidRPr="00F250C2">
        <w:t xml:space="preserve"> </w:t>
      </w:r>
      <w:r w:rsidR="732D8A6B" w:rsidRPr="00F250C2">
        <w:rPr>
          <w:rFonts w:ascii="Calibri" w:eastAsia="Calibri" w:hAnsi="Calibri" w:cs="Calibri"/>
        </w:rPr>
        <w:t xml:space="preserve">Kruskal-Wallis test was used to determine the statistical significance. </w:t>
      </w:r>
      <w:r w:rsidR="61CA5756" w:rsidRPr="00F250C2">
        <w:rPr>
          <w:rFonts w:ascii="Calibri" w:eastAsia="Calibri" w:hAnsi="Calibri" w:cs="Calibri"/>
          <w:color w:val="000000" w:themeColor="text1"/>
        </w:rPr>
        <w:t xml:space="preserve">* p&lt;0.05, </w:t>
      </w:r>
      <w:r w:rsidR="732D8A6B" w:rsidRPr="00F250C2">
        <w:rPr>
          <w:rFonts w:ascii="Calibri" w:eastAsia="Calibri" w:hAnsi="Calibri" w:cs="Calibri"/>
          <w:color w:val="000000" w:themeColor="text1"/>
        </w:rPr>
        <w:t>** p&lt;0.01, *** p&lt;0.001.</w:t>
      </w:r>
    </w:p>
    <w:p w14:paraId="13704D23" w14:textId="06ECB44C" w:rsidR="26B8D203" w:rsidRDefault="26B8D203" w:rsidP="163ABA5A">
      <w:pPr>
        <w:spacing w:line="24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259A69F1" w14:textId="77777777" w:rsidR="00486278" w:rsidRDefault="00486278" w:rsidP="00486278">
      <w:pPr>
        <w:spacing w:line="240" w:lineRule="auto"/>
      </w:pPr>
      <w:r>
        <w:rPr>
          <w:noProof/>
        </w:rPr>
        <w:lastRenderedPageBreak/>
        <w:drawing>
          <wp:inline distT="0" distB="0" distL="0" distR="0" wp14:anchorId="57243503" wp14:editId="7EA89341">
            <wp:extent cx="4166837" cy="3845643"/>
            <wp:effectExtent l="0" t="0" r="0" b="4445"/>
            <wp:docPr id="1467333462" name="Picture 1467333462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733346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6837" cy="3845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F0277" w14:textId="28F5790F" w:rsidR="00486278" w:rsidRDefault="00486278" w:rsidP="0048627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6719B9BA">
        <w:rPr>
          <w:b/>
          <w:bCs/>
        </w:rPr>
        <w:t>Supplementa</w:t>
      </w:r>
      <w:r w:rsidR="36662704" w:rsidRPr="6719B9BA">
        <w:rPr>
          <w:b/>
          <w:bCs/>
        </w:rPr>
        <w:t>ry</w:t>
      </w:r>
      <w:r w:rsidRPr="6719B9BA">
        <w:rPr>
          <w:b/>
          <w:bCs/>
        </w:rPr>
        <w:t xml:space="preserve"> Figure </w:t>
      </w:r>
      <w:r w:rsidR="163E74B1" w:rsidRPr="6719B9BA">
        <w:rPr>
          <w:b/>
          <w:bCs/>
        </w:rPr>
        <w:t>5</w:t>
      </w:r>
      <w:r>
        <w:t xml:space="preserve">: Heatmap of the correlation analyses obtained from the fibrin bead assay data. Scale 0-1. The red color tones indicate a stronger correlation. </w:t>
      </w:r>
      <w:r w:rsidRPr="6719B9BA">
        <w:rPr>
          <w:rFonts w:ascii="Calibri" w:eastAsia="Calibri" w:hAnsi="Calibri" w:cs="Calibri"/>
        </w:rPr>
        <w:t>Pearson’s correlation was used for the analys</w:t>
      </w:r>
      <w:r w:rsidRPr="6719B9BA">
        <w:rPr>
          <w:rFonts w:eastAsiaTheme="minorEastAsia"/>
        </w:rPr>
        <w:t xml:space="preserve">es. </w:t>
      </w:r>
      <w:r w:rsidRPr="6719B9BA">
        <w:rPr>
          <w:rStyle w:val="cf01"/>
          <w:rFonts w:asciiTheme="minorHAnsi" w:eastAsiaTheme="minorEastAsia" w:hAnsiTheme="minorHAnsi" w:cstheme="minorBidi"/>
          <w:sz w:val="22"/>
          <w:szCs w:val="22"/>
        </w:rPr>
        <w:t>r 0.20-0.39 weak correlation, 0.40-0.59 moderate correlation, 0.60-0.79 strong correlation, 0.80-1.00 very strong correlation.</w:t>
      </w:r>
    </w:p>
    <w:p w14:paraId="0C5D94C3" w14:textId="66D7AF8C" w:rsidR="163ABA5A" w:rsidRDefault="163ABA5A" w:rsidP="163ABA5A">
      <w:pPr>
        <w:spacing w:line="240" w:lineRule="auto"/>
        <w:jc w:val="both"/>
        <w:rPr>
          <w:rStyle w:val="cf01"/>
          <w:rFonts w:asciiTheme="minorHAnsi" w:eastAsiaTheme="minorEastAsia" w:hAnsiTheme="minorHAnsi" w:cstheme="minorBidi"/>
          <w:sz w:val="22"/>
          <w:szCs w:val="22"/>
        </w:rPr>
      </w:pPr>
    </w:p>
    <w:p w14:paraId="196E66C0" w14:textId="6D5FA0F2" w:rsidR="00486278" w:rsidRDefault="1291CEEE" w:rsidP="09041505">
      <w:pPr>
        <w:spacing w:line="360" w:lineRule="auto"/>
      </w:pPr>
      <w:r>
        <w:rPr>
          <w:noProof/>
        </w:rPr>
        <w:drawing>
          <wp:inline distT="0" distB="0" distL="0" distR="0" wp14:anchorId="3FAD505F" wp14:editId="5B16C24C">
            <wp:extent cx="5629275" cy="3002280"/>
            <wp:effectExtent l="0" t="0" r="0" b="0"/>
            <wp:docPr id="1199521399" name="Picture 1199521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8D38" w14:textId="6E7C2A19" w:rsidR="00486278" w:rsidRDefault="00486278" w:rsidP="09041505">
      <w:pPr>
        <w:spacing w:line="240" w:lineRule="auto"/>
        <w:jc w:val="both"/>
        <w:rPr>
          <w:rFonts w:ascii="Calibri" w:eastAsia="Calibri" w:hAnsi="Calibri" w:cs="Calibri"/>
        </w:rPr>
      </w:pPr>
      <w:r w:rsidRPr="6719B9BA">
        <w:rPr>
          <w:b/>
          <w:bCs/>
        </w:rPr>
        <w:t>Supplementa</w:t>
      </w:r>
      <w:r w:rsidR="758286D6" w:rsidRPr="6719B9BA">
        <w:rPr>
          <w:b/>
          <w:bCs/>
        </w:rPr>
        <w:t>ry</w:t>
      </w:r>
      <w:r w:rsidRPr="6719B9BA">
        <w:rPr>
          <w:b/>
          <w:bCs/>
        </w:rPr>
        <w:t xml:space="preserve"> Figure </w:t>
      </w:r>
      <w:r w:rsidR="0C4DA836" w:rsidRPr="6719B9BA">
        <w:rPr>
          <w:b/>
          <w:bCs/>
        </w:rPr>
        <w:t>6</w:t>
      </w:r>
      <w:r>
        <w:t xml:space="preserve">: </w:t>
      </w:r>
      <w:r w:rsidRPr="6719B9BA">
        <w:rPr>
          <w:rFonts w:ascii="Calibri" w:eastAsia="Calibri" w:hAnsi="Calibri" w:cs="Calibri"/>
        </w:rPr>
        <w:t>Retinal images showing the outside circle closer to the migration front were used for the analysis. Vasculature was labeled with anti-CD93.</w:t>
      </w:r>
      <w:r w:rsidRPr="6719B9BA">
        <w:rPr>
          <w:b/>
          <w:bCs/>
        </w:rPr>
        <w:t xml:space="preserve"> </w:t>
      </w:r>
      <w:r w:rsidRPr="6719B9BA">
        <w:rPr>
          <w:rFonts w:ascii="Calibri" w:eastAsia="Calibri" w:hAnsi="Calibri" w:cs="Calibri"/>
          <w:b/>
          <w:bCs/>
        </w:rPr>
        <w:t xml:space="preserve">(A) </w:t>
      </w:r>
      <w:r>
        <w:t>r = 0.3 x R was used to</w:t>
      </w:r>
      <w:r w:rsidRPr="6719B9BA">
        <w:rPr>
          <w:rFonts w:ascii="Calibri" w:eastAsia="Calibri" w:hAnsi="Calibri" w:cs="Calibri"/>
        </w:rPr>
        <w:t xml:space="preserve"> exclude the branches in the central part of the retina.</w:t>
      </w:r>
      <w:r>
        <w:t xml:space="preserve"> </w:t>
      </w:r>
      <w:r w:rsidRPr="6719B9BA">
        <w:rPr>
          <w:rFonts w:ascii="Calibri" w:eastAsia="Calibri" w:hAnsi="Calibri" w:cs="Calibri"/>
          <w:b/>
          <w:bCs/>
        </w:rPr>
        <w:t xml:space="preserve">(B) </w:t>
      </w:r>
      <w:r>
        <w:t xml:space="preserve">Percentages of long branches for the WT and </w:t>
      </w:r>
      <w:r w:rsidRPr="6719B9BA">
        <w:rPr>
          <w:i/>
          <w:iCs/>
        </w:rPr>
        <w:t>Ccm3</w:t>
      </w:r>
      <w:r w:rsidRPr="6719B9BA">
        <w:rPr>
          <w:i/>
          <w:iCs/>
          <w:vertAlign w:val="superscript"/>
        </w:rPr>
        <w:t>iECKO</w:t>
      </w:r>
      <w:r>
        <w:t xml:space="preserve"> </w:t>
      </w:r>
      <w:r>
        <w:lastRenderedPageBreak/>
        <w:t>dataset for r = 0.3 x R showing the significant difference between the groups, with p&lt;0.05.</w:t>
      </w:r>
      <w:r w:rsidRPr="6719B9BA">
        <w:rPr>
          <w:rFonts w:ascii="Calibri" w:eastAsia="Calibri" w:hAnsi="Calibri" w:cs="Calibri"/>
          <w:b/>
          <w:bCs/>
        </w:rPr>
        <w:t xml:space="preserve"> (C) </w:t>
      </w:r>
      <w:r>
        <w:t>There was no significant difference in the</w:t>
      </w:r>
      <w:r w:rsidRPr="6719B9BA">
        <w:rPr>
          <w:rFonts w:ascii="Calibri" w:eastAsia="Calibri" w:hAnsi="Calibri" w:cs="Calibri"/>
        </w:rPr>
        <w:t xml:space="preserve"> total number of branches between</w:t>
      </w:r>
      <w:r>
        <w:t xml:space="preserve"> the WT and </w:t>
      </w:r>
      <w:r w:rsidRPr="6719B9BA">
        <w:rPr>
          <w:i/>
          <w:iCs/>
        </w:rPr>
        <w:t>Ccm3</w:t>
      </w:r>
      <w:r w:rsidRPr="6719B9BA">
        <w:rPr>
          <w:i/>
          <w:iCs/>
          <w:vertAlign w:val="superscript"/>
        </w:rPr>
        <w:t>iECKO</w:t>
      </w:r>
      <w:r>
        <w:t xml:space="preserve"> groups, for r = 0.3 x R. </w:t>
      </w:r>
      <w:r w:rsidRPr="6719B9BA">
        <w:rPr>
          <w:b/>
          <w:bCs/>
        </w:rPr>
        <w:t>(D)</w:t>
      </w:r>
      <w:r>
        <w:t xml:space="preserve"> r = 0.7 x R was used to</w:t>
      </w:r>
      <w:r w:rsidRPr="6719B9BA">
        <w:rPr>
          <w:rFonts w:ascii="Calibri" w:eastAsia="Calibri" w:hAnsi="Calibri" w:cs="Calibri"/>
        </w:rPr>
        <w:t xml:space="preserve"> exclude the branches in the central part of the retina. (</w:t>
      </w:r>
      <w:r w:rsidRPr="6719B9BA">
        <w:rPr>
          <w:rFonts w:ascii="Calibri" w:eastAsia="Calibri" w:hAnsi="Calibri" w:cs="Calibri"/>
          <w:b/>
          <w:bCs/>
        </w:rPr>
        <w:t>E, F</w:t>
      </w:r>
      <w:r w:rsidRPr="6719B9BA">
        <w:rPr>
          <w:rFonts w:ascii="Calibri" w:eastAsia="Calibri" w:hAnsi="Calibri" w:cs="Calibri"/>
        </w:rPr>
        <w:t>) Percentages of long branches for r = 0.7 x R showing a significant difference, whereas no significant difference for the total number of branches, for r = 0.7 x R. In all images, t-test was used to determine the statistical significance *, p&lt;0.05.</w:t>
      </w:r>
      <w:r w:rsidR="48FB6946" w:rsidRPr="6719B9BA">
        <w:rPr>
          <w:rFonts w:ascii="Calibri" w:eastAsia="Calibri" w:hAnsi="Calibri" w:cs="Calibri"/>
        </w:rPr>
        <w:t xml:space="preserve"> </w:t>
      </w:r>
      <w:bookmarkStart w:id="1" w:name="_Int_P5LtSsbS"/>
      <w:r w:rsidR="48FB6946" w:rsidRPr="6719B9BA">
        <w:rPr>
          <w:rFonts w:ascii="Calibri" w:eastAsia="Calibri" w:hAnsi="Calibri" w:cs="Calibri"/>
          <w:color w:val="000000" w:themeColor="text1"/>
        </w:rPr>
        <w:t>Scale bars: 500 µm.</w:t>
      </w:r>
      <w:bookmarkEnd w:id="1"/>
    </w:p>
    <w:p w14:paraId="3AAF5BB2" w14:textId="09D852FA" w:rsidR="00401F1A" w:rsidRDefault="00401F1A" w:rsidP="6719B9BA">
      <w:pPr>
        <w:spacing w:line="240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731A21C8" w14:textId="511F482B" w:rsidR="00401F1A" w:rsidRDefault="775E1E62" w:rsidP="6719B9BA">
      <w:r>
        <w:rPr>
          <w:noProof/>
        </w:rPr>
        <w:drawing>
          <wp:inline distT="0" distB="0" distL="0" distR="0" wp14:anchorId="7324F6A7" wp14:editId="606C1832">
            <wp:extent cx="5581650" cy="1488440"/>
            <wp:effectExtent l="0" t="0" r="0" b="0"/>
            <wp:docPr id="987377435" name="Picture 987377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6CAA8" w14:textId="183A2AD0" w:rsidR="5B73AED4" w:rsidRPr="00F250C2" w:rsidRDefault="5B73AED4" w:rsidP="61A623B0">
      <w:pPr>
        <w:rPr>
          <w:rFonts w:ascii="Calibri" w:eastAsia="Calibri" w:hAnsi="Calibri" w:cs="Calibri"/>
          <w:color w:val="000000" w:themeColor="text1"/>
        </w:rPr>
      </w:pPr>
      <w:r w:rsidRPr="00F250C2">
        <w:rPr>
          <w:b/>
          <w:bCs/>
        </w:rPr>
        <w:t>Supplementa</w:t>
      </w:r>
      <w:r w:rsidR="3C879249" w:rsidRPr="00F250C2">
        <w:rPr>
          <w:b/>
          <w:bCs/>
        </w:rPr>
        <w:t>ry</w:t>
      </w:r>
      <w:r w:rsidRPr="00F250C2">
        <w:rPr>
          <w:b/>
          <w:bCs/>
        </w:rPr>
        <w:t xml:space="preserve"> Figure </w:t>
      </w:r>
      <w:r w:rsidR="391740A7" w:rsidRPr="00F250C2">
        <w:rPr>
          <w:b/>
          <w:bCs/>
        </w:rPr>
        <w:t>7</w:t>
      </w:r>
      <w:r w:rsidRPr="00F250C2">
        <w:t xml:space="preserve">: </w:t>
      </w:r>
      <w:r w:rsidR="2AA08740" w:rsidRPr="00F250C2">
        <w:rPr>
          <w:b/>
          <w:bCs/>
        </w:rPr>
        <w:t>A)</w:t>
      </w:r>
      <w:r w:rsidR="2AA08740" w:rsidRPr="00F250C2">
        <w:t xml:space="preserve"> </w:t>
      </w:r>
      <w:r w:rsidRPr="00F250C2">
        <w:t>Manual radial expansion measurement showed no significant difference between the groups</w:t>
      </w:r>
      <w:r w:rsidR="4C465B8F" w:rsidRPr="00F250C2">
        <w:t xml:space="preserve"> confirming the </w:t>
      </w:r>
      <w:proofErr w:type="spellStart"/>
      <w:r w:rsidR="4C465B8F" w:rsidRPr="00F250C2">
        <w:t>SproutAngio</w:t>
      </w:r>
      <w:proofErr w:type="spellEnd"/>
      <w:r w:rsidR="4C465B8F" w:rsidRPr="00F250C2">
        <w:t xml:space="preserve"> results</w:t>
      </w:r>
      <w:r w:rsidRPr="00F250C2">
        <w:t>.</w:t>
      </w:r>
      <w:r w:rsidR="7A725B75" w:rsidRPr="00F250C2">
        <w:t xml:space="preserve"> </w:t>
      </w:r>
      <w:r w:rsidR="3F4208EF" w:rsidRPr="00F250C2">
        <w:rPr>
          <w:b/>
          <w:bCs/>
        </w:rPr>
        <w:t>B)</w:t>
      </w:r>
      <w:r w:rsidR="3F4208EF" w:rsidRPr="00F250C2">
        <w:t xml:space="preserve"> </w:t>
      </w:r>
      <w:r w:rsidR="16F28652" w:rsidRPr="00F250C2">
        <w:t>ImageJ Fiji Vessel Density plugin was used for comparison purposes</w:t>
      </w:r>
      <w:r w:rsidR="50CE2CB9" w:rsidRPr="00F250C2">
        <w:t>. T</w:t>
      </w:r>
      <w:r w:rsidR="16F28652" w:rsidRPr="00F250C2">
        <w:t xml:space="preserve">here was </w:t>
      </w:r>
      <w:r w:rsidR="028DF391" w:rsidRPr="00F250C2">
        <w:t xml:space="preserve">no </w:t>
      </w:r>
      <w:r w:rsidR="16F28652" w:rsidRPr="00F250C2">
        <w:t>significant differen</w:t>
      </w:r>
      <w:r w:rsidR="609125AB" w:rsidRPr="00F250C2">
        <w:t>ce</w:t>
      </w:r>
      <w:r w:rsidR="16F28652" w:rsidRPr="00F250C2">
        <w:t xml:space="preserve"> between </w:t>
      </w:r>
      <w:r w:rsidR="16F28652" w:rsidRPr="00F250C2">
        <w:rPr>
          <w:i/>
          <w:iCs/>
        </w:rPr>
        <w:t>Ccm3</w:t>
      </w:r>
      <w:r w:rsidR="16F28652" w:rsidRPr="00F250C2">
        <w:rPr>
          <w:i/>
          <w:iCs/>
          <w:vertAlign w:val="superscript"/>
        </w:rPr>
        <w:t>iECKO</w:t>
      </w:r>
      <w:r w:rsidR="16F28652" w:rsidRPr="00F250C2">
        <w:t xml:space="preserve"> and wild-type retina</w:t>
      </w:r>
      <w:r w:rsidR="4289AD77" w:rsidRPr="00F250C2">
        <w:t xml:space="preserve"> samples</w:t>
      </w:r>
      <w:r w:rsidR="74D77FD2" w:rsidRPr="00F250C2">
        <w:t>.</w:t>
      </w:r>
      <w:r w:rsidR="219E70D3" w:rsidRPr="00F250C2">
        <w:t xml:space="preserve"> Biggest difference between Fiji </w:t>
      </w:r>
      <w:r w:rsidR="53FA5B5E" w:rsidRPr="00F250C2">
        <w:t xml:space="preserve">plugin </w:t>
      </w:r>
      <w:r w:rsidR="219E70D3" w:rsidRPr="00F250C2">
        <w:t xml:space="preserve">and </w:t>
      </w:r>
      <w:proofErr w:type="spellStart"/>
      <w:r w:rsidR="219E70D3" w:rsidRPr="00F250C2">
        <w:t>SproutAngio</w:t>
      </w:r>
      <w:proofErr w:type="spellEnd"/>
      <w:r w:rsidR="219E70D3" w:rsidRPr="00F250C2">
        <w:t xml:space="preserve"> analysis </w:t>
      </w:r>
      <w:r w:rsidR="4D93C4FA" w:rsidRPr="00F250C2">
        <w:t>was</w:t>
      </w:r>
      <w:r w:rsidR="219E70D3" w:rsidRPr="00F250C2">
        <w:t xml:space="preserve"> the </w:t>
      </w:r>
      <w:r w:rsidR="4C330F19" w:rsidRPr="00F250C2">
        <w:t>region selection</w:t>
      </w:r>
      <w:r w:rsidR="219E70D3" w:rsidRPr="00F250C2">
        <w:t>.</w:t>
      </w:r>
      <w:r w:rsidR="772EEC0F" w:rsidRPr="00F250C2">
        <w:t xml:space="preserve"> In Fiji plugin</w:t>
      </w:r>
      <w:r w:rsidR="5ACD0B95" w:rsidRPr="00F250C2">
        <w:t xml:space="preserve"> the whole area was </w:t>
      </w:r>
      <w:r w:rsidR="047F6A64" w:rsidRPr="00F250C2">
        <w:t xml:space="preserve">manually </w:t>
      </w:r>
      <w:r w:rsidR="5ACD0B95" w:rsidRPr="00F250C2">
        <w:t xml:space="preserve">selected for the analysis. In </w:t>
      </w:r>
      <w:proofErr w:type="spellStart"/>
      <w:r w:rsidR="5ACD0B95" w:rsidRPr="00F250C2">
        <w:t>SproutAngio</w:t>
      </w:r>
      <w:proofErr w:type="spellEnd"/>
      <w:r w:rsidR="5ACD0B95" w:rsidRPr="00F250C2">
        <w:t>,</w:t>
      </w:r>
      <w:r w:rsidR="0213DD26" w:rsidRPr="00F250C2">
        <w:t xml:space="preserve"> </w:t>
      </w:r>
      <w:r w:rsidR="732ADD1C" w:rsidRPr="00F250C2">
        <w:t xml:space="preserve">the </w:t>
      </w:r>
      <w:r w:rsidR="6CBC4F98" w:rsidRPr="00F250C2">
        <w:t>central region was removed</w:t>
      </w:r>
      <w:r w:rsidR="458E1924" w:rsidRPr="00F250C2">
        <w:t xml:space="preserve"> by using a user-defined threshold</w:t>
      </w:r>
      <w:r w:rsidR="04EE330E" w:rsidRPr="00F250C2">
        <w:t xml:space="preserve"> and was not included in the vessel analysis</w:t>
      </w:r>
      <w:r w:rsidR="6CBC4F98" w:rsidRPr="00F250C2">
        <w:t>.</w:t>
      </w:r>
      <w:r w:rsidR="16F28652" w:rsidRPr="00F250C2">
        <w:t xml:space="preserve"> n=3 mice/group.</w:t>
      </w:r>
      <w:r w:rsidR="4E3F3610" w:rsidRPr="00F250C2">
        <w:t xml:space="preserve"> t-test was used to determine the statistical significance.</w:t>
      </w:r>
    </w:p>
    <w:sectPr w:rsidR="5B73AED4" w:rsidRPr="00F250C2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8A083" w14:textId="77777777" w:rsidR="00DD57E6" w:rsidRDefault="00DD57E6" w:rsidP="005D336E">
      <w:pPr>
        <w:spacing w:after="0" w:line="240" w:lineRule="auto"/>
      </w:pPr>
      <w:r>
        <w:separator/>
      </w:r>
    </w:p>
  </w:endnote>
  <w:endnote w:type="continuationSeparator" w:id="0">
    <w:p w14:paraId="1895FC0C" w14:textId="77777777" w:rsidR="00DD57E6" w:rsidRDefault="00DD57E6" w:rsidP="005D3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524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4B02FE" w14:textId="766207E3" w:rsidR="005D336E" w:rsidRDefault="005D33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94F237" w14:textId="77777777" w:rsidR="005D336E" w:rsidRDefault="005D33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04025" w14:textId="77777777" w:rsidR="00DD57E6" w:rsidRDefault="00DD57E6" w:rsidP="005D336E">
      <w:pPr>
        <w:spacing w:after="0" w:line="240" w:lineRule="auto"/>
      </w:pPr>
      <w:r>
        <w:separator/>
      </w:r>
    </w:p>
  </w:footnote>
  <w:footnote w:type="continuationSeparator" w:id="0">
    <w:p w14:paraId="483B7305" w14:textId="77777777" w:rsidR="00DD57E6" w:rsidRDefault="00DD57E6" w:rsidP="005D336E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P5LtSsbS" int2:invalidationBookmarkName="" int2:hashCode="H0GWOQiRLb5v/S" int2:id="mqjv0agX">
      <int2:state int2:value="Reviewed" int2:type="WordDesignerPullQuotesAnnotation"/>
    </int2:bookmark>
    <int2:bookmark int2:bookmarkName="_Int_E82Wc4CH" int2:invalidationBookmarkName="" int2:hashCode="5uq3vAR9Qnrs1n" int2:id="A7gkVbNR">
      <int2:state int2:value="Reviewed" int2:type="WordDesignerPullQuotesAnnotation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227"/>
    <w:rsid w:val="001BB11E"/>
    <w:rsid w:val="003DECA2"/>
    <w:rsid w:val="00401F1A"/>
    <w:rsid w:val="00486278"/>
    <w:rsid w:val="005D336E"/>
    <w:rsid w:val="008E2227"/>
    <w:rsid w:val="00DD57E6"/>
    <w:rsid w:val="00F250C2"/>
    <w:rsid w:val="00FF2E35"/>
    <w:rsid w:val="0213DD26"/>
    <w:rsid w:val="028DF391"/>
    <w:rsid w:val="02E474A9"/>
    <w:rsid w:val="03B01037"/>
    <w:rsid w:val="03F3ED95"/>
    <w:rsid w:val="047F6A64"/>
    <w:rsid w:val="04B16044"/>
    <w:rsid w:val="04EE330E"/>
    <w:rsid w:val="06586243"/>
    <w:rsid w:val="09041505"/>
    <w:rsid w:val="0B966587"/>
    <w:rsid w:val="0BB078D2"/>
    <w:rsid w:val="0C4DA836"/>
    <w:rsid w:val="0CDE516E"/>
    <w:rsid w:val="0E9E90AD"/>
    <w:rsid w:val="0EB31998"/>
    <w:rsid w:val="0EC63126"/>
    <w:rsid w:val="0F4CE73F"/>
    <w:rsid w:val="0FBBA851"/>
    <w:rsid w:val="122880C1"/>
    <w:rsid w:val="1291CEEE"/>
    <w:rsid w:val="1383BA4F"/>
    <w:rsid w:val="14B65E3D"/>
    <w:rsid w:val="14E4ABF5"/>
    <w:rsid w:val="15DFE0A1"/>
    <w:rsid w:val="1600AB43"/>
    <w:rsid w:val="163ABA5A"/>
    <w:rsid w:val="163E74B1"/>
    <w:rsid w:val="1650A90F"/>
    <w:rsid w:val="16F28652"/>
    <w:rsid w:val="18141B82"/>
    <w:rsid w:val="181C4CB7"/>
    <w:rsid w:val="18CC47AB"/>
    <w:rsid w:val="1A1A6A49"/>
    <w:rsid w:val="1AC0CEF0"/>
    <w:rsid w:val="1B53ED79"/>
    <w:rsid w:val="1C20D8F3"/>
    <w:rsid w:val="1C9C8D0A"/>
    <w:rsid w:val="1D4299D7"/>
    <w:rsid w:val="1D8316AA"/>
    <w:rsid w:val="1F1EE70B"/>
    <w:rsid w:val="1FD05C2B"/>
    <w:rsid w:val="2034DBC8"/>
    <w:rsid w:val="207A3A99"/>
    <w:rsid w:val="219E70D3"/>
    <w:rsid w:val="23257225"/>
    <w:rsid w:val="26B8D203"/>
    <w:rsid w:val="275AAA69"/>
    <w:rsid w:val="278A6313"/>
    <w:rsid w:val="27C22413"/>
    <w:rsid w:val="292FF0FF"/>
    <w:rsid w:val="29A1BC73"/>
    <w:rsid w:val="2A667C51"/>
    <w:rsid w:val="2AA08740"/>
    <w:rsid w:val="2ACBC160"/>
    <w:rsid w:val="2C6D3375"/>
    <w:rsid w:val="2D3A8AB4"/>
    <w:rsid w:val="2DF45066"/>
    <w:rsid w:val="2E036222"/>
    <w:rsid w:val="305972F6"/>
    <w:rsid w:val="30984BE9"/>
    <w:rsid w:val="30AAA974"/>
    <w:rsid w:val="31110B4A"/>
    <w:rsid w:val="314FDDFC"/>
    <w:rsid w:val="345F1CFD"/>
    <w:rsid w:val="34AF9925"/>
    <w:rsid w:val="36662704"/>
    <w:rsid w:val="36DBDA86"/>
    <w:rsid w:val="37CD6E34"/>
    <w:rsid w:val="391740A7"/>
    <w:rsid w:val="3C436F4C"/>
    <w:rsid w:val="3C879249"/>
    <w:rsid w:val="3EF050E2"/>
    <w:rsid w:val="3F4208EF"/>
    <w:rsid w:val="419D0EAB"/>
    <w:rsid w:val="41A346B0"/>
    <w:rsid w:val="4289AD77"/>
    <w:rsid w:val="437B8E8D"/>
    <w:rsid w:val="43A08E82"/>
    <w:rsid w:val="43D2FF8C"/>
    <w:rsid w:val="44E9FE75"/>
    <w:rsid w:val="458E1924"/>
    <w:rsid w:val="4613012C"/>
    <w:rsid w:val="4788CDAC"/>
    <w:rsid w:val="47A821DF"/>
    <w:rsid w:val="48A0A47C"/>
    <w:rsid w:val="48FB6946"/>
    <w:rsid w:val="49A38D62"/>
    <w:rsid w:val="49DF70A3"/>
    <w:rsid w:val="4A31292D"/>
    <w:rsid w:val="4AC8AEF5"/>
    <w:rsid w:val="4B14D192"/>
    <w:rsid w:val="4C330F19"/>
    <w:rsid w:val="4C465B8F"/>
    <w:rsid w:val="4C5FB896"/>
    <w:rsid w:val="4D93C4FA"/>
    <w:rsid w:val="4DFBA59D"/>
    <w:rsid w:val="4E2F404C"/>
    <w:rsid w:val="4E3F3610"/>
    <w:rsid w:val="4F975958"/>
    <w:rsid w:val="50B0A331"/>
    <w:rsid w:val="50BAEFC5"/>
    <w:rsid w:val="50CE2CB9"/>
    <w:rsid w:val="51C95F9B"/>
    <w:rsid w:val="5256C026"/>
    <w:rsid w:val="533A6E77"/>
    <w:rsid w:val="5346A9A5"/>
    <w:rsid w:val="53476494"/>
    <w:rsid w:val="53FA5B5E"/>
    <w:rsid w:val="574B68CC"/>
    <w:rsid w:val="57C7E511"/>
    <w:rsid w:val="58FD0E8F"/>
    <w:rsid w:val="594E9136"/>
    <w:rsid w:val="5ACD0B95"/>
    <w:rsid w:val="5B116A17"/>
    <w:rsid w:val="5B73AED4"/>
    <w:rsid w:val="5C01B67E"/>
    <w:rsid w:val="5C2755B8"/>
    <w:rsid w:val="5C6A469A"/>
    <w:rsid w:val="5D8C853B"/>
    <w:rsid w:val="5D93CD0F"/>
    <w:rsid w:val="5DC8D764"/>
    <w:rsid w:val="5ED97D1F"/>
    <w:rsid w:val="6016BEF5"/>
    <w:rsid w:val="609125AB"/>
    <w:rsid w:val="60F9020B"/>
    <w:rsid w:val="60FF7247"/>
    <w:rsid w:val="61A623B0"/>
    <w:rsid w:val="61CA5756"/>
    <w:rsid w:val="6274D176"/>
    <w:rsid w:val="65C78D35"/>
    <w:rsid w:val="665AD3F7"/>
    <w:rsid w:val="6686F95D"/>
    <w:rsid w:val="6719B9BA"/>
    <w:rsid w:val="67883C67"/>
    <w:rsid w:val="67A678ED"/>
    <w:rsid w:val="67ACBB98"/>
    <w:rsid w:val="68CAEA9D"/>
    <w:rsid w:val="6B829E43"/>
    <w:rsid w:val="6CBC4F98"/>
    <w:rsid w:val="6CD8DD01"/>
    <w:rsid w:val="6E099AD0"/>
    <w:rsid w:val="6E56E727"/>
    <w:rsid w:val="71C5E601"/>
    <w:rsid w:val="72B2E3BC"/>
    <w:rsid w:val="732ADD1C"/>
    <w:rsid w:val="732D8A6B"/>
    <w:rsid w:val="7350B4BE"/>
    <w:rsid w:val="73E527A2"/>
    <w:rsid w:val="74D77FD2"/>
    <w:rsid w:val="758286D6"/>
    <w:rsid w:val="759C2445"/>
    <w:rsid w:val="7717CA04"/>
    <w:rsid w:val="772EEC0F"/>
    <w:rsid w:val="775E1E62"/>
    <w:rsid w:val="78109F38"/>
    <w:rsid w:val="78FCEB7B"/>
    <w:rsid w:val="7A725B75"/>
    <w:rsid w:val="7D1BFD3C"/>
    <w:rsid w:val="7D9E8A1A"/>
    <w:rsid w:val="7E1AC70E"/>
    <w:rsid w:val="7E34A704"/>
    <w:rsid w:val="7F817C64"/>
    <w:rsid w:val="7FE6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E2BCA0"/>
  <w15:chartTrackingRefBased/>
  <w15:docId w15:val="{06250104-8E87-4156-A4A2-A14D2879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27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f01">
    <w:name w:val="cf01"/>
    <w:basedOn w:val="DefaultParagraphFont"/>
    <w:rsid w:val="00486278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33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36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D33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336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6" Type="http://schemas.microsoft.com/office/2020/10/relationships/intelligence" Target="intelligence2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</cp:lastModifiedBy>
  <cp:revision>16</cp:revision>
  <dcterms:created xsi:type="dcterms:W3CDTF">2022-11-30T12:44:00Z</dcterms:created>
  <dcterms:modified xsi:type="dcterms:W3CDTF">2023-03-15T10:16:00Z</dcterms:modified>
</cp:coreProperties>
</file>