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7D4C2" w14:textId="77777777" w:rsidR="002A0B3A" w:rsidRPr="002A0B3A" w:rsidRDefault="002A0B3A" w:rsidP="002A0B3A">
      <w:pPr>
        <w:rPr>
          <w:rFonts w:cstheme="minorHAnsi"/>
          <w:szCs w:val="24"/>
        </w:rPr>
      </w:pPr>
    </w:p>
    <w:p w14:paraId="3059F39D" w14:textId="77777777" w:rsidR="002A0B3A" w:rsidRPr="002A0B3A" w:rsidRDefault="002A0B3A" w:rsidP="002A0B3A">
      <w:pPr>
        <w:rPr>
          <w:rFonts w:cstheme="minorHAnsi"/>
          <w:b/>
          <w:sz w:val="32"/>
          <w:szCs w:val="32"/>
        </w:rPr>
      </w:pPr>
      <w:r w:rsidRPr="002A0B3A">
        <w:rPr>
          <w:rFonts w:cstheme="minorHAnsi"/>
          <w:b/>
          <w:sz w:val="32"/>
          <w:szCs w:val="32"/>
        </w:rPr>
        <w:t>Supplementary Information for</w:t>
      </w:r>
    </w:p>
    <w:p w14:paraId="08673CAA" w14:textId="78F6C91B" w:rsidR="002A0B3A" w:rsidRPr="002A0B3A" w:rsidRDefault="00504344" w:rsidP="002A0B3A">
      <w:pPr>
        <w:rPr>
          <w:rFonts w:cstheme="minorHAnsi"/>
          <w:szCs w:val="24"/>
        </w:rPr>
      </w:pPr>
      <w:r>
        <w:rPr>
          <w:rFonts w:cstheme="minorHAnsi"/>
          <w:sz w:val="32"/>
          <w:szCs w:val="32"/>
        </w:rPr>
        <w:t>F</w:t>
      </w:r>
      <w:r w:rsidR="002A0B3A" w:rsidRPr="002A0B3A">
        <w:rPr>
          <w:rFonts w:cstheme="minorHAnsi"/>
          <w:sz w:val="32"/>
          <w:szCs w:val="32"/>
        </w:rPr>
        <w:t xml:space="preserve">eature-based attention warps the perception of visual </w:t>
      </w:r>
      <w:proofErr w:type="gramStart"/>
      <w:r w:rsidR="002A0B3A" w:rsidRPr="002A0B3A">
        <w:rPr>
          <w:rFonts w:cstheme="minorHAnsi"/>
          <w:sz w:val="32"/>
          <w:szCs w:val="32"/>
        </w:rPr>
        <w:t>features</w:t>
      </w:r>
      <w:proofErr w:type="gramEnd"/>
    </w:p>
    <w:p w14:paraId="7B8EFE1A" w14:textId="77777777" w:rsidR="002A0B3A" w:rsidRPr="002A0B3A" w:rsidRDefault="002A0B3A" w:rsidP="002A0B3A">
      <w:pPr>
        <w:rPr>
          <w:rFonts w:cstheme="minorHAnsi"/>
          <w:sz w:val="24"/>
          <w:szCs w:val="28"/>
        </w:rPr>
      </w:pPr>
    </w:p>
    <w:p w14:paraId="06BC6BF4" w14:textId="307F073B" w:rsidR="002A0B3A" w:rsidRPr="002A0B3A" w:rsidRDefault="002A0B3A" w:rsidP="002A0B3A">
      <w:pPr>
        <w:rPr>
          <w:rFonts w:cstheme="minorHAnsi"/>
          <w:sz w:val="24"/>
          <w:szCs w:val="28"/>
        </w:rPr>
      </w:pPr>
      <w:r w:rsidRPr="002A0B3A">
        <w:rPr>
          <w:rFonts w:cstheme="minorHAnsi"/>
          <w:sz w:val="24"/>
          <w:szCs w:val="28"/>
        </w:rPr>
        <w:t xml:space="preserve">Angus F. Chapman, </w:t>
      </w:r>
      <w:proofErr w:type="spellStart"/>
      <w:r w:rsidRPr="002A0B3A">
        <w:rPr>
          <w:rFonts w:cstheme="minorHAnsi"/>
          <w:sz w:val="24"/>
          <w:szCs w:val="28"/>
        </w:rPr>
        <w:t>Chaipat</w:t>
      </w:r>
      <w:proofErr w:type="spellEnd"/>
      <w:r w:rsidRPr="002A0B3A">
        <w:rPr>
          <w:rFonts w:cstheme="minorHAnsi"/>
          <w:sz w:val="24"/>
          <w:szCs w:val="28"/>
        </w:rPr>
        <w:t xml:space="preserve"> </w:t>
      </w:r>
      <w:proofErr w:type="spellStart"/>
      <w:r w:rsidRPr="002A0B3A">
        <w:rPr>
          <w:rFonts w:cstheme="minorHAnsi"/>
          <w:sz w:val="24"/>
          <w:szCs w:val="28"/>
        </w:rPr>
        <w:t>Chunharas</w:t>
      </w:r>
      <w:proofErr w:type="spellEnd"/>
      <w:r w:rsidRPr="002A0B3A">
        <w:rPr>
          <w:rFonts w:cstheme="minorHAnsi"/>
          <w:sz w:val="24"/>
          <w:szCs w:val="28"/>
        </w:rPr>
        <w:t>, and Viola S. Störmer</w:t>
      </w:r>
    </w:p>
    <w:p w14:paraId="371AD09A" w14:textId="77777777" w:rsidR="002A0B3A" w:rsidRPr="002A0B3A" w:rsidRDefault="002A0B3A" w:rsidP="002A0B3A">
      <w:pPr>
        <w:rPr>
          <w:rFonts w:cstheme="minorHAnsi"/>
          <w:sz w:val="24"/>
          <w:szCs w:val="28"/>
        </w:rPr>
      </w:pPr>
    </w:p>
    <w:p w14:paraId="058636D4" w14:textId="2CFE9794" w:rsidR="002A0B3A" w:rsidRPr="002A0B3A" w:rsidRDefault="002A0B3A" w:rsidP="002A0B3A">
      <w:pPr>
        <w:rPr>
          <w:rFonts w:cstheme="minorHAnsi"/>
          <w:sz w:val="24"/>
          <w:szCs w:val="28"/>
        </w:rPr>
      </w:pPr>
      <w:r w:rsidRPr="002A0B3A">
        <w:rPr>
          <w:rFonts w:cstheme="minorHAnsi"/>
          <w:sz w:val="24"/>
          <w:szCs w:val="28"/>
        </w:rPr>
        <w:t>Corresponding author: Angus F. Chapman</w:t>
      </w:r>
    </w:p>
    <w:p w14:paraId="47CC0EAC" w14:textId="13EAC472" w:rsidR="002A0B3A" w:rsidRPr="002A0B3A" w:rsidRDefault="002A0B3A" w:rsidP="002A0B3A">
      <w:pPr>
        <w:rPr>
          <w:rFonts w:cstheme="minorHAnsi"/>
          <w:sz w:val="24"/>
          <w:szCs w:val="28"/>
        </w:rPr>
      </w:pPr>
      <w:r w:rsidRPr="002A0B3A">
        <w:rPr>
          <w:rFonts w:cstheme="minorHAnsi"/>
          <w:sz w:val="24"/>
          <w:szCs w:val="28"/>
        </w:rPr>
        <w:t xml:space="preserve">Email: </w:t>
      </w:r>
      <w:r w:rsidR="00504344">
        <w:rPr>
          <w:rFonts w:cstheme="minorHAnsi"/>
          <w:sz w:val="24"/>
          <w:szCs w:val="28"/>
        </w:rPr>
        <w:t>angusc@bu.edu</w:t>
      </w:r>
      <w:r w:rsidRPr="002A0B3A">
        <w:rPr>
          <w:rFonts w:cstheme="minorHAnsi"/>
          <w:sz w:val="24"/>
          <w:szCs w:val="28"/>
        </w:rPr>
        <w:t xml:space="preserve"> </w:t>
      </w:r>
    </w:p>
    <w:p w14:paraId="7A5BC083" w14:textId="1AE082B9" w:rsidR="002A0B3A" w:rsidRDefault="002A0B3A" w:rsidP="002A0B3A">
      <w:pPr>
        <w:rPr>
          <w:rFonts w:cstheme="minorHAnsi"/>
          <w:b/>
          <w:sz w:val="24"/>
          <w:szCs w:val="28"/>
        </w:rPr>
      </w:pPr>
    </w:p>
    <w:p w14:paraId="63FDA9FC" w14:textId="77777777" w:rsidR="002A0B3A" w:rsidRPr="002A0B3A" w:rsidRDefault="002A0B3A" w:rsidP="00673277">
      <w:pPr>
        <w:rPr>
          <w:rFonts w:cstheme="minorHAnsi"/>
          <w:szCs w:val="24"/>
        </w:rPr>
      </w:pPr>
    </w:p>
    <w:p w14:paraId="243848BB" w14:textId="77777777" w:rsidR="002A0B3A" w:rsidRPr="002A0B3A" w:rsidRDefault="002A0B3A">
      <w:pPr>
        <w:rPr>
          <w:rFonts w:cstheme="minorHAnsi"/>
          <w:b/>
          <w:bCs/>
          <w:sz w:val="24"/>
          <w:szCs w:val="24"/>
        </w:rPr>
      </w:pPr>
      <w:r w:rsidRPr="002A0B3A">
        <w:rPr>
          <w:rFonts w:cstheme="minorHAnsi"/>
          <w:b/>
          <w:bCs/>
          <w:sz w:val="24"/>
          <w:szCs w:val="24"/>
        </w:rPr>
        <w:br w:type="page"/>
      </w:r>
    </w:p>
    <w:p w14:paraId="0874DEE0" w14:textId="78CE35AA" w:rsidR="00216AA1" w:rsidRDefault="00216AA1" w:rsidP="00D64481">
      <w:pPr>
        <w:spacing w:line="480" w:lineRule="auto"/>
        <w:rPr>
          <w:rFonts w:cstheme="minorHAnsi"/>
        </w:rPr>
      </w:pPr>
      <w:r>
        <w:rPr>
          <w:b/>
          <w:bCs/>
        </w:rPr>
        <w:lastRenderedPageBreak/>
        <w:t xml:space="preserve">Signal detection model of perceptual warping. </w:t>
      </w:r>
      <w:r w:rsidR="00D64481">
        <w:t xml:space="preserve">To estimate how perceptual representations of the target color were distorted by visual search, we implemented a version of the Target Confusability </w:t>
      </w:r>
      <w:r w:rsidR="00267E32">
        <w:t xml:space="preserve">Competition (TCC) </w:t>
      </w:r>
      <w:r w:rsidR="00955C70">
        <w:t xml:space="preserve">memory </w:t>
      </w:r>
      <w:r w:rsidR="00D64481">
        <w:t>mode</w:t>
      </w:r>
      <w:r w:rsidR="00267E32">
        <w:t>l</w:t>
      </w:r>
      <w:r w:rsidR="00DF0334">
        <w:t xml:space="preserve"> </w:t>
      </w:r>
      <w:r w:rsidR="00DF0334">
        <w:fldChar w:fldCharType="begin" w:fldLock="1"/>
      </w:r>
      <w:r w:rsidR="00025F8E">
        <w:instrText>ADDIN CSL_CITATION {"citationItems":[{"id":"ITEM-1","itemData":{"DOI":"10.1038/s41562-020-00938-0","ISBN":"4156202000938","ISSN":"23973374","PMID":"32895546","abstract":"Almost all models of visual memory implicitly assume that errors in mnemonic representations are linearly related to distance in stimulus space. Here we show that neither memory nor perception are appropriately scaled in stimulus space; instead, they are based on a transformed similarity representation that is nonlinearly related to stimulus space. This result calls into question a foundational assumption of extant models of visual working memory. Once psychophysical similarity is taken into account, aspects of memory that have been thought to demonstrate a fixed working memory capacity of around three or four items and to require fundamentally different representations—across different stimuli, tasks and types of memory—can be parsimoniously explained with a unitary signal detection framework. These results have substantial implications for the study of visual memory and lead to a substantial reinterpretation of the relationship between perception, working memory and long-term memory.","author":[{"dropping-particle":"","family":"Schurgin","given":"Mark W.","non-dropping-particle":"","parse-names":false,"suffix":""},{"dropping-particle":"","family":"Wixted","given":"John T.","non-dropping-particle":"","parse-names":false,"suffix":""},{"dropping-particle":"","family":"Brady","given":"Timothy F.","non-dropping-particle":"","parse-names":false,"suffix":""}],"container-title":"Nature Human Behaviour","id":"ITEM-1","issue":"11","issued":{"date-parts":[["2020"]]},"page":"1156-1172","publisher":"Springer US","title":"Psychophysical scaling reveals a unified theory of visual memory strength","type":"article-journal","volume":"4"},"uris":["http://www.mendeley.com/documents/?uuid=31fe2000-98d6-45c0-82a0-69fd4678285c"]}],"mendeley":{"formattedCitation":"(1)","plainTextFormattedCitation":"(1)","previouslyFormattedCitation":"(1)"},"properties":{"noteIndex":0},"schema":"https://github.com/citation-style-language/schema/raw/master/csl-citation.json"}</w:instrText>
      </w:r>
      <w:r w:rsidR="00DF0334">
        <w:fldChar w:fldCharType="separate"/>
      </w:r>
      <w:r w:rsidR="00025F8E" w:rsidRPr="00025F8E">
        <w:rPr>
          <w:noProof/>
        </w:rPr>
        <w:t>(1)</w:t>
      </w:r>
      <w:r w:rsidR="00DF0334">
        <w:fldChar w:fldCharType="end"/>
      </w:r>
      <w:r w:rsidR="00267E32">
        <w:t xml:space="preserve">, which takes a signal detection approach to estimating </w:t>
      </w:r>
      <w:r w:rsidR="00955C70">
        <w:t xml:space="preserve">the representational strength of items </w:t>
      </w:r>
      <w:r w:rsidR="00267E32">
        <w:t xml:space="preserve">based on the similarity between target and non-target items. TCC uses a behaviorally measured psychological similarity function to </w:t>
      </w:r>
      <w:r w:rsidR="0021525A">
        <w:t>determine</w:t>
      </w:r>
      <w:r w:rsidR="00267E32">
        <w:t xml:space="preserve"> how </w:t>
      </w:r>
      <w:r w:rsidR="0021525A">
        <w:t>a familiarity signal spreads</w:t>
      </w:r>
      <w:r w:rsidR="009F6982">
        <w:t xml:space="preserve"> among features based on their similarity/</w:t>
      </w:r>
      <w:r w:rsidR="00955C70">
        <w:t xml:space="preserve">feature </w:t>
      </w:r>
      <w:r w:rsidR="009F6982">
        <w:t>distance. Instead of measuring this similarity function, which limits the resolution to only the distances measured in the behavioral task, we constructed a version of the function reported by</w:t>
      </w:r>
      <w:r w:rsidR="00025F8E">
        <w:t xml:space="preserve"> </w:t>
      </w:r>
      <w:r w:rsidR="00025F8E">
        <w:fldChar w:fldCharType="begin" w:fldLock="1"/>
      </w:r>
      <w:r w:rsidR="00025F8E">
        <w:instrText>ADDIN CSL_CITATION {"citationItems":[{"id":"ITEM-1","itemData":{"DOI":"10.1038/s41562-020-00938-0","ISBN":"4156202000938","ISSN":"23973374","PMID":"32895546","abstract":"Almost all models of visual memory implicitly assume that errors in mnemonic representations are linearly related to distance in stimulus space. Here we show that neither memory nor perception are appropriately scaled in stimulus space; instead, they are based on a transformed similarity representation that is nonlinearly related to stimulus space. This result calls into question a foundational assumption of extant models of visual working memory. Once psychophysical similarity is taken into account, aspects of memory that have been thought to demonstrate a fixed working memory capacity of around three or four items and to require fundamentally different representations—across different stimuli, tasks and types of memory—can be parsimoniously explained with a unitary signal detection framework. These results have substantial implications for the study of visual memory and lead to a substantial reinterpretation of the relationship between perception, working memory and long-term memory.","author":[{"dropping-particle":"","family":"Schurgin","given":"Mark W.","non-dropping-particle":"","parse-names":false,"suffix":""},{"dropping-particle":"","family":"Wixted","given":"John T.","non-dropping-particle":"","parse-names":false,"suffix":""},{"dropping-particle":"","family":"Brady","given":"Timothy F.","non-dropping-particle":"","parse-names":false,"suffix":""}],"container-title":"Nature Human Behaviour","id":"ITEM-1","issue":"11","issued":{"date-parts":[["2020"]]},"page":"1156-1172","publisher":"Springer US","title":"Psychophysical scaling reveals a unified theory of visual memory strength","type":"article-journal","volume":"4"},"uris":["http://www.mendeley.com/documents/?uuid=31fe2000-98d6-45c0-82a0-69fd4678285c"]}],"mendeley":{"formattedCitation":"(1)","plainTextFormattedCitation":"(1)","previouslyFormattedCitation":"(1)"},"properties":{"noteIndex":0},"schema":"https://github.com/citation-style-language/schema/raw/master/csl-citation.json"}</w:instrText>
      </w:r>
      <w:r w:rsidR="00025F8E">
        <w:fldChar w:fldCharType="separate"/>
      </w:r>
      <w:r w:rsidR="00025F8E" w:rsidRPr="00025F8E">
        <w:rPr>
          <w:noProof/>
        </w:rPr>
        <w:t>(1)</w:t>
      </w:r>
      <w:r w:rsidR="00025F8E">
        <w:fldChar w:fldCharType="end"/>
      </w:r>
      <w:r w:rsidR="009F6982">
        <w:t xml:space="preserve"> that allowed for infinite resolution</w:t>
      </w:r>
      <w:r w:rsidR="00ED4AF9">
        <w:t>. Specifically, we assumed a population of neural tuning curves spanning the stimulus space (-180</w:t>
      </w:r>
      <w:r w:rsidR="00ED4AF9">
        <w:rPr>
          <w:rFonts w:cstheme="minorHAnsi"/>
        </w:rPr>
        <w:t xml:space="preserve">° to 180° of color space, centered on a hypothetical target at 0°). Each tuning curve was a normal distribution (SD = 11°) and they were spaced at 2° intervals across the </w:t>
      </w:r>
      <w:r w:rsidR="00B27E99">
        <w:rPr>
          <w:rFonts w:cstheme="minorHAnsi"/>
        </w:rPr>
        <w:t>stimulus space</w:t>
      </w:r>
      <w:r w:rsidR="00A52BDD">
        <w:rPr>
          <w:rFonts w:cstheme="minorHAnsi"/>
        </w:rPr>
        <w:t>. To account for the circular color space, we included tuning curves out to -240° and 240°, although the final function was restricted to the actual range of the color space (-180° to 180°)</w:t>
      </w:r>
      <w:r w:rsidR="00B27E99">
        <w:rPr>
          <w:rFonts w:cstheme="minorHAnsi"/>
        </w:rPr>
        <w:t>. We then scaled the tuning curves based on their distance from 0° by multiplying them with an exponential function: exp(-</w:t>
      </w:r>
      <w:r w:rsidR="007C0091">
        <w:rPr>
          <w:rFonts w:cstheme="minorHAnsi"/>
        </w:rPr>
        <w:t>L</w:t>
      </w:r>
      <w:r w:rsidR="00B27E99">
        <w:rPr>
          <w:rFonts w:cstheme="minorHAnsi"/>
        </w:rPr>
        <w:t>*</w:t>
      </w:r>
      <w:r w:rsidR="00EC2E9A">
        <w:rPr>
          <w:rFonts w:cstheme="minorHAnsi"/>
        </w:rPr>
        <w:t>µ</w:t>
      </w:r>
      <w:r w:rsidR="00EC2E9A">
        <w:rPr>
          <w:rFonts w:cstheme="minorHAnsi"/>
          <w:vertAlign w:val="subscript"/>
        </w:rPr>
        <w:t>d</w:t>
      </w:r>
      <w:r w:rsidR="00EC2E9A">
        <w:rPr>
          <w:rFonts w:cstheme="minorHAnsi"/>
        </w:rPr>
        <w:t>/180), where µ</w:t>
      </w:r>
      <w:r w:rsidR="00EC2E9A">
        <w:rPr>
          <w:rFonts w:cstheme="minorHAnsi"/>
          <w:vertAlign w:val="subscript"/>
        </w:rPr>
        <w:t>d</w:t>
      </w:r>
      <w:r w:rsidR="00EC2E9A">
        <w:rPr>
          <w:rFonts w:cstheme="minorHAnsi"/>
        </w:rPr>
        <w:t xml:space="preserve"> was the absolute distance of the distribution from 0</w:t>
      </w:r>
      <w:r w:rsidR="007C0091">
        <w:rPr>
          <w:rFonts w:cstheme="minorHAnsi"/>
        </w:rPr>
        <w:t>, and L scales the steepness of the exponential and was estimated from data</w:t>
      </w:r>
      <w:r w:rsidR="00EC2E9A">
        <w:rPr>
          <w:rFonts w:cstheme="minorHAnsi"/>
        </w:rPr>
        <w:t>.</w:t>
      </w:r>
      <w:r w:rsidR="00955C70">
        <w:rPr>
          <w:rFonts w:cstheme="minorHAnsi"/>
        </w:rPr>
        <w:t xml:space="preserve"> This roughly corresponds to the psychophysically assessed similarity function. </w:t>
      </w:r>
    </w:p>
    <w:p w14:paraId="7857BBF2" w14:textId="66F9BDDC" w:rsidR="00A52BDD" w:rsidRDefault="00A52BDD" w:rsidP="006768B5">
      <w:pPr>
        <w:spacing w:line="480" w:lineRule="auto"/>
        <w:rPr>
          <w:rFonts w:cstheme="minorHAnsi"/>
        </w:rPr>
      </w:pPr>
      <w:r>
        <w:rPr>
          <w:rFonts w:cstheme="minorHAnsi"/>
        </w:rPr>
        <w:tab/>
        <w:t xml:space="preserve">With this </w:t>
      </w:r>
      <w:r w:rsidR="00F645DF">
        <w:rPr>
          <w:rFonts w:cstheme="minorHAnsi"/>
        </w:rPr>
        <w:t xml:space="preserve">similarity function in place, we then proceeded to fit this model to the data from Experiment 2. For each target-distractor distance condition, we estimated two parameters: </w:t>
      </w:r>
      <w:r w:rsidR="008061BF">
        <w:rPr>
          <w:rFonts w:cstheme="minorHAnsi"/>
        </w:rPr>
        <w:t>representational</w:t>
      </w:r>
      <w:r w:rsidR="00F645DF">
        <w:rPr>
          <w:rFonts w:cstheme="minorHAnsi"/>
        </w:rPr>
        <w:t xml:space="preserve"> strength for the target color (measured in d’), which scales the height of the similarity function; bias (in degrees), which shifts the peak of the similarity function. </w:t>
      </w:r>
      <w:r w:rsidR="007C0091">
        <w:rPr>
          <w:rFonts w:cstheme="minorHAnsi"/>
        </w:rPr>
        <w:t xml:space="preserve">We also estimated the steepness parameter L, which was shared across all target-distractor distances. </w:t>
      </w:r>
      <w:r w:rsidR="00903FC4">
        <w:rPr>
          <w:rFonts w:cstheme="minorHAnsi"/>
        </w:rPr>
        <w:t>Performance in the 2-AFC similarity judgment was simulated by taking the difference in the height of the similarity function</w:t>
      </w:r>
      <w:r w:rsidR="00E34C97">
        <w:rPr>
          <w:rFonts w:cstheme="minorHAnsi"/>
        </w:rPr>
        <w:t xml:space="preserve"> </w:t>
      </w:r>
      <w:r w:rsidR="00903FC4">
        <w:rPr>
          <w:rFonts w:cstheme="minorHAnsi"/>
        </w:rPr>
        <w:t>between the target (0°) and foil colors</w:t>
      </w:r>
      <w:r w:rsidR="00E34C97">
        <w:rPr>
          <w:rFonts w:cstheme="minorHAnsi"/>
        </w:rPr>
        <w:t>, after applying the transformation by the two parameters (Figure S</w:t>
      </w:r>
      <w:r w:rsidR="007C0091">
        <w:rPr>
          <w:rFonts w:cstheme="minorHAnsi"/>
        </w:rPr>
        <w:t>1</w:t>
      </w:r>
      <w:r w:rsidR="00E34C97">
        <w:rPr>
          <w:rFonts w:cstheme="minorHAnsi"/>
        </w:rPr>
        <w:t>)</w:t>
      </w:r>
      <w:r w:rsidR="00903FC4">
        <w:rPr>
          <w:rFonts w:cstheme="minorHAnsi"/>
        </w:rPr>
        <w:t xml:space="preserve">. </w:t>
      </w:r>
      <w:r w:rsidR="00E34C97">
        <w:rPr>
          <w:rFonts w:cstheme="minorHAnsi"/>
        </w:rPr>
        <w:t>Functions were fit to the behavioral data for each subject using the “</w:t>
      </w:r>
      <w:proofErr w:type="spellStart"/>
      <w:r w:rsidR="00E34C97">
        <w:rPr>
          <w:rFonts w:cstheme="minorHAnsi"/>
        </w:rPr>
        <w:t>optim</w:t>
      </w:r>
      <w:proofErr w:type="spellEnd"/>
      <w:r w:rsidR="00E34C97">
        <w:rPr>
          <w:rFonts w:cstheme="minorHAnsi"/>
        </w:rPr>
        <w:t>” function in R</w:t>
      </w:r>
      <w:r w:rsidR="00025F8E">
        <w:rPr>
          <w:rFonts w:cstheme="minorHAnsi"/>
        </w:rPr>
        <w:t xml:space="preserve"> (version </w:t>
      </w:r>
      <w:r w:rsidR="00025F8E">
        <w:rPr>
          <w:rFonts w:cstheme="minorHAnsi"/>
        </w:rPr>
        <w:lastRenderedPageBreak/>
        <w:t xml:space="preserve">4.0.4 </w:t>
      </w:r>
      <w:r w:rsidR="00025F8E">
        <w:rPr>
          <w:rFonts w:cstheme="minorHAnsi"/>
        </w:rPr>
        <w:fldChar w:fldCharType="begin" w:fldLock="1"/>
      </w:r>
      <w:r w:rsidR="00025F8E">
        <w:rPr>
          <w:rFonts w:cstheme="minorHAnsi"/>
        </w:rPr>
        <w:instrText>ADDIN CSL_CITATION {"citationItems":[{"id":"ITEM-1","itemData":{"author":[{"dropping-particle":"","family":"R Core Team","given":"","non-dropping-particle":"","parse-names":false,"suffix":""}],"id":"ITEM-1","issued":{"date-parts":[["2021"]]},"number":"4.1.0","publisher":"R Foundation for Statistical Computing","publisher-place":"Vienna, Austria","title":"R: A Language and Environment for Statistical Computing","type":"article"},"uris":["http://www.mendeley.com/documents/?uuid=c4b86987-574b-4d09-978a-44fdfa920876"]}],"mendeley":{"formattedCitation":"(2)","plainTextFormattedCitation":"(2)","previouslyFormattedCitation":"(2)"},"properties":{"noteIndex":0},"schema":"https://github.com/citation-style-language/schema/raw/master/csl-citation.json"}</w:instrText>
      </w:r>
      <w:r w:rsidR="00025F8E">
        <w:rPr>
          <w:rFonts w:cstheme="minorHAnsi"/>
        </w:rPr>
        <w:fldChar w:fldCharType="separate"/>
      </w:r>
      <w:r w:rsidR="00025F8E" w:rsidRPr="00025F8E">
        <w:rPr>
          <w:rFonts w:cstheme="minorHAnsi"/>
          <w:noProof/>
        </w:rPr>
        <w:t>(2)</w:t>
      </w:r>
      <w:r w:rsidR="00025F8E">
        <w:rPr>
          <w:rFonts w:cstheme="minorHAnsi"/>
        </w:rPr>
        <w:fldChar w:fldCharType="end"/>
      </w:r>
      <w:r w:rsidR="00025F8E">
        <w:rPr>
          <w:rFonts w:cstheme="minorHAnsi"/>
        </w:rPr>
        <w:t>)</w:t>
      </w:r>
      <w:r w:rsidR="00E34C97">
        <w:rPr>
          <w:rFonts w:cstheme="minorHAnsi"/>
        </w:rPr>
        <w:t xml:space="preserve"> with the </w:t>
      </w:r>
      <w:proofErr w:type="spellStart"/>
      <w:r w:rsidR="00E34C97">
        <w:rPr>
          <w:rFonts w:cstheme="minorHAnsi"/>
        </w:rPr>
        <w:t>Nelder</w:t>
      </w:r>
      <w:proofErr w:type="spellEnd"/>
      <w:r w:rsidR="00E34C97">
        <w:rPr>
          <w:rFonts w:cstheme="minorHAnsi"/>
        </w:rPr>
        <w:t xml:space="preserve">-Mead algorithm. </w:t>
      </w:r>
      <w:r w:rsidR="00AC57B3">
        <w:rPr>
          <w:rFonts w:cstheme="minorHAnsi"/>
        </w:rPr>
        <w:t>We then averaged the best fitting parameters for each condition across all subjects (see Table S1 for summary statistics).</w:t>
      </w:r>
      <w:r w:rsidR="0006075B">
        <w:rPr>
          <w:rFonts w:cstheme="minorHAnsi"/>
        </w:rPr>
        <w:t xml:space="preserve"> </w:t>
      </w:r>
      <w:proofErr w:type="gramStart"/>
      <w:r w:rsidR="0006075B">
        <w:rPr>
          <w:rFonts w:cstheme="minorHAnsi"/>
        </w:rPr>
        <w:t>Final results</w:t>
      </w:r>
      <w:proofErr w:type="gramEnd"/>
      <w:r w:rsidR="0006075B">
        <w:rPr>
          <w:rFonts w:cstheme="minorHAnsi"/>
        </w:rPr>
        <w:t xml:space="preserve"> of the fitted function are shown in Figure 2 of the main manuscript.</w:t>
      </w:r>
    </w:p>
    <w:p w14:paraId="13C48D67" w14:textId="183A26C3" w:rsidR="006768B5" w:rsidRDefault="006768B5" w:rsidP="006768B5">
      <w:pPr>
        <w:spacing w:line="480" w:lineRule="auto"/>
        <w:rPr>
          <w:rFonts w:cstheme="minorHAnsi"/>
        </w:rPr>
      </w:pPr>
    </w:p>
    <w:p w14:paraId="09EDC0B0" w14:textId="647DDCD2" w:rsidR="00693498" w:rsidRPr="00B066A0" w:rsidRDefault="00693498" w:rsidP="006768B5">
      <w:pPr>
        <w:spacing w:line="480" w:lineRule="auto"/>
        <w:rPr>
          <w:rFonts w:cstheme="minorHAnsi"/>
        </w:rPr>
      </w:pPr>
      <w:r w:rsidRPr="003B182E">
        <w:rPr>
          <w:rFonts w:cstheme="minorHAnsi"/>
          <w:b/>
          <w:bCs/>
        </w:rPr>
        <w:t>Representational</w:t>
      </w:r>
      <w:r>
        <w:rPr>
          <w:rFonts w:cstheme="minorHAnsi"/>
          <w:b/>
          <w:bCs/>
        </w:rPr>
        <w:t xml:space="preserve"> geometry analysis. </w:t>
      </w:r>
      <w:r w:rsidRPr="003B182E">
        <w:rPr>
          <w:rFonts w:cstheme="minorHAnsi"/>
        </w:rPr>
        <w:t xml:space="preserve">We </w:t>
      </w:r>
      <w:r>
        <w:rPr>
          <w:rFonts w:cstheme="minorHAnsi"/>
        </w:rPr>
        <w:t>assessed the changes in representational geometry as a function of attention by first simulating a hypothetical neural population. Forty simulated neurons were defined, with a firing rate modeled by a von Mises distribution (κ = 5) and a preferred feature chosen for each neuron to span the feature space (9˚ spacing</w:t>
      </w:r>
      <w:r w:rsidR="004B3709">
        <w:rPr>
          <w:rFonts w:cstheme="minorHAnsi"/>
        </w:rPr>
        <w:t>; see Figure 3A in the main manuscript</w:t>
      </w:r>
      <w:r>
        <w:rPr>
          <w:rFonts w:cstheme="minorHAnsi"/>
        </w:rPr>
        <w:t>).</w:t>
      </w:r>
      <w:r w:rsidR="00C6634F">
        <w:rPr>
          <w:rFonts w:cstheme="minorHAnsi"/>
        </w:rPr>
        <w:t xml:space="preserve"> Population responses were normalized by dividing by the mean neural response.</w:t>
      </w:r>
      <w:r>
        <w:rPr>
          <w:rFonts w:cstheme="minorHAnsi"/>
        </w:rPr>
        <w:t xml:space="preserve"> </w:t>
      </w:r>
      <w:r w:rsidR="00997D07">
        <w:rPr>
          <w:rFonts w:cstheme="minorHAnsi"/>
        </w:rPr>
        <w:t>To simulate the effects of attention on this neural population, we defined an “attention filter” with a gain envelope modeled by another von Mises distribution (κ = 2), centered at -</w:t>
      </w:r>
      <w:r w:rsidR="00F22838">
        <w:rPr>
          <w:rFonts w:cstheme="minorHAnsi"/>
        </w:rPr>
        <w:t>20</w:t>
      </w:r>
      <w:r w:rsidR="00997D07">
        <w:rPr>
          <w:rFonts w:cstheme="minorHAnsi"/>
        </w:rPr>
        <w:t xml:space="preserve">˚ to reflect a bias away from a hypothetical </w:t>
      </w:r>
      <w:r w:rsidR="0025110B">
        <w:rPr>
          <w:rFonts w:cstheme="minorHAnsi"/>
        </w:rPr>
        <w:t xml:space="preserve">30˚ </w:t>
      </w:r>
      <w:r w:rsidR="00997D07">
        <w:rPr>
          <w:rFonts w:cstheme="minorHAnsi"/>
        </w:rPr>
        <w:t>distractor position. This attention filter was scaled (all values divided by the peak response), weighted (all values multiplied by 0.4), and shifted (a constant amount of 1 added to all values</w:t>
      </w:r>
      <w:r w:rsidR="003B182E">
        <w:rPr>
          <w:rFonts w:cstheme="minorHAnsi"/>
        </w:rPr>
        <w:t>, resulting in increased gain for neurons selective for this feature, but no change in the response of neurons tuned at the other side of the feature space</w:t>
      </w:r>
      <w:r w:rsidR="00997D07">
        <w:rPr>
          <w:rFonts w:cstheme="minorHAnsi"/>
        </w:rPr>
        <w:t>). The response of the neural population was then multiplied with this filter</w:t>
      </w:r>
      <w:r w:rsidR="009F5C5D">
        <w:rPr>
          <w:rFonts w:cstheme="minorHAnsi"/>
        </w:rPr>
        <w:t xml:space="preserve"> and normalized</w:t>
      </w:r>
      <w:r w:rsidR="00997D07">
        <w:rPr>
          <w:rFonts w:cstheme="minorHAnsi"/>
        </w:rPr>
        <w:t xml:space="preserve">, giving a transformed population response under the </w:t>
      </w:r>
      <w:r w:rsidR="004B3709">
        <w:rPr>
          <w:rFonts w:cstheme="minorHAnsi"/>
        </w:rPr>
        <w:t>simulated attention conditions (</w:t>
      </w:r>
      <w:r w:rsidR="004B3709" w:rsidRPr="00B066A0">
        <w:rPr>
          <w:rFonts w:cstheme="minorHAnsi"/>
        </w:rPr>
        <w:t xml:space="preserve">Figure </w:t>
      </w:r>
      <w:r w:rsidR="009F5C5D" w:rsidRPr="00B066A0">
        <w:rPr>
          <w:rFonts w:cstheme="minorHAnsi"/>
        </w:rPr>
        <w:t>3</w:t>
      </w:r>
      <w:r w:rsidR="009F5C5D">
        <w:rPr>
          <w:rFonts w:cstheme="minorHAnsi"/>
        </w:rPr>
        <w:t>C</w:t>
      </w:r>
      <w:r w:rsidR="004B3709">
        <w:rPr>
          <w:rFonts w:cstheme="minorHAnsi"/>
        </w:rPr>
        <w:t xml:space="preserve">). To examine the geometry of the population, we </w:t>
      </w:r>
      <w:r w:rsidR="00F22838">
        <w:rPr>
          <w:rFonts w:cstheme="minorHAnsi"/>
        </w:rPr>
        <w:t>performed</w:t>
      </w:r>
      <w:r w:rsidR="004B3709">
        <w:rPr>
          <w:rFonts w:cstheme="minorHAnsi"/>
        </w:rPr>
        <w:t xml:space="preserve"> multidimensional scaling (MDS)</w:t>
      </w:r>
      <w:r w:rsidR="00F22838">
        <w:rPr>
          <w:rFonts w:cstheme="minorHAnsi"/>
        </w:rPr>
        <w:t xml:space="preserve"> using principal components analysis </w:t>
      </w:r>
      <w:r w:rsidR="00C6634F">
        <w:rPr>
          <w:rFonts w:cstheme="minorHAnsi"/>
        </w:rPr>
        <w:t xml:space="preserve">(PCA) </w:t>
      </w:r>
      <w:r w:rsidR="00F22838">
        <w:rPr>
          <w:rFonts w:cstheme="minorHAnsi"/>
        </w:rPr>
        <w:t>on the response</w:t>
      </w:r>
      <w:r w:rsidR="00C6634F">
        <w:rPr>
          <w:rFonts w:cstheme="minorHAnsi"/>
        </w:rPr>
        <w:t xml:space="preserve"> properties of the simulated neural population. For these purposes, this is equivalent to using classical MDS with a Euclidian distance metric</w:t>
      </w:r>
      <w:r w:rsidR="00B066A0">
        <w:rPr>
          <w:rFonts w:cstheme="minorHAnsi"/>
        </w:rPr>
        <w:t xml:space="preserve">. </w:t>
      </w:r>
      <w:r w:rsidR="00C6634F">
        <w:rPr>
          <w:rFonts w:cstheme="minorHAnsi"/>
        </w:rPr>
        <w:t xml:space="preserve">PCA was </w:t>
      </w:r>
      <w:r w:rsidR="009F5C5D">
        <w:rPr>
          <w:rFonts w:cstheme="minorHAnsi"/>
        </w:rPr>
        <w:t xml:space="preserve">first </w:t>
      </w:r>
      <w:r w:rsidR="00C6634F">
        <w:rPr>
          <w:rFonts w:cstheme="minorHAnsi"/>
        </w:rPr>
        <w:t>done on the untransformed population</w:t>
      </w:r>
      <w:r w:rsidR="009F5C5D">
        <w:rPr>
          <w:rFonts w:cstheme="minorHAnsi"/>
        </w:rPr>
        <w:t>, and</w:t>
      </w:r>
      <w:r w:rsidR="00C6634F">
        <w:rPr>
          <w:rFonts w:cstheme="minorHAnsi"/>
        </w:rPr>
        <w:t xml:space="preserve"> </w:t>
      </w:r>
      <w:r w:rsidR="009F5C5D">
        <w:rPr>
          <w:rFonts w:cstheme="minorHAnsi"/>
        </w:rPr>
        <w:t>then the responses of the population modulated by attention were projected into this PC space using the component weights (Figure 3B). For plotting purposes, we used the first 2</w:t>
      </w:r>
      <w:r w:rsidR="00147A34">
        <w:rPr>
          <w:rFonts w:cstheme="minorHAnsi"/>
        </w:rPr>
        <w:t>/40</w:t>
      </w:r>
      <w:r w:rsidR="009F5C5D">
        <w:rPr>
          <w:rFonts w:cstheme="minorHAnsi"/>
        </w:rPr>
        <w:t xml:space="preserve"> PCs, which accounted for 57.1% of the variance in the simulated neural population.  </w:t>
      </w:r>
    </w:p>
    <w:p w14:paraId="59151101" w14:textId="77777777" w:rsidR="00693498" w:rsidRDefault="00693498" w:rsidP="006768B5">
      <w:pPr>
        <w:spacing w:line="480" w:lineRule="auto"/>
        <w:rPr>
          <w:rFonts w:cstheme="minorHAnsi"/>
        </w:rPr>
      </w:pPr>
    </w:p>
    <w:p w14:paraId="647A14F8" w14:textId="26377D9D" w:rsidR="006768B5" w:rsidRDefault="006768B5" w:rsidP="006768B5">
      <w:pPr>
        <w:spacing w:line="480" w:lineRule="auto"/>
        <w:rPr>
          <w:rFonts w:cstheme="minorHAnsi"/>
        </w:rPr>
      </w:pPr>
      <w:r>
        <w:rPr>
          <w:rFonts w:cstheme="minorHAnsi"/>
          <w:b/>
          <w:bCs/>
        </w:rPr>
        <w:t xml:space="preserve">Visual search RTs as a function of target-distractor similarity. </w:t>
      </w:r>
      <w:r>
        <w:rPr>
          <w:rFonts w:cstheme="minorHAnsi"/>
        </w:rPr>
        <w:t xml:space="preserve">In Experiment 1, participants reported the location of the visual search target prior to the presentation of the </w:t>
      </w:r>
      <w:r w:rsidR="00955C70">
        <w:rPr>
          <w:rFonts w:cstheme="minorHAnsi"/>
        </w:rPr>
        <w:t xml:space="preserve">2AFC </w:t>
      </w:r>
      <w:r>
        <w:rPr>
          <w:rFonts w:cstheme="minorHAnsi"/>
        </w:rPr>
        <w:t xml:space="preserve">similarity judgment options. </w:t>
      </w:r>
      <w:r w:rsidR="008466F5">
        <w:rPr>
          <w:rFonts w:cstheme="minorHAnsi"/>
        </w:rPr>
        <w:t>RTs during visual search are generally longer the more similar the targets and distractors are</w:t>
      </w:r>
      <w:r w:rsidR="00025F8E">
        <w:rPr>
          <w:rFonts w:cstheme="minorHAnsi"/>
        </w:rPr>
        <w:t xml:space="preserve"> </w:t>
      </w:r>
      <w:r w:rsidR="00025F8E">
        <w:rPr>
          <w:rFonts w:cstheme="minorHAnsi"/>
        </w:rPr>
        <w:fldChar w:fldCharType="begin" w:fldLock="1"/>
      </w:r>
      <w:r w:rsidR="00FE65E9">
        <w:rPr>
          <w:rFonts w:cstheme="minorHAnsi"/>
        </w:rPr>
        <w:instrText>ADDIN CSL_CITATION {"citationItems":[{"id":"ITEM-1","itemData":{"DOI":"10.1167/jov.22.8.4","author":[{"dropping-particle":"","family":"Chapman","given":"Angus F.","non-dropping-particle":"","parse-names":false,"suffix":""},{"dropping-particle":"","family":"Störmer","given":"Viola S.","non-dropping-particle":"","parse-names":false,"suffix":""}],"container-title":"Journal of Vision","id":"ITEM-1","issue":"8","issued":{"date-parts":[["2022"]]},"page":"4","title":"Feature similarity is non-linearly related to attentional selection: evidence from visual search and sustained attention tasks","type":"article-journal","volume":"22"},"uris":["http://www.mendeley.com/documents/?uuid=c2266469-3fb0-4c31-99d3-ffa1d453235e"]}],"mendeley":{"formattedCitation":"(3)","plainTextFormattedCitation":"(3)","previouslyFormattedCitation":"(3)"},"properties":{"noteIndex":0},"schema":"https://github.com/citation-style-language/schema/raw/master/csl-citation.json"}</w:instrText>
      </w:r>
      <w:r w:rsidR="00025F8E">
        <w:rPr>
          <w:rFonts w:cstheme="minorHAnsi"/>
        </w:rPr>
        <w:fldChar w:fldCharType="separate"/>
      </w:r>
      <w:r w:rsidR="00025F8E" w:rsidRPr="00025F8E">
        <w:rPr>
          <w:rFonts w:cstheme="minorHAnsi"/>
          <w:noProof/>
        </w:rPr>
        <w:t>(3)</w:t>
      </w:r>
      <w:r w:rsidR="00025F8E">
        <w:rPr>
          <w:rFonts w:cstheme="minorHAnsi"/>
        </w:rPr>
        <w:fldChar w:fldCharType="end"/>
      </w:r>
      <w:r w:rsidR="008466F5">
        <w:rPr>
          <w:rFonts w:cstheme="minorHAnsi"/>
        </w:rPr>
        <w:t>, and we observed this in our data as well (Figure S</w:t>
      </w:r>
      <w:r w:rsidR="00C73017">
        <w:rPr>
          <w:rFonts w:cstheme="minorHAnsi"/>
        </w:rPr>
        <w:t>2</w:t>
      </w:r>
      <w:r w:rsidR="008466F5">
        <w:rPr>
          <w:rFonts w:cstheme="minorHAnsi"/>
        </w:rPr>
        <w:t xml:space="preserve">). Differences in RT might propagate as errors </w:t>
      </w:r>
      <w:r w:rsidR="00A5629C">
        <w:rPr>
          <w:rFonts w:cstheme="minorHAnsi"/>
        </w:rPr>
        <w:t xml:space="preserve">in the similarity judgment task, since biases in </w:t>
      </w:r>
      <w:r w:rsidR="00266D82">
        <w:rPr>
          <w:rFonts w:cstheme="minorHAnsi"/>
        </w:rPr>
        <w:t xml:space="preserve">working memory </w:t>
      </w:r>
      <w:r w:rsidR="00A5629C">
        <w:rPr>
          <w:rFonts w:cstheme="minorHAnsi"/>
        </w:rPr>
        <w:t xml:space="preserve">studies have been shown to increase with delays between encoding and recall </w:t>
      </w:r>
      <w:r w:rsidR="00DF0334">
        <w:rPr>
          <w:rFonts w:cstheme="minorHAnsi"/>
        </w:rPr>
        <w:fldChar w:fldCharType="begin" w:fldLock="1"/>
      </w:r>
      <w:r w:rsidR="00025F8E">
        <w:rPr>
          <w:rFonts w:cstheme="minorHAnsi"/>
        </w:rPr>
        <w:instrText>ADDIN CSL_CITATION {"citationItems":[{"id":"ITEM-1","itemData":{"DOI":"10.1037/xge0001191","ISBN":"0000000310","ISSN":"0096-3445","abstract":"When holding multiple items in visual working memory, representations of individual items are often attracted to, or repelled from, each other. While this is empirically well-established, existing frameworks do not account for both types of distortions, which appear to be in opposition. Here, we demonstrate that both types of memory distortion may confer functional benefits under different circumstances. When there are many items to remember and subjects are near their capacity to accurately remember each item individually, memories for each item become more similar (attraction). However, when remembering smaller sets of highly similar but discernible items, memory for each item becomes more distinct (repulsion), possibly to support better discrimination. Importantly, this repulsion grows stronger with longer delays, suggesting that it dynamically evolves in memory and is not just a differentiation process that occurs during encoding. Furthermore, both attraction and repulsion occur even in tasks designed to mitigate response bias concerns, suggesting they are genuine changes in memory representations. Together, these results are in line with the theory that attraction biases act to stabilize memory signals by capitalizing on information about an entire group of items, whereas repulsion biases reflect a tradeoff between maintaining accurate but distinct representations. Both biases suggest that human memory systems may sacrifice veridical representations in favor of representations that better support specific behavioral goals.","author":[{"dropping-particle":"","family":"Chunharas","given":"Chaipat","non-dropping-particle":"","parse-names":false,"suffix":""},{"dropping-particle":"","family":"Rademaker","given":"Rosanne L.","non-dropping-particle":"","parse-names":false,"suffix":""},{"dropping-particle":"","family":"Brady","given":"Timothy F.","non-dropping-particle":"","parse-names":false,"suffix":""},{"dropping-particle":"","family":"Serences","given":"John T.","non-dropping-particle":"","parse-names":false,"suffix":""}],"container-title":"Journal of Experimental Psychology: General","id":"ITEM-1","issued":{"date-parts":[["2022"]]},"title":"An adaptive perspective on visual working memory distortions.","type":"article-journal"},"uris":["http://www.mendeley.com/documents/?uuid=cc189d70-ca66-46b1-9960-5eb16f05f0c1"]}],"mendeley":{"formattedCitation":"(4)","plainTextFormattedCitation":"(4)","previouslyFormattedCitation":"(4)"},"properties":{"noteIndex":0},"schema":"https://github.com/citation-style-language/schema/raw/master/csl-citation.json"}</w:instrText>
      </w:r>
      <w:r w:rsidR="00DF0334">
        <w:rPr>
          <w:rFonts w:cstheme="minorHAnsi"/>
        </w:rPr>
        <w:fldChar w:fldCharType="separate"/>
      </w:r>
      <w:r w:rsidR="00025F8E" w:rsidRPr="00025F8E">
        <w:rPr>
          <w:rFonts w:cstheme="minorHAnsi"/>
          <w:noProof/>
        </w:rPr>
        <w:t>(4)</w:t>
      </w:r>
      <w:r w:rsidR="00DF0334">
        <w:rPr>
          <w:rFonts w:cstheme="minorHAnsi"/>
        </w:rPr>
        <w:fldChar w:fldCharType="end"/>
      </w:r>
      <w:r w:rsidR="00A5629C">
        <w:rPr>
          <w:rFonts w:cstheme="minorHAnsi"/>
        </w:rPr>
        <w:t xml:space="preserve">. To test whether this was the case in </w:t>
      </w:r>
      <w:r w:rsidR="00C73017">
        <w:rPr>
          <w:rFonts w:cstheme="minorHAnsi"/>
        </w:rPr>
        <w:t>Experiment 1</w:t>
      </w:r>
      <w:r w:rsidR="00A5629C">
        <w:rPr>
          <w:rFonts w:cstheme="minorHAnsi"/>
        </w:rPr>
        <w:t xml:space="preserve">, we </w:t>
      </w:r>
      <w:r w:rsidR="00C73017">
        <w:rPr>
          <w:rFonts w:cstheme="minorHAnsi"/>
        </w:rPr>
        <w:t xml:space="preserve">reanalyzed our data while including visual search RT as a covariate in the analysis. The results of this additional analysis are summarized in Figure S3, across a subset of simulated visual search RTs that roughly spanned the range observed in the </w:t>
      </w:r>
      <w:r w:rsidR="004E25FA">
        <w:rPr>
          <w:rFonts w:cstheme="minorHAnsi"/>
        </w:rPr>
        <w:t xml:space="preserve">data. These results suggest that the perceptual biases in this experiment were largely unaffected by differences in RTs from trial-to-trial. </w:t>
      </w:r>
      <w:r>
        <w:rPr>
          <w:rFonts w:cstheme="minorHAnsi"/>
        </w:rPr>
        <w:br w:type="page"/>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C57B3" w14:paraId="50874418" w14:textId="77777777" w:rsidTr="00B23440">
        <w:tc>
          <w:tcPr>
            <w:tcW w:w="3116" w:type="dxa"/>
          </w:tcPr>
          <w:p w14:paraId="62B63F69" w14:textId="7DDB2FDE" w:rsidR="00AC57B3" w:rsidRDefault="00AC57B3" w:rsidP="00025F8E">
            <w:pPr>
              <w:spacing w:line="360" w:lineRule="auto"/>
              <w:jc w:val="center"/>
            </w:pPr>
            <w:r>
              <w:lastRenderedPageBreak/>
              <w:t xml:space="preserve">Target-distractor </w:t>
            </w:r>
            <w:r w:rsidR="006768B5">
              <w:t>similarity</w:t>
            </w:r>
          </w:p>
        </w:tc>
        <w:tc>
          <w:tcPr>
            <w:tcW w:w="3117" w:type="dxa"/>
            <w:tcBorders>
              <w:top w:val="single" w:sz="4" w:space="0" w:color="auto"/>
              <w:bottom w:val="single" w:sz="4" w:space="0" w:color="auto"/>
            </w:tcBorders>
          </w:tcPr>
          <w:p w14:paraId="04AB7EE8" w14:textId="1461B3D3" w:rsidR="00AC57B3" w:rsidRDefault="008061BF" w:rsidP="00025F8E">
            <w:pPr>
              <w:spacing w:line="360" w:lineRule="auto"/>
              <w:jc w:val="center"/>
            </w:pPr>
            <w:r>
              <w:t xml:space="preserve">Representational </w:t>
            </w:r>
            <w:r w:rsidR="00B23440">
              <w:t>strength (d’)</w:t>
            </w:r>
          </w:p>
        </w:tc>
        <w:tc>
          <w:tcPr>
            <w:tcW w:w="3117" w:type="dxa"/>
            <w:tcBorders>
              <w:top w:val="single" w:sz="4" w:space="0" w:color="auto"/>
              <w:bottom w:val="single" w:sz="4" w:space="0" w:color="auto"/>
            </w:tcBorders>
          </w:tcPr>
          <w:p w14:paraId="42304301" w14:textId="7711260D" w:rsidR="00AC57B3" w:rsidRDefault="00B23440" w:rsidP="00025F8E">
            <w:pPr>
              <w:spacing w:line="360" w:lineRule="auto"/>
              <w:jc w:val="center"/>
            </w:pPr>
            <w:r>
              <w:t>Bias</w:t>
            </w:r>
          </w:p>
        </w:tc>
      </w:tr>
      <w:tr w:rsidR="00AC57B3" w14:paraId="1937A4CD" w14:textId="77777777" w:rsidTr="00B23440">
        <w:tc>
          <w:tcPr>
            <w:tcW w:w="3116" w:type="dxa"/>
          </w:tcPr>
          <w:p w14:paraId="704C388A" w14:textId="4DAD686C" w:rsidR="00AC57B3" w:rsidRDefault="00B23440" w:rsidP="00025F8E">
            <w:pPr>
              <w:spacing w:line="360" w:lineRule="auto"/>
              <w:jc w:val="center"/>
            </w:pPr>
            <w:r>
              <w:t>30</w:t>
            </w:r>
            <w:r>
              <w:rPr>
                <w:rFonts w:cstheme="minorHAnsi"/>
              </w:rPr>
              <w:t>°</w:t>
            </w:r>
          </w:p>
        </w:tc>
        <w:tc>
          <w:tcPr>
            <w:tcW w:w="3117" w:type="dxa"/>
            <w:tcBorders>
              <w:top w:val="single" w:sz="4" w:space="0" w:color="auto"/>
            </w:tcBorders>
          </w:tcPr>
          <w:p w14:paraId="3721EE95" w14:textId="63F02929" w:rsidR="00AC57B3" w:rsidRDefault="007C0091" w:rsidP="00025F8E">
            <w:pPr>
              <w:spacing w:line="360" w:lineRule="auto"/>
              <w:jc w:val="center"/>
            </w:pPr>
            <w:r>
              <w:t>3.</w:t>
            </w:r>
            <w:r w:rsidR="00F359F4">
              <w:t>18</w:t>
            </w:r>
            <w:r>
              <w:t xml:space="preserve"> (0.</w:t>
            </w:r>
            <w:r w:rsidR="00F359F4">
              <w:t>50</w:t>
            </w:r>
            <w:r w:rsidR="00B2245F">
              <w:t>)</w:t>
            </w:r>
          </w:p>
        </w:tc>
        <w:tc>
          <w:tcPr>
            <w:tcW w:w="3117" w:type="dxa"/>
            <w:tcBorders>
              <w:top w:val="single" w:sz="4" w:space="0" w:color="auto"/>
            </w:tcBorders>
          </w:tcPr>
          <w:p w14:paraId="2BCAAC10" w14:textId="7998ABC2" w:rsidR="00AC57B3" w:rsidRDefault="00B2245F" w:rsidP="00025F8E">
            <w:pPr>
              <w:spacing w:line="360" w:lineRule="auto"/>
              <w:jc w:val="center"/>
            </w:pPr>
            <w:r>
              <w:t>11.</w:t>
            </w:r>
            <w:r w:rsidR="00F359F4">
              <w:t>52</w:t>
            </w:r>
            <w:r>
              <w:rPr>
                <w:rFonts w:cstheme="minorHAnsi"/>
              </w:rPr>
              <w:t>°</w:t>
            </w:r>
            <w:r>
              <w:t xml:space="preserve"> (3.</w:t>
            </w:r>
            <w:r w:rsidR="00F359F4">
              <w:t>82</w:t>
            </w:r>
            <w:r>
              <w:t>)</w:t>
            </w:r>
          </w:p>
        </w:tc>
      </w:tr>
      <w:tr w:rsidR="00AC57B3" w14:paraId="2E141B7F" w14:textId="77777777" w:rsidTr="00B23440">
        <w:tc>
          <w:tcPr>
            <w:tcW w:w="3116" w:type="dxa"/>
          </w:tcPr>
          <w:p w14:paraId="06BA0ECA" w14:textId="50455085" w:rsidR="00AC57B3" w:rsidRDefault="00B23440" w:rsidP="00025F8E">
            <w:pPr>
              <w:spacing w:line="360" w:lineRule="auto"/>
              <w:jc w:val="center"/>
            </w:pPr>
            <w:r>
              <w:t>60</w:t>
            </w:r>
            <w:r>
              <w:rPr>
                <w:rFonts w:cstheme="minorHAnsi"/>
              </w:rPr>
              <w:t>°</w:t>
            </w:r>
          </w:p>
        </w:tc>
        <w:tc>
          <w:tcPr>
            <w:tcW w:w="3117" w:type="dxa"/>
          </w:tcPr>
          <w:p w14:paraId="2AD60558" w14:textId="43AE8CB7" w:rsidR="00AC57B3" w:rsidRDefault="00B2245F" w:rsidP="00025F8E">
            <w:pPr>
              <w:spacing w:line="360" w:lineRule="auto"/>
              <w:jc w:val="center"/>
            </w:pPr>
            <w:r>
              <w:t>2.</w:t>
            </w:r>
            <w:r w:rsidR="00F359F4">
              <w:t>94</w:t>
            </w:r>
            <w:r>
              <w:t xml:space="preserve"> (0.</w:t>
            </w:r>
            <w:r w:rsidR="00F359F4">
              <w:t>42</w:t>
            </w:r>
            <w:r>
              <w:t>)</w:t>
            </w:r>
          </w:p>
        </w:tc>
        <w:tc>
          <w:tcPr>
            <w:tcW w:w="3117" w:type="dxa"/>
          </w:tcPr>
          <w:p w14:paraId="6F97D004" w14:textId="669495B4" w:rsidR="00AC57B3" w:rsidRDefault="00B2245F" w:rsidP="00025F8E">
            <w:pPr>
              <w:spacing w:line="360" w:lineRule="auto"/>
              <w:jc w:val="center"/>
            </w:pPr>
            <w:r>
              <w:t>5.</w:t>
            </w:r>
            <w:r w:rsidR="00F359F4">
              <w:t>30</w:t>
            </w:r>
            <w:r>
              <w:rPr>
                <w:rFonts w:cstheme="minorHAnsi"/>
              </w:rPr>
              <w:t>° (</w:t>
            </w:r>
            <w:r w:rsidR="00F359F4">
              <w:rPr>
                <w:rFonts w:cstheme="minorHAnsi"/>
              </w:rPr>
              <w:t>4.71</w:t>
            </w:r>
            <w:r>
              <w:rPr>
                <w:rFonts w:cstheme="minorHAnsi"/>
              </w:rPr>
              <w:t>)</w:t>
            </w:r>
          </w:p>
        </w:tc>
      </w:tr>
      <w:tr w:rsidR="00AC57B3" w14:paraId="46668885" w14:textId="77777777" w:rsidTr="00B23440">
        <w:tc>
          <w:tcPr>
            <w:tcW w:w="3116" w:type="dxa"/>
          </w:tcPr>
          <w:p w14:paraId="546F9C4B" w14:textId="702B0028" w:rsidR="00AC57B3" w:rsidRDefault="00B23440" w:rsidP="00025F8E">
            <w:pPr>
              <w:spacing w:line="360" w:lineRule="auto"/>
              <w:jc w:val="center"/>
            </w:pPr>
            <w:r>
              <w:rPr>
                <w:rFonts w:cstheme="minorHAnsi"/>
              </w:rPr>
              <w:t>180°</w:t>
            </w:r>
          </w:p>
        </w:tc>
        <w:tc>
          <w:tcPr>
            <w:tcW w:w="3117" w:type="dxa"/>
          </w:tcPr>
          <w:p w14:paraId="58CBDC2F" w14:textId="35E0A358" w:rsidR="00AC57B3" w:rsidRDefault="00B2245F" w:rsidP="00025F8E">
            <w:pPr>
              <w:spacing w:line="360" w:lineRule="auto"/>
              <w:jc w:val="center"/>
            </w:pPr>
            <w:r>
              <w:t>2.8</w:t>
            </w:r>
            <w:r w:rsidR="00F359F4">
              <w:t>9</w:t>
            </w:r>
            <w:r>
              <w:t xml:space="preserve"> (0.</w:t>
            </w:r>
            <w:r w:rsidR="00F359F4">
              <w:t>44</w:t>
            </w:r>
            <w:r>
              <w:t>)</w:t>
            </w:r>
          </w:p>
        </w:tc>
        <w:tc>
          <w:tcPr>
            <w:tcW w:w="3117" w:type="dxa"/>
          </w:tcPr>
          <w:p w14:paraId="1FCAE958" w14:textId="2F8005AF" w:rsidR="00AC57B3" w:rsidRDefault="00B2245F" w:rsidP="00025F8E">
            <w:pPr>
              <w:spacing w:line="360" w:lineRule="auto"/>
              <w:jc w:val="center"/>
            </w:pPr>
            <w:r>
              <w:t>-</w:t>
            </w:r>
            <w:r w:rsidR="00F359F4">
              <w:t>3.95</w:t>
            </w:r>
            <w:r>
              <w:rPr>
                <w:rFonts w:cstheme="minorHAnsi"/>
              </w:rPr>
              <w:t>°</w:t>
            </w:r>
            <w:r>
              <w:t xml:space="preserve"> (</w:t>
            </w:r>
            <w:r w:rsidR="00F359F4">
              <w:t>5.80</w:t>
            </w:r>
            <w:r>
              <w:t>)</w:t>
            </w:r>
          </w:p>
        </w:tc>
      </w:tr>
    </w:tbl>
    <w:p w14:paraId="3F9B3CFC" w14:textId="3531D4C2" w:rsidR="006768B5" w:rsidRDefault="006768B5" w:rsidP="006768B5">
      <w:pPr>
        <w:spacing w:line="276" w:lineRule="auto"/>
      </w:pPr>
      <w:r>
        <w:rPr>
          <w:b/>
          <w:bCs/>
        </w:rPr>
        <w:t>Table S1.</w:t>
      </w:r>
      <w:r>
        <w:t xml:space="preserve"> Best fitting parameters for the signal detection model for each target-distractor similarity level. The steepness parameter L, which was shared across all similarity levels, was 7.</w:t>
      </w:r>
      <w:r w:rsidR="00F359F4">
        <w:t>30</w:t>
      </w:r>
      <w:r>
        <w:t xml:space="preserve"> (SD = </w:t>
      </w:r>
      <w:r w:rsidR="00F359F4">
        <w:t>2.46</w:t>
      </w:r>
      <w:r>
        <w:t>).</w:t>
      </w:r>
    </w:p>
    <w:p w14:paraId="5855609B" w14:textId="78C0F483" w:rsidR="00003F60" w:rsidRDefault="00003F60" w:rsidP="006768B5">
      <w:pPr>
        <w:spacing w:line="276" w:lineRule="auto"/>
      </w:pPr>
    </w:p>
    <w:p w14:paraId="1D714FE9" w14:textId="795C2933" w:rsidR="003B0AFA" w:rsidRDefault="00CC2CB1" w:rsidP="00CC2CB1">
      <w:pPr>
        <w:spacing w:before="240" w:line="276" w:lineRule="auto"/>
      </w:pPr>
      <w:r>
        <w:rPr>
          <w:noProof/>
        </w:rPr>
        <w:drawing>
          <wp:inline distT="0" distB="0" distL="0" distR="0" wp14:anchorId="4BB809C9" wp14:editId="204A31F6">
            <wp:extent cx="5697299" cy="37981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5697299" cy="3798199"/>
                    </a:xfrm>
                    <a:prstGeom prst="rect">
                      <a:avLst/>
                    </a:prstGeom>
                    <a:noFill/>
                    <a:ln>
                      <a:noFill/>
                    </a:ln>
                  </pic:spPr>
                </pic:pic>
              </a:graphicData>
            </a:graphic>
          </wp:inline>
        </w:drawing>
      </w:r>
    </w:p>
    <w:p w14:paraId="5FA57A71" w14:textId="5B686432" w:rsidR="00CC2CB1" w:rsidRPr="00CC2CB1" w:rsidRDefault="00CC2CB1" w:rsidP="006768B5">
      <w:pPr>
        <w:spacing w:line="276" w:lineRule="auto"/>
      </w:pPr>
      <w:r>
        <w:rPr>
          <w:b/>
          <w:bCs/>
        </w:rPr>
        <w:t xml:space="preserve">Figure S1. </w:t>
      </w:r>
      <w:r>
        <w:t>Demonstration of d’ calculation for signal detection model simulations. The representational strength varies for different colors, and in this example peaks at -10</w:t>
      </w:r>
      <w:r>
        <w:rPr>
          <w:rFonts w:cstheme="minorHAnsi"/>
        </w:rPr>
        <w:t>° (negative distances represent colors away from the visual search distractor). To calculate d’, we compare the representation</w:t>
      </w:r>
      <w:r w:rsidR="00F35511">
        <w:rPr>
          <w:rFonts w:cstheme="minorHAnsi"/>
        </w:rPr>
        <w:t xml:space="preserve">al strength of the colors in the similarity judgment: the target at 0°, and a foil at ±10°. In this example, the d’ for a 10° foil away from the distractor is 2.21-2.5 = -0.29, whereas the d’ for a 10° foil towards the distractor is 2.21-1.6 = 0.61. </w:t>
      </w:r>
      <w:r w:rsidR="0006075B">
        <w:rPr>
          <w:rFonts w:cstheme="minorHAnsi"/>
        </w:rPr>
        <w:t>See main manuscript for the actual model fits.</w:t>
      </w:r>
    </w:p>
    <w:p w14:paraId="151D3234" w14:textId="44DEDFE5" w:rsidR="00003F60" w:rsidRDefault="00003F60" w:rsidP="006768B5">
      <w:pPr>
        <w:spacing w:line="276" w:lineRule="auto"/>
      </w:pPr>
      <w:r>
        <w:rPr>
          <w:rFonts w:cstheme="minorHAnsi"/>
          <w:noProof/>
        </w:rPr>
        <w:lastRenderedPageBreak/>
        <w:drawing>
          <wp:inline distT="0" distB="0" distL="0" distR="0" wp14:anchorId="7F6EB59A" wp14:editId="48121CB2">
            <wp:extent cx="3857625" cy="2571750"/>
            <wp:effectExtent l="0" t="0" r="9525" b="0"/>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60264" cy="2573509"/>
                    </a:xfrm>
                    <a:prstGeom prst="rect">
                      <a:avLst/>
                    </a:prstGeom>
                    <a:noFill/>
                    <a:ln>
                      <a:noFill/>
                    </a:ln>
                  </pic:spPr>
                </pic:pic>
              </a:graphicData>
            </a:graphic>
          </wp:inline>
        </w:drawing>
      </w:r>
    </w:p>
    <w:p w14:paraId="3540403D" w14:textId="0F6351AA" w:rsidR="00003F60" w:rsidRDefault="00003F60" w:rsidP="006768B5">
      <w:pPr>
        <w:spacing w:line="276" w:lineRule="auto"/>
      </w:pPr>
      <w:r>
        <w:rPr>
          <w:b/>
          <w:bCs/>
        </w:rPr>
        <w:t xml:space="preserve">Figure S2. </w:t>
      </w:r>
      <w:r>
        <w:t>Visual search response time in Experiment 1 as a function of target-distractor similarity. In general, response times increase for less similar targets and distractors</w:t>
      </w:r>
      <w:r w:rsidR="00F359F4">
        <w:t>.</w:t>
      </w:r>
    </w:p>
    <w:p w14:paraId="1496D453" w14:textId="77777777" w:rsidR="00CC2CB1" w:rsidRPr="00003F60" w:rsidRDefault="00CC2CB1" w:rsidP="006768B5">
      <w:pPr>
        <w:spacing w:line="276" w:lineRule="auto"/>
      </w:pPr>
    </w:p>
    <w:p w14:paraId="7A65B5FA" w14:textId="093D70CE" w:rsidR="00003F60" w:rsidRDefault="00003F60" w:rsidP="006768B5">
      <w:pPr>
        <w:spacing w:line="276" w:lineRule="auto"/>
      </w:pPr>
      <w:r w:rsidRPr="00C73017">
        <w:rPr>
          <w:noProof/>
        </w:rPr>
        <w:drawing>
          <wp:inline distT="0" distB="0" distL="0" distR="0" wp14:anchorId="5CF48ABB" wp14:editId="777A5880">
            <wp:extent cx="5805377" cy="43540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846980" cy="4385235"/>
                    </a:xfrm>
                    <a:prstGeom prst="rect">
                      <a:avLst/>
                    </a:prstGeom>
                    <a:noFill/>
                    <a:ln>
                      <a:noFill/>
                    </a:ln>
                  </pic:spPr>
                </pic:pic>
              </a:graphicData>
            </a:graphic>
          </wp:inline>
        </w:drawing>
      </w:r>
    </w:p>
    <w:p w14:paraId="47BE8D8F" w14:textId="00C48D09" w:rsidR="00003F60" w:rsidRDefault="00003F60" w:rsidP="006768B5">
      <w:pPr>
        <w:spacing w:line="276" w:lineRule="auto"/>
      </w:pPr>
      <w:r>
        <w:rPr>
          <w:b/>
          <w:bCs/>
        </w:rPr>
        <w:t xml:space="preserve">Figure S3. </w:t>
      </w:r>
      <w:r w:rsidR="004E25FA">
        <w:t>Estimated similarity judgment performance</w:t>
      </w:r>
      <w:r w:rsidR="00F359F4">
        <w:t xml:space="preserve"> in Experiment 1</w:t>
      </w:r>
      <w:r w:rsidR="004E25FA">
        <w:t xml:space="preserve"> as a function of visual search RT</w:t>
      </w:r>
      <w:r w:rsidR="003B0AFA">
        <w:t xml:space="preserve">. </w:t>
      </w:r>
    </w:p>
    <w:p w14:paraId="1E9E8716" w14:textId="07A31A9D" w:rsidR="00DF0334" w:rsidRDefault="00DF0334" w:rsidP="00025F8E">
      <w:pPr>
        <w:widowControl w:val="0"/>
        <w:autoSpaceDE w:val="0"/>
        <w:autoSpaceDN w:val="0"/>
        <w:adjustRightInd w:val="0"/>
        <w:spacing w:line="360" w:lineRule="auto"/>
        <w:ind w:left="480" w:hanging="480"/>
        <w:jc w:val="center"/>
      </w:pPr>
      <w:r>
        <w:lastRenderedPageBreak/>
        <w:t>Supplementary References</w:t>
      </w:r>
    </w:p>
    <w:p w14:paraId="3E4FC3F1" w14:textId="3CBD56A0" w:rsidR="00FE65E9" w:rsidRPr="00FE65E9" w:rsidRDefault="00DF0334" w:rsidP="00FE65E9">
      <w:pPr>
        <w:widowControl w:val="0"/>
        <w:autoSpaceDE w:val="0"/>
        <w:autoSpaceDN w:val="0"/>
        <w:adjustRightInd w:val="0"/>
        <w:spacing w:line="360" w:lineRule="auto"/>
        <w:ind w:left="640" w:hanging="640"/>
        <w:rPr>
          <w:rFonts w:ascii="Calibri" w:hAnsi="Calibri" w:cs="Calibri"/>
          <w:noProof/>
        </w:rPr>
      </w:pPr>
      <w:r>
        <w:fldChar w:fldCharType="begin" w:fldLock="1"/>
      </w:r>
      <w:r>
        <w:instrText xml:space="preserve">ADDIN Mendeley Bibliography CSL_BIBLIOGRAPHY </w:instrText>
      </w:r>
      <w:r>
        <w:fldChar w:fldCharType="separate"/>
      </w:r>
      <w:r w:rsidR="00FE65E9" w:rsidRPr="00FE65E9">
        <w:rPr>
          <w:rFonts w:ascii="Calibri" w:hAnsi="Calibri" w:cs="Calibri"/>
          <w:noProof/>
        </w:rPr>
        <w:t xml:space="preserve">1. </w:t>
      </w:r>
      <w:r w:rsidR="00FE65E9" w:rsidRPr="00FE65E9">
        <w:rPr>
          <w:rFonts w:ascii="Calibri" w:hAnsi="Calibri" w:cs="Calibri"/>
          <w:noProof/>
        </w:rPr>
        <w:tab/>
        <w:t xml:space="preserve">M. W. Schurgin, J. T. Wixted, T. F. Brady, Psychophysical scaling reveals a unified theory of visual memory strength. </w:t>
      </w:r>
      <w:r w:rsidR="00FE65E9" w:rsidRPr="00FE65E9">
        <w:rPr>
          <w:rFonts w:ascii="Calibri" w:hAnsi="Calibri" w:cs="Calibri"/>
          <w:i/>
          <w:iCs/>
          <w:noProof/>
        </w:rPr>
        <w:t>Nat. Hum. Behav.</w:t>
      </w:r>
      <w:r w:rsidR="00FE65E9" w:rsidRPr="00FE65E9">
        <w:rPr>
          <w:rFonts w:ascii="Calibri" w:hAnsi="Calibri" w:cs="Calibri"/>
          <w:noProof/>
        </w:rPr>
        <w:t xml:space="preserve"> </w:t>
      </w:r>
      <w:r w:rsidR="00FE65E9" w:rsidRPr="00FE65E9">
        <w:rPr>
          <w:rFonts w:ascii="Calibri" w:hAnsi="Calibri" w:cs="Calibri"/>
          <w:b/>
          <w:bCs/>
          <w:noProof/>
        </w:rPr>
        <w:t>4</w:t>
      </w:r>
      <w:r w:rsidR="00FE65E9" w:rsidRPr="00FE65E9">
        <w:rPr>
          <w:rFonts w:ascii="Calibri" w:hAnsi="Calibri" w:cs="Calibri"/>
          <w:noProof/>
        </w:rPr>
        <w:t>, 1156–1172 (2020).</w:t>
      </w:r>
    </w:p>
    <w:p w14:paraId="151CBCC9" w14:textId="77777777" w:rsidR="00FE65E9" w:rsidRPr="00FE65E9" w:rsidRDefault="00FE65E9" w:rsidP="00FE65E9">
      <w:pPr>
        <w:widowControl w:val="0"/>
        <w:autoSpaceDE w:val="0"/>
        <w:autoSpaceDN w:val="0"/>
        <w:adjustRightInd w:val="0"/>
        <w:spacing w:line="360" w:lineRule="auto"/>
        <w:ind w:left="640" w:hanging="640"/>
        <w:rPr>
          <w:rFonts w:ascii="Calibri" w:hAnsi="Calibri" w:cs="Calibri"/>
          <w:noProof/>
        </w:rPr>
      </w:pPr>
      <w:r w:rsidRPr="00FE65E9">
        <w:rPr>
          <w:rFonts w:ascii="Calibri" w:hAnsi="Calibri" w:cs="Calibri"/>
          <w:noProof/>
        </w:rPr>
        <w:t xml:space="preserve">2. </w:t>
      </w:r>
      <w:r w:rsidRPr="00FE65E9">
        <w:rPr>
          <w:rFonts w:ascii="Calibri" w:hAnsi="Calibri" w:cs="Calibri"/>
          <w:noProof/>
        </w:rPr>
        <w:tab/>
        <w:t>R Core Team, R: A Language and Environment for Statistical Computing (2021).</w:t>
      </w:r>
    </w:p>
    <w:p w14:paraId="0A832265" w14:textId="77777777" w:rsidR="00FE65E9" w:rsidRPr="00FE65E9" w:rsidRDefault="00FE65E9" w:rsidP="00FE65E9">
      <w:pPr>
        <w:widowControl w:val="0"/>
        <w:autoSpaceDE w:val="0"/>
        <w:autoSpaceDN w:val="0"/>
        <w:adjustRightInd w:val="0"/>
        <w:spacing w:line="360" w:lineRule="auto"/>
        <w:ind w:left="640" w:hanging="640"/>
        <w:rPr>
          <w:rFonts w:ascii="Calibri" w:hAnsi="Calibri" w:cs="Calibri"/>
          <w:noProof/>
        </w:rPr>
      </w:pPr>
      <w:r w:rsidRPr="00FE65E9">
        <w:rPr>
          <w:rFonts w:ascii="Calibri" w:hAnsi="Calibri" w:cs="Calibri"/>
          <w:noProof/>
        </w:rPr>
        <w:t xml:space="preserve">3. </w:t>
      </w:r>
      <w:r w:rsidRPr="00FE65E9">
        <w:rPr>
          <w:rFonts w:ascii="Calibri" w:hAnsi="Calibri" w:cs="Calibri"/>
          <w:noProof/>
        </w:rPr>
        <w:tab/>
        <w:t xml:space="preserve">A. F. Chapman, V. S. Störmer, Feature similarity is non-linearly related to attentional selection: evidence from visual search and sustained attention tasks. </w:t>
      </w:r>
      <w:r w:rsidRPr="00FE65E9">
        <w:rPr>
          <w:rFonts w:ascii="Calibri" w:hAnsi="Calibri" w:cs="Calibri"/>
          <w:i/>
          <w:iCs/>
          <w:noProof/>
        </w:rPr>
        <w:t>J. Vis.</w:t>
      </w:r>
      <w:r w:rsidRPr="00FE65E9">
        <w:rPr>
          <w:rFonts w:ascii="Calibri" w:hAnsi="Calibri" w:cs="Calibri"/>
          <w:noProof/>
        </w:rPr>
        <w:t xml:space="preserve"> </w:t>
      </w:r>
      <w:r w:rsidRPr="00FE65E9">
        <w:rPr>
          <w:rFonts w:ascii="Calibri" w:hAnsi="Calibri" w:cs="Calibri"/>
          <w:b/>
          <w:bCs/>
          <w:noProof/>
        </w:rPr>
        <w:t>22</w:t>
      </w:r>
      <w:r w:rsidRPr="00FE65E9">
        <w:rPr>
          <w:rFonts w:ascii="Calibri" w:hAnsi="Calibri" w:cs="Calibri"/>
          <w:noProof/>
        </w:rPr>
        <w:t>, 4 (2022).</w:t>
      </w:r>
    </w:p>
    <w:p w14:paraId="63CB3915" w14:textId="77777777" w:rsidR="00FE65E9" w:rsidRPr="00FE65E9" w:rsidRDefault="00FE65E9" w:rsidP="00FE65E9">
      <w:pPr>
        <w:widowControl w:val="0"/>
        <w:autoSpaceDE w:val="0"/>
        <w:autoSpaceDN w:val="0"/>
        <w:adjustRightInd w:val="0"/>
        <w:spacing w:line="360" w:lineRule="auto"/>
        <w:ind w:left="640" w:hanging="640"/>
        <w:rPr>
          <w:rFonts w:ascii="Calibri" w:hAnsi="Calibri" w:cs="Calibri"/>
          <w:noProof/>
        </w:rPr>
      </w:pPr>
      <w:r w:rsidRPr="00FE65E9">
        <w:rPr>
          <w:rFonts w:ascii="Calibri" w:hAnsi="Calibri" w:cs="Calibri"/>
          <w:noProof/>
        </w:rPr>
        <w:t xml:space="preserve">4. </w:t>
      </w:r>
      <w:r w:rsidRPr="00FE65E9">
        <w:rPr>
          <w:rFonts w:ascii="Calibri" w:hAnsi="Calibri" w:cs="Calibri"/>
          <w:noProof/>
        </w:rPr>
        <w:tab/>
        <w:t xml:space="preserve">C. Chunharas, R. L. Rademaker, T. F. Brady, J. T. Serences, An adaptive perspective on visual working memory distortions. </w:t>
      </w:r>
      <w:r w:rsidRPr="00FE65E9">
        <w:rPr>
          <w:rFonts w:ascii="Calibri" w:hAnsi="Calibri" w:cs="Calibri"/>
          <w:i/>
          <w:iCs/>
          <w:noProof/>
        </w:rPr>
        <w:t>J. Exp. Psychol. Gen.</w:t>
      </w:r>
      <w:r w:rsidRPr="00FE65E9">
        <w:rPr>
          <w:rFonts w:ascii="Calibri" w:hAnsi="Calibri" w:cs="Calibri"/>
          <w:noProof/>
        </w:rPr>
        <w:t xml:space="preserve"> (2022) https:/doi.org/10.1037/xge0001191.</w:t>
      </w:r>
    </w:p>
    <w:p w14:paraId="4AAD404E" w14:textId="0659C3E8" w:rsidR="00DF0334" w:rsidRPr="004E25FA" w:rsidRDefault="00DF0334" w:rsidP="00FE65E9">
      <w:pPr>
        <w:widowControl w:val="0"/>
        <w:autoSpaceDE w:val="0"/>
        <w:autoSpaceDN w:val="0"/>
        <w:adjustRightInd w:val="0"/>
        <w:spacing w:line="360" w:lineRule="auto"/>
        <w:ind w:left="640" w:hanging="640"/>
      </w:pPr>
      <w:r>
        <w:fldChar w:fldCharType="end"/>
      </w:r>
    </w:p>
    <w:sectPr w:rsidR="00DF0334" w:rsidRPr="004E25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AA1"/>
    <w:rsid w:val="00003F60"/>
    <w:rsid w:val="00025F8E"/>
    <w:rsid w:val="00044431"/>
    <w:rsid w:val="0006075B"/>
    <w:rsid w:val="00091670"/>
    <w:rsid w:val="000C70E2"/>
    <w:rsid w:val="00137072"/>
    <w:rsid w:val="00147A34"/>
    <w:rsid w:val="00195C3E"/>
    <w:rsid w:val="0021525A"/>
    <w:rsid w:val="00216AA1"/>
    <w:rsid w:val="0025110B"/>
    <w:rsid w:val="00265DEF"/>
    <w:rsid w:val="00266D82"/>
    <w:rsid w:val="00267E32"/>
    <w:rsid w:val="002A0B3A"/>
    <w:rsid w:val="003872A5"/>
    <w:rsid w:val="003B0AFA"/>
    <w:rsid w:val="003B182E"/>
    <w:rsid w:val="004B3709"/>
    <w:rsid w:val="004B4E08"/>
    <w:rsid w:val="004C3123"/>
    <w:rsid w:val="004E25FA"/>
    <w:rsid w:val="00504344"/>
    <w:rsid w:val="0056164A"/>
    <w:rsid w:val="00673277"/>
    <w:rsid w:val="006768B5"/>
    <w:rsid w:val="00693498"/>
    <w:rsid w:val="006C0D3B"/>
    <w:rsid w:val="0070715D"/>
    <w:rsid w:val="007C0091"/>
    <w:rsid w:val="007E7A71"/>
    <w:rsid w:val="008061BF"/>
    <w:rsid w:val="008466F5"/>
    <w:rsid w:val="008F6008"/>
    <w:rsid w:val="00903FC4"/>
    <w:rsid w:val="00944999"/>
    <w:rsid w:val="00955C70"/>
    <w:rsid w:val="00971B7D"/>
    <w:rsid w:val="00997D07"/>
    <w:rsid w:val="009F2DE5"/>
    <w:rsid w:val="009F5C5D"/>
    <w:rsid w:val="009F6982"/>
    <w:rsid w:val="00A52BDD"/>
    <w:rsid w:val="00A5629C"/>
    <w:rsid w:val="00AC57B3"/>
    <w:rsid w:val="00B066A0"/>
    <w:rsid w:val="00B2245F"/>
    <w:rsid w:val="00B23440"/>
    <w:rsid w:val="00B27E99"/>
    <w:rsid w:val="00B55970"/>
    <w:rsid w:val="00B55D1B"/>
    <w:rsid w:val="00BB24A7"/>
    <w:rsid w:val="00C6634F"/>
    <w:rsid w:val="00C73017"/>
    <w:rsid w:val="00CC2CB1"/>
    <w:rsid w:val="00D64481"/>
    <w:rsid w:val="00D7217A"/>
    <w:rsid w:val="00DA43DF"/>
    <w:rsid w:val="00DF0334"/>
    <w:rsid w:val="00E34C97"/>
    <w:rsid w:val="00EC2E9A"/>
    <w:rsid w:val="00ED4AF9"/>
    <w:rsid w:val="00F22838"/>
    <w:rsid w:val="00F35511"/>
    <w:rsid w:val="00F359F4"/>
    <w:rsid w:val="00F645DF"/>
    <w:rsid w:val="00FE1589"/>
    <w:rsid w:val="00FE65E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7F61C"/>
  <w15:chartTrackingRefBased/>
  <w15:docId w15:val="{9BD024E4-7A0F-42C6-AF7E-83E953FAA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57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061B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061BF"/>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061BF"/>
    <w:rPr>
      <w:sz w:val="16"/>
      <w:szCs w:val="16"/>
    </w:rPr>
  </w:style>
  <w:style w:type="paragraph" w:styleId="CommentText">
    <w:name w:val="annotation text"/>
    <w:basedOn w:val="Normal"/>
    <w:link w:val="CommentTextChar"/>
    <w:uiPriority w:val="99"/>
    <w:semiHidden/>
    <w:unhideWhenUsed/>
    <w:rsid w:val="008061BF"/>
    <w:pPr>
      <w:spacing w:line="240" w:lineRule="auto"/>
    </w:pPr>
    <w:rPr>
      <w:sz w:val="20"/>
      <w:szCs w:val="20"/>
    </w:rPr>
  </w:style>
  <w:style w:type="character" w:customStyle="1" w:styleId="CommentTextChar">
    <w:name w:val="Comment Text Char"/>
    <w:basedOn w:val="DefaultParagraphFont"/>
    <w:link w:val="CommentText"/>
    <w:uiPriority w:val="99"/>
    <w:semiHidden/>
    <w:rsid w:val="008061BF"/>
    <w:rPr>
      <w:sz w:val="20"/>
      <w:szCs w:val="20"/>
    </w:rPr>
  </w:style>
  <w:style w:type="paragraph" w:styleId="CommentSubject">
    <w:name w:val="annotation subject"/>
    <w:basedOn w:val="CommentText"/>
    <w:next w:val="CommentText"/>
    <w:link w:val="CommentSubjectChar"/>
    <w:uiPriority w:val="99"/>
    <w:semiHidden/>
    <w:unhideWhenUsed/>
    <w:rsid w:val="008061BF"/>
    <w:rPr>
      <w:b/>
      <w:bCs/>
    </w:rPr>
  </w:style>
  <w:style w:type="character" w:customStyle="1" w:styleId="CommentSubjectChar">
    <w:name w:val="Comment Subject Char"/>
    <w:basedOn w:val="CommentTextChar"/>
    <w:link w:val="CommentSubject"/>
    <w:uiPriority w:val="99"/>
    <w:semiHidden/>
    <w:rsid w:val="008061BF"/>
    <w:rPr>
      <w:b/>
      <w:bCs/>
      <w:sz w:val="20"/>
      <w:szCs w:val="20"/>
    </w:rPr>
  </w:style>
  <w:style w:type="paragraph" w:styleId="Revision">
    <w:name w:val="Revision"/>
    <w:hidden/>
    <w:uiPriority w:val="99"/>
    <w:semiHidden/>
    <w:rsid w:val="00DF03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547A3-87A2-7042-A09D-29252708D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2448</Words>
  <Characters>13957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Angus F Chapman</dc:creator>
  <cp:keywords/>
  <dc:description/>
  <cp:lastModifiedBy>Angus Chapman</cp:lastModifiedBy>
  <cp:revision>2</cp:revision>
  <dcterms:created xsi:type="dcterms:W3CDTF">2023-03-27T16:36:00Z</dcterms:created>
  <dcterms:modified xsi:type="dcterms:W3CDTF">2023-03-27T16:36:00Z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http://www.zotero.org/styles/pnas</vt:lpwstr>
  </property>
  <property fmtid="{D5CDD505-2E9C-101B-9397-08002B2CF9AE}" pid="21" name="Mendeley Recent Style Name 9_1">
    <vt:lpwstr>Proceedings of the National Academy of Sciences of the United States of America</vt:lpwstr>
  </property>
  <property fmtid="{D5CDD505-2E9C-101B-9397-08002B2CF9AE}" pid="22" name="Mendeley Document_1">
    <vt:lpwstr>True</vt:lpwstr>
  </property>
  <property fmtid="{D5CDD505-2E9C-101B-9397-08002B2CF9AE}" pid="23" name="Mendeley Unique User Id_1">
    <vt:lpwstr>767e2be0-1fbf-3f75-ae9c-b32518955a8b</vt:lpwstr>
  </property>
  <property fmtid="{D5CDD505-2E9C-101B-9397-08002B2CF9AE}" pid="24" name="Mendeley Citation Style_1">
    <vt:lpwstr>http://www.zotero.org/styles/pnas</vt:lpwstr>
  </property>
</Properties>
</file>