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66ED" w14:textId="77777777" w:rsidR="00E07673" w:rsidRPr="00471B48" w:rsidRDefault="00E07673" w:rsidP="00E07673">
      <w:pPr>
        <w:rPr>
          <w:b/>
          <w:bCs/>
        </w:rPr>
      </w:pPr>
      <w:r>
        <w:rPr>
          <w:b/>
          <w:bCs/>
        </w:rPr>
        <w:t xml:space="preserve">Supplementary </w:t>
      </w:r>
      <w:r w:rsidRPr="00471B48">
        <w:rPr>
          <w:b/>
          <w:bCs/>
        </w:rPr>
        <w:t xml:space="preserve">Table 1: Datasets analysed to curate </w:t>
      </w:r>
      <w:proofErr w:type="spellStart"/>
      <w:r w:rsidRPr="00471B48">
        <w:rPr>
          <w:b/>
          <w:bCs/>
        </w:rPr>
        <w:t>Vaccinomics</w:t>
      </w:r>
      <w:proofErr w:type="spellEnd"/>
      <w:r w:rsidRPr="00471B48">
        <w:rPr>
          <w:b/>
          <w:bCs/>
        </w:rPr>
        <w:t xml:space="preserve"> database file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51"/>
        <w:gridCol w:w="1712"/>
        <w:gridCol w:w="1358"/>
        <w:gridCol w:w="1207"/>
        <w:gridCol w:w="4806"/>
      </w:tblGrid>
      <w:tr w:rsidR="00E07673" w:rsidRPr="00471B48" w14:paraId="58D068E7" w14:textId="77777777" w:rsidTr="00E07673">
        <w:tc>
          <w:tcPr>
            <w:tcW w:w="551" w:type="dxa"/>
          </w:tcPr>
          <w:p w14:paraId="72C179F2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2" w:type="dxa"/>
          </w:tcPr>
          <w:p w14:paraId="03702FAE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1B48">
              <w:rPr>
                <w:rFonts w:ascii="Arial" w:hAnsi="Arial" w:cs="Arial"/>
                <w:b/>
                <w:sz w:val="22"/>
                <w:szCs w:val="22"/>
              </w:rPr>
              <w:t>Reference</w:t>
            </w:r>
          </w:p>
        </w:tc>
        <w:tc>
          <w:tcPr>
            <w:tcW w:w="1358" w:type="dxa"/>
          </w:tcPr>
          <w:p w14:paraId="01E1D5F2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1B48">
              <w:rPr>
                <w:rFonts w:ascii="Arial" w:hAnsi="Arial" w:cs="Arial"/>
                <w:b/>
                <w:sz w:val="22"/>
                <w:szCs w:val="22"/>
              </w:rPr>
              <w:t>Vaccine</w:t>
            </w:r>
          </w:p>
        </w:tc>
        <w:tc>
          <w:tcPr>
            <w:tcW w:w="1207" w:type="dxa"/>
          </w:tcPr>
          <w:p w14:paraId="4FD94D13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Time</w:t>
            </w:r>
          </w:p>
        </w:tc>
        <w:tc>
          <w:tcPr>
            <w:tcW w:w="4806" w:type="dxa"/>
          </w:tcPr>
          <w:p w14:paraId="5E6EB987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1B48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</w:tr>
      <w:tr w:rsidR="00E07673" w:rsidRPr="00471B48" w14:paraId="7B2D8BDB" w14:textId="77777777" w:rsidTr="00E07673">
        <w:tc>
          <w:tcPr>
            <w:tcW w:w="551" w:type="dxa"/>
          </w:tcPr>
          <w:p w14:paraId="4E553F3B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12" w:type="dxa"/>
          </w:tcPr>
          <w:p w14:paraId="3767A80E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Jue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Hou et al., J Immunol, 2019</w:t>
            </w:r>
          </w:p>
        </w:tc>
        <w:tc>
          <w:tcPr>
            <w:tcW w:w="1358" w:type="dxa"/>
          </w:tcPr>
          <w:p w14:paraId="1EA6F0F6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Tiantan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YF-17D</w:t>
            </w:r>
          </w:p>
        </w:tc>
        <w:tc>
          <w:tcPr>
            <w:tcW w:w="1207" w:type="dxa"/>
          </w:tcPr>
          <w:p w14:paraId="0576D8F9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Day 7, 14</w:t>
            </w:r>
          </w:p>
        </w:tc>
        <w:tc>
          <w:tcPr>
            <w:tcW w:w="4806" w:type="dxa"/>
          </w:tcPr>
          <w:p w14:paraId="3B6E8680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21 healthy subjects (age 25-42)</w:t>
            </w:r>
          </w:p>
          <w:p w14:paraId="1A2A9F44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702CA11B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GSE82152</w:t>
            </w:r>
          </w:p>
        </w:tc>
      </w:tr>
      <w:tr w:rsidR="00E07673" w:rsidRPr="00471B48" w14:paraId="344217B6" w14:textId="77777777" w:rsidTr="00E07673">
        <w:tc>
          <w:tcPr>
            <w:tcW w:w="551" w:type="dxa"/>
          </w:tcPr>
          <w:p w14:paraId="1D5B44ED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12" w:type="dxa"/>
          </w:tcPr>
          <w:p w14:paraId="516FEF05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Querec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 xml:space="preserve"> TD et al., Nat Immunol, 2009</w:t>
            </w:r>
          </w:p>
        </w:tc>
        <w:tc>
          <w:tcPr>
            <w:tcW w:w="1358" w:type="dxa"/>
          </w:tcPr>
          <w:p w14:paraId="4E317220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YF-17D</w:t>
            </w:r>
          </w:p>
        </w:tc>
        <w:tc>
          <w:tcPr>
            <w:tcW w:w="1207" w:type="dxa"/>
          </w:tcPr>
          <w:p w14:paraId="59F41143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7</w:t>
            </w:r>
          </w:p>
        </w:tc>
        <w:tc>
          <w:tcPr>
            <w:tcW w:w="4806" w:type="dxa"/>
          </w:tcPr>
          <w:p w14:paraId="034716CD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15 healthy subjects (age 18-45)</w:t>
            </w:r>
          </w:p>
          <w:p w14:paraId="594279AF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Direct transcriptomic analysis of PBMCs</w:t>
            </w:r>
          </w:p>
          <w:p w14:paraId="664305CB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GSE13486</w:t>
            </w:r>
          </w:p>
        </w:tc>
      </w:tr>
      <w:tr w:rsidR="00E07673" w:rsidRPr="00471B48" w14:paraId="4A350103" w14:textId="77777777" w:rsidTr="00E07673">
        <w:tc>
          <w:tcPr>
            <w:tcW w:w="551" w:type="dxa"/>
          </w:tcPr>
          <w:p w14:paraId="66946839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12" w:type="dxa"/>
          </w:tcPr>
          <w:p w14:paraId="666F3B01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Nakaya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HI et al., Nat Immunol, 2011</w:t>
            </w:r>
          </w:p>
        </w:tc>
        <w:tc>
          <w:tcPr>
            <w:tcW w:w="1358" w:type="dxa"/>
          </w:tcPr>
          <w:p w14:paraId="54378F92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FluMist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>® (LAIV)</w:t>
            </w:r>
          </w:p>
          <w:p w14:paraId="728BB7B1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</w:tcPr>
          <w:p w14:paraId="7512F177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7</w:t>
            </w:r>
          </w:p>
        </w:tc>
        <w:tc>
          <w:tcPr>
            <w:tcW w:w="4806" w:type="dxa"/>
          </w:tcPr>
          <w:p w14:paraId="72C65F48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28 healthy subjects received LAIV (age 18-50)</w:t>
            </w:r>
          </w:p>
          <w:p w14:paraId="3F425381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6E8A4990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GSE29619</w:t>
            </w:r>
          </w:p>
        </w:tc>
      </w:tr>
      <w:tr w:rsidR="00E07673" w:rsidRPr="00471B48" w14:paraId="22449841" w14:textId="77777777" w:rsidTr="00E07673">
        <w:tc>
          <w:tcPr>
            <w:tcW w:w="551" w:type="dxa"/>
          </w:tcPr>
          <w:p w14:paraId="6E74B8E9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12" w:type="dxa"/>
          </w:tcPr>
          <w:p w14:paraId="0EE6C745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Goll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JB et al., Vaccines, 2020</w:t>
            </w:r>
          </w:p>
        </w:tc>
        <w:tc>
          <w:tcPr>
            <w:tcW w:w="1358" w:type="dxa"/>
          </w:tcPr>
          <w:p w14:paraId="46776906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DVC-LVS</w:t>
            </w:r>
          </w:p>
        </w:tc>
        <w:tc>
          <w:tcPr>
            <w:tcW w:w="1207" w:type="dxa"/>
          </w:tcPr>
          <w:p w14:paraId="6E04E58A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7</w:t>
            </w:r>
          </w:p>
        </w:tc>
        <w:tc>
          <w:tcPr>
            <w:tcW w:w="4806" w:type="dxa"/>
          </w:tcPr>
          <w:p w14:paraId="4CE6E195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 xml:space="preserve">10 healthy subjects (age 18-45). </w:t>
            </w:r>
          </w:p>
          <w:p w14:paraId="5068F41C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6569ADFC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GSE149809</w:t>
            </w:r>
          </w:p>
        </w:tc>
      </w:tr>
      <w:tr w:rsidR="00E07673" w:rsidRPr="00471B48" w14:paraId="686D7D4D" w14:textId="77777777" w:rsidTr="00E07673">
        <w:tc>
          <w:tcPr>
            <w:tcW w:w="551" w:type="dxa"/>
          </w:tcPr>
          <w:p w14:paraId="3C91CB2F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12" w:type="dxa"/>
          </w:tcPr>
          <w:p w14:paraId="402C8E2F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Zak DE et al., PNAS, 2012</w:t>
            </w:r>
          </w:p>
        </w:tc>
        <w:tc>
          <w:tcPr>
            <w:tcW w:w="1358" w:type="dxa"/>
          </w:tcPr>
          <w:p w14:paraId="08577F30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MRKAd5/HIV</w:t>
            </w:r>
          </w:p>
        </w:tc>
        <w:tc>
          <w:tcPr>
            <w:tcW w:w="1207" w:type="dxa"/>
          </w:tcPr>
          <w:p w14:paraId="1FB70D4F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4C86645E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7 seronegative subjects (age 20-50)</w:t>
            </w:r>
          </w:p>
          <w:p w14:paraId="5AC54DBA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5E43C1C5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GSE149809</w:t>
            </w:r>
          </w:p>
        </w:tc>
      </w:tr>
      <w:tr w:rsidR="00E07673" w:rsidRPr="00471B48" w14:paraId="7BACD79B" w14:textId="77777777" w:rsidTr="00E07673">
        <w:tc>
          <w:tcPr>
            <w:tcW w:w="551" w:type="dxa"/>
          </w:tcPr>
          <w:p w14:paraId="4B6CF1E7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12" w:type="dxa"/>
          </w:tcPr>
          <w:p w14:paraId="2D88F938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Santoro F et al., Vaccines, 2021</w:t>
            </w:r>
          </w:p>
        </w:tc>
        <w:tc>
          <w:tcPr>
            <w:tcW w:w="1358" w:type="dxa"/>
          </w:tcPr>
          <w:p w14:paraId="7ACDAC10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rVSV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>-ZEBOV</w:t>
            </w:r>
          </w:p>
        </w:tc>
        <w:tc>
          <w:tcPr>
            <w:tcW w:w="1207" w:type="dxa"/>
          </w:tcPr>
          <w:p w14:paraId="3F4ED008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4D8FA43D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51 healthy subjects (age 18-65)</w:t>
            </w:r>
          </w:p>
          <w:p w14:paraId="1A9C9021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transcriptomics analysis of whole blood</w:t>
            </w:r>
          </w:p>
          <w:p w14:paraId="0351FEE9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ZEN3974486</w:t>
            </w:r>
          </w:p>
        </w:tc>
      </w:tr>
      <w:tr w:rsidR="00E07673" w:rsidRPr="00471B48" w14:paraId="5B52CAF8" w14:textId="77777777" w:rsidTr="00E07673">
        <w:tc>
          <w:tcPr>
            <w:tcW w:w="551" w:type="dxa"/>
          </w:tcPr>
          <w:p w14:paraId="30D84089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12" w:type="dxa"/>
          </w:tcPr>
          <w:p w14:paraId="73308F79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Rechtien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A et al., Cell Rep, 2017</w:t>
            </w:r>
          </w:p>
        </w:tc>
        <w:tc>
          <w:tcPr>
            <w:tcW w:w="1358" w:type="dxa"/>
          </w:tcPr>
          <w:p w14:paraId="28FD0EA4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rVSV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>-ZEBOV</w:t>
            </w:r>
          </w:p>
        </w:tc>
        <w:tc>
          <w:tcPr>
            <w:tcW w:w="1207" w:type="dxa"/>
          </w:tcPr>
          <w:p w14:paraId="0F2782D2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79D27293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18 healthy subjects (age 18-55)</w:t>
            </w:r>
          </w:p>
          <w:p w14:paraId="19826BC3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transcriptomics analysis of whole blood</w:t>
            </w:r>
          </w:p>
          <w:p w14:paraId="3B6CE325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GSE97590</w:t>
            </w:r>
          </w:p>
        </w:tc>
      </w:tr>
      <w:tr w:rsidR="00E07673" w:rsidRPr="00471B48" w14:paraId="1EDC69A6" w14:textId="77777777" w:rsidTr="00E07673">
        <w:tc>
          <w:tcPr>
            <w:tcW w:w="551" w:type="dxa"/>
          </w:tcPr>
          <w:p w14:paraId="124185B5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12" w:type="dxa"/>
          </w:tcPr>
          <w:p w14:paraId="76B31CA9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Wimmers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F et al., Cell, 2021</w:t>
            </w:r>
          </w:p>
        </w:tc>
        <w:tc>
          <w:tcPr>
            <w:tcW w:w="1358" w:type="dxa"/>
          </w:tcPr>
          <w:p w14:paraId="505F6A2B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H5N1+AS03</w:t>
            </w:r>
          </w:p>
        </w:tc>
        <w:tc>
          <w:tcPr>
            <w:tcW w:w="1207" w:type="dxa"/>
          </w:tcPr>
          <w:p w14:paraId="7778C750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6F834424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34 healthy subjects (age 18-40) received H5N1+AS03</w:t>
            </w:r>
          </w:p>
          <w:p w14:paraId="19DA117E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transcriptomics analysis of PBMCs</w:t>
            </w:r>
          </w:p>
          <w:p w14:paraId="5DDDBE5A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GSE102012</w:t>
            </w:r>
          </w:p>
        </w:tc>
      </w:tr>
      <w:tr w:rsidR="00E07673" w:rsidRPr="00471B48" w14:paraId="7B8CA2C4" w14:textId="77777777" w:rsidTr="00E07673">
        <w:tc>
          <w:tcPr>
            <w:tcW w:w="551" w:type="dxa"/>
          </w:tcPr>
          <w:p w14:paraId="08CDCED0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12" w:type="dxa"/>
          </w:tcPr>
          <w:p w14:paraId="5A83BC4E" w14:textId="77777777" w:rsidR="00E07673" w:rsidRPr="00471B48" w:rsidRDefault="00E07673" w:rsidP="00CA7B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Li S et al., Nat Immunol, 2014</w:t>
            </w:r>
          </w:p>
        </w:tc>
        <w:tc>
          <w:tcPr>
            <w:tcW w:w="1358" w:type="dxa"/>
          </w:tcPr>
          <w:p w14:paraId="0ADBE5C3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Menomune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>® (MPSV4)</w:t>
            </w:r>
          </w:p>
          <w:p w14:paraId="310A331F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Menactra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>™ (MCV4)</w:t>
            </w:r>
          </w:p>
        </w:tc>
        <w:tc>
          <w:tcPr>
            <w:tcW w:w="1207" w:type="dxa"/>
          </w:tcPr>
          <w:p w14:paraId="6F57F876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7</w:t>
            </w:r>
          </w:p>
        </w:tc>
        <w:tc>
          <w:tcPr>
            <w:tcW w:w="4806" w:type="dxa"/>
          </w:tcPr>
          <w:p w14:paraId="1CE3BCA8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13 healthy subjects receive MPSV4, 17 receive MCV4 (age 18-45)</w:t>
            </w:r>
          </w:p>
          <w:p w14:paraId="67C9412F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2ED6A535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GSE52245</w:t>
            </w:r>
          </w:p>
        </w:tc>
      </w:tr>
      <w:tr w:rsidR="00E07673" w:rsidRPr="00471B48" w14:paraId="1285A68A" w14:textId="77777777" w:rsidTr="00E07673">
        <w:tc>
          <w:tcPr>
            <w:tcW w:w="551" w:type="dxa"/>
          </w:tcPr>
          <w:p w14:paraId="5D4D221A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12" w:type="dxa"/>
          </w:tcPr>
          <w:p w14:paraId="732224AC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Laurane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 xml:space="preserve"> DM et al., Sci Transl. Med., 2020</w:t>
            </w:r>
          </w:p>
        </w:tc>
        <w:tc>
          <w:tcPr>
            <w:tcW w:w="1358" w:type="dxa"/>
          </w:tcPr>
          <w:p w14:paraId="7FE5C388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Adjuvanted hepatitis B (AS01B, AS01E, AS03, AS04, Alum)</w:t>
            </w:r>
          </w:p>
        </w:tc>
        <w:tc>
          <w:tcPr>
            <w:tcW w:w="1207" w:type="dxa"/>
          </w:tcPr>
          <w:p w14:paraId="2C8B2BB9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721920A9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18 healthy subjects receive AS01B, 23 for AS01E, 28 for AS03, 22 for AS04, 21 for Alum, which are the different adjuvants for the HBs antigen.</w:t>
            </w:r>
          </w:p>
          <w:p w14:paraId="4906E609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on whole blood</w:t>
            </w:r>
          </w:p>
          <w:p w14:paraId="28B3BDD0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GSE116975</w:t>
            </w:r>
          </w:p>
        </w:tc>
      </w:tr>
      <w:tr w:rsidR="00E07673" w:rsidRPr="00471B48" w14:paraId="5F26C594" w14:textId="77777777" w:rsidTr="00E07673">
        <w:tc>
          <w:tcPr>
            <w:tcW w:w="551" w:type="dxa"/>
          </w:tcPr>
          <w:p w14:paraId="2C52A4AC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712" w:type="dxa"/>
          </w:tcPr>
          <w:p w14:paraId="79841839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Vahey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 xml:space="preserve"> MT et al., J Infect Dis., 2010</w:t>
            </w:r>
          </w:p>
        </w:tc>
        <w:tc>
          <w:tcPr>
            <w:tcW w:w="1358" w:type="dxa"/>
          </w:tcPr>
          <w:p w14:paraId="5BA23652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RTS,S/AS01 or RTS,S/AS02</w:t>
            </w:r>
          </w:p>
        </w:tc>
        <w:tc>
          <w:tcPr>
            <w:tcW w:w="1207" w:type="dxa"/>
          </w:tcPr>
          <w:p w14:paraId="790ACC1D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2E457D0E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 xml:space="preserve">39 healthy subjects, with 13 showing protection against </w:t>
            </w:r>
            <w:r w:rsidRPr="00471B48">
              <w:rPr>
                <w:rFonts w:ascii="Arial" w:hAnsi="Arial" w:cs="Arial"/>
                <w:i/>
                <w:iCs/>
                <w:sz w:val="22"/>
                <w:szCs w:val="22"/>
              </w:rPr>
              <w:t>P. falciparum</w:t>
            </w:r>
            <w:r w:rsidRPr="00471B48">
              <w:rPr>
                <w:rFonts w:ascii="Arial" w:hAnsi="Arial" w:cs="Arial"/>
                <w:sz w:val="22"/>
                <w:szCs w:val="22"/>
              </w:rPr>
              <w:t xml:space="preserve"> (3D7 strain) challenge</w:t>
            </w:r>
          </w:p>
          <w:p w14:paraId="3ADB5A21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0C1D67E0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GSE18323</w:t>
            </w:r>
          </w:p>
        </w:tc>
      </w:tr>
      <w:tr w:rsidR="00E07673" w:rsidRPr="00471B48" w14:paraId="7AC2470D" w14:textId="77777777" w:rsidTr="00E07673">
        <w:tc>
          <w:tcPr>
            <w:tcW w:w="551" w:type="dxa"/>
          </w:tcPr>
          <w:p w14:paraId="6D76AA5C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 xml:space="preserve">12 </w:t>
            </w:r>
          </w:p>
        </w:tc>
        <w:tc>
          <w:tcPr>
            <w:tcW w:w="1712" w:type="dxa"/>
          </w:tcPr>
          <w:p w14:paraId="7C728554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Obermoser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 xml:space="preserve"> G et al., Immunity, 2013</w:t>
            </w:r>
          </w:p>
        </w:tc>
        <w:tc>
          <w:tcPr>
            <w:tcW w:w="1358" w:type="dxa"/>
          </w:tcPr>
          <w:p w14:paraId="5071D5BC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Pneumovax23</w:t>
            </w:r>
          </w:p>
          <w:p w14:paraId="3A216EA1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7" w:type="dxa"/>
          </w:tcPr>
          <w:p w14:paraId="2F9DEE75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7</w:t>
            </w:r>
          </w:p>
        </w:tc>
        <w:tc>
          <w:tcPr>
            <w:tcW w:w="4806" w:type="dxa"/>
          </w:tcPr>
          <w:p w14:paraId="58D1BB6B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6 subjects receive Pneumovax23.</w:t>
            </w:r>
          </w:p>
          <w:p w14:paraId="010FEB91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on whole blood</w:t>
            </w:r>
          </w:p>
          <w:p w14:paraId="5ACCB82C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GSE30101</w:t>
            </w:r>
          </w:p>
        </w:tc>
      </w:tr>
      <w:tr w:rsidR="00E07673" w:rsidRPr="00471B48" w14:paraId="3ACFCF00" w14:textId="77777777" w:rsidTr="00E07673">
        <w:trPr>
          <w:trHeight w:val="979"/>
        </w:trPr>
        <w:tc>
          <w:tcPr>
            <w:tcW w:w="551" w:type="dxa"/>
          </w:tcPr>
          <w:p w14:paraId="0A2CA594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712" w:type="dxa"/>
          </w:tcPr>
          <w:p w14:paraId="6DD8C8F3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>Nakaya</w:t>
            </w:r>
            <w:proofErr w:type="spellEnd"/>
            <w:r w:rsidRPr="00471B48">
              <w:rPr>
                <w:rFonts w:ascii="Arial" w:hAnsi="Arial" w:cs="Arial"/>
                <w:color w:val="000000"/>
                <w:sz w:val="22"/>
                <w:szCs w:val="22"/>
              </w:rPr>
              <w:t xml:space="preserve"> HI et al., Immunity, 2015</w:t>
            </w:r>
          </w:p>
        </w:tc>
        <w:tc>
          <w:tcPr>
            <w:tcW w:w="1358" w:type="dxa"/>
          </w:tcPr>
          <w:p w14:paraId="30A1F63C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1B48">
              <w:rPr>
                <w:rFonts w:ascii="Arial" w:hAnsi="Arial" w:cs="Arial"/>
                <w:sz w:val="22"/>
                <w:szCs w:val="22"/>
              </w:rPr>
              <w:t>Fluzone</w:t>
            </w:r>
            <w:proofErr w:type="spellEnd"/>
            <w:r w:rsidRPr="00471B48">
              <w:rPr>
                <w:rFonts w:ascii="Arial" w:hAnsi="Arial" w:cs="Arial"/>
                <w:sz w:val="22"/>
                <w:szCs w:val="22"/>
              </w:rPr>
              <w:t>® (TIV)</w:t>
            </w:r>
          </w:p>
          <w:p w14:paraId="50701B43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(2010 – 2011)</w:t>
            </w:r>
          </w:p>
        </w:tc>
        <w:tc>
          <w:tcPr>
            <w:tcW w:w="1207" w:type="dxa"/>
          </w:tcPr>
          <w:p w14:paraId="77D2AD68" w14:textId="77777777" w:rsidR="00E07673" w:rsidRPr="00471B48" w:rsidRDefault="00E07673" w:rsidP="00CA7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Day 1</w:t>
            </w:r>
          </w:p>
        </w:tc>
        <w:tc>
          <w:tcPr>
            <w:tcW w:w="4806" w:type="dxa"/>
          </w:tcPr>
          <w:p w14:paraId="68536757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58 healthy subjects (age 20 - 86 years) receive TIV</w:t>
            </w:r>
          </w:p>
          <w:p w14:paraId="62B0587C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Sampling at 0, 1, 3, 7, 14 days</w:t>
            </w:r>
          </w:p>
          <w:p w14:paraId="223F6BC2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Direct transcriptomic analysis of PBMCs</w:t>
            </w:r>
          </w:p>
          <w:p w14:paraId="7615BBBA" w14:textId="77777777" w:rsidR="00E07673" w:rsidRPr="00471B48" w:rsidRDefault="00E07673" w:rsidP="00CA7B2B">
            <w:pPr>
              <w:rPr>
                <w:rFonts w:ascii="Arial" w:hAnsi="Arial" w:cs="Arial"/>
                <w:sz w:val="22"/>
                <w:szCs w:val="22"/>
              </w:rPr>
            </w:pPr>
            <w:r w:rsidRPr="00471B48">
              <w:rPr>
                <w:rFonts w:ascii="Arial" w:hAnsi="Arial" w:cs="Arial"/>
                <w:sz w:val="22"/>
                <w:szCs w:val="22"/>
              </w:rPr>
              <w:t>Data deposited at GSE74813</w:t>
            </w:r>
          </w:p>
        </w:tc>
      </w:tr>
    </w:tbl>
    <w:p w14:paraId="664B056E" w14:textId="77777777" w:rsidR="00473D4C" w:rsidRDefault="00473D4C" w:rsidP="00E07673"/>
    <w:sectPr w:rsidR="00473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73"/>
    <w:rsid w:val="00150210"/>
    <w:rsid w:val="00371544"/>
    <w:rsid w:val="00414072"/>
    <w:rsid w:val="00473D4C"/>
    <w:rsid w:val="004C07BB"/>
    <w:rsid w:val="00545DE7"/>
    <w:rsid w:val="00A13BEE"/>
    <w:rsid w:val="00E0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6977B"/>
  <w15:chartTrackingRefBased/>
  <w15:docId w15:val="{968EE7AB-1D05-5746-A52D-A6E07A85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67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Kuan Rong</dc:creator>
  <cp:keywords/>
  <dc:description/>
  <cp:lastModifiedBy>Chan Kuan Rong</cp:lastModifiedBy>
  <cp:revision>1</cp:revision>
  <dcterms:created xsi:type="dcterms:W3CDTF">2022-11-03T02:12:00Z</dcterms:created>
  <dcterms:modified xsi:type="dcterms:W3CDTF">2022-11-03T02:17:00Z</dcterms:modified>
</cp:coreProperties>
</file>