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5502D8" w14:textId="3ABC9150" w:rsidR="003C03EC" w:rsidRPr="00223B03" w:rsidRDefault="003C03EC" w:rsidP="003C03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3B03">
        <w:rPr>
          <w:rFonts w:ascii="Times New Roman" w:hAnsi="Times New Roman" w:cs="Times New Roman"/>
          <w:sz w:val="24"/>
          <w:szCs w:val="24"/>
        </w:rPr>
        <w:t>Supplementary Figure 1. Kaplan–Meier analyses comparing (A</w:t>
      </w:r>
      <w:proofErr w:type="gramStart"/>
      <w:r w:rsidRPr="00223B03">
        <w:rPr>
          <w:rFonts w:ascii="Times New Roman" w:hAnsi="Times New Roman" w:cs="Times New Roman"/>
          <w:sz w:val="24"/>
          <w:szCs w:val="24"/>
        </w:rPr>
        <w:t>,C</w:t>
      </w:r>
      <w:proofErr w:type="gramEnd"/>
      <w:r w:rsidRPr="00223B03">
        <w:rPr>
          <w:rFonts w:ascii="Times New Roman" w:hAnsi="Times New Roman" w:cs="Times New Roman"/>
          <w:sz w:val="24"/>
          <w:szCs w:val="24"/>
        </w:rPr>
        <w:t xml:space="preserve">) disease-free survival and (B,D) overall survival in AJCC Stage 0~1 patients with (A,B) the </w:t>
      </w:r>
      <w:proofErr w:type="spellStart"/>
      <w:r w:rsidRPr="00223B03">
        <w:rPr>
          <w:rFonts w:ascii="Times New Roman" w:hAnsi="Times New Roman" w:cs="Times New Roman"/>
          <w:sz w:val="24"/>
          <w:szCs w:val="24"/>
        </w:rPr>
        <w:t>apicoluminal</w:t>
      </w:r>
      <w:proofErr w:type="spellEnd"/>
      <w:r w:rsidRPr="00223B03">
        <w:rPr>
          <w:rFonts w:ascii="Times New Roman" w:hAnsi="Times New Roman" w:cs="Times New Roman"/>
          <w:sz w:val="24"/>
          <w:szCs w:val="24"/>
        </w:rPr>
        <w:t xml:space="preserve"> and diffuse-cytoplasmic t-CEA expression patterns, and (C,D) low and high-intensity t-CEA expression.</w:t>
      </w:r>
    </w:p>
    <w:p w14:paraId="46ED7F0F" w14:textId="2280F193" w:rsidR="00010498" w:rsidRPr="00223B03" w:rsidRDefault="00010498"/>
    <w:p w14:paraId="36C61215" w14:textId="6BF34B56" w:rsidR="003C03EC" w:rsidRPr="00223B03" w:rsidRDefault="003C03EC" w:rsidP="003C03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3B03">
        <w:rPr>
          <w:rFonts w:ascii="Times New Roman" w:hAnsi="Times New Roman" w:cs="Times New Roman"/>
          <w:sz w:val="24"/>
          <w:szCs w:val="24"/>
        </w:rPr>
        <w:t>Supplementary Figure 2. Kaplan–Meier analyses comparing (A</w:t>
      </w:r>
      <w:proofErr w:type="gramStart"/>
      <w:r w:rsidRPr="00223B03">
        <w:rPr>
          <w:rFonts w:ascii="Times New Roman" w:hAnsi="Times New Roman" w:cs="Times New Roman"/>
          <w:sz w:val="24"/>
          <w:szCs w:val="24"/>
        </w:rPr>
        <w:t>,C</w:t>
      </w:r>
      <w:proofErr w:type="gramEnd"/>
      <w:r w:rsidRPr="00223B03">
        <w:rPr>
          <w:rFonts w:ascii="Times New Roman" w:hAnsi="Times New Roman" w:cs="Times New Roman"/>
          <w:sz w:val="24"/>
          <w:szCs w:val="24"/>
        </w:rPr>
        <w:t>) disease-free survival and (B,D) overall surv</w:t>
      </w:r>
      <w:bookmarkStart w:id="0" w:name="_GoBack"/>
      <w:bookmarkEnd w:id="0"/>
      <w:r w:rsidRPr="00223B03">
        <w:rPr>
          <w:rFonts w:ascii="Times New Roman" w:hAnsi="Times New Roman" w:cs="Times New Roman"/>
          <w:sz w:val="24"/>
          <w:szCs w:val="24"/>
        </w:rPr>
        <w:t xml:space="preserve">ival in AJCC Stage 2 patients with (A,B) the </w:t>
      </w:r>
      <w:proofErr w:type="spellStart"/>
      <w:r w:rsidRPr="00223B03">
        <w:rPr>
          <w:rFonts w:ascii="Times New Roman" w:hAnsi="Times New Roman" w:cs="Times New Roman"/>
          <w:sz w:val="24"/>
          <w:szCs w:val="24"/>
        </w:rPr>
        <w:t>apicoluminal</w:t>
      </w:r>
      <w:proofErr w:type="spellEnd"/>
      <w:r w:rsidRPr="00223B03">
        <w:rPr>
          <w:rFonts w:ascii="Times New Roman" w:hAnsi="Times New Roman" w:cs="Times New Roman"/>
          <w:sz w:val="24"/>
          <w:szCs w:val="24"/>
        </w:rPr>
        <w:t xml:space="preserve"> and diffuse-cytoplasmic t-CEA expression patterns, and (C,D) low and high-intensity t-CEA expression.</w:t>
      </w:r>
    </w:p>
    <w:p w14:paraId="124670B3" w14:textId="335E3FDF" w:rsidR="003C03EC" w:rsidRPr="00223B03" w:rsidRDefault="003C03EC" w:rsidP="003C03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0AB497E" w14:textId="657801A0" w:rsidR="003C03EC" w:rsidRPr="00223B03" w:rsidRDefault="003C03EC" w:rsidP="003C03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3B03">
        <w:rPr>
          <w:rFonts w:ascii="Times New Roman" w:hAnsi="Times New Roman" w:cs="Times New Roman"/>
          <w:sz w:val="24"/>
          <w:szCs w:val="24"/>
        </w:rPr>
        <w:t>Supplementary Figure 3. Kaplan–Meier analyses comparing (A</w:t>
      </w:r>
      <w:proofErr w:type="gramStart"/>
      <w:r w:rsidRPr="00223B03">
        <w:rPr>
          <w:rFonts w:ascii="Times New Roman" w:hAnsi="Times New Roman" w:cs="Times New Roman"/>
          <w:sz w:val="24"/>
          <w:szCs w:val="24"/>
        </w:rPr>
        <w:t>,C</w:t>
      </w:r>
      <w:proofErr w:type="gramEnd"/>
      <w:r w:rsidRPr="00223B03">
        <w:rPr>
          <w:rFonts w:ascii="Times New Roman" w:hAnsi="Times New Roman" w:cs="Times New Roman"/>
          <w:sz w:val="24"/>
          <w:szCs w:val="24"/>
        </w:rPr>
        <w:t xml:space="preserve">) disease-free survival and (B,D) overall survival in AJCC Stage 3 patients with (A,B) the </w:t>
      </w:r>
      <w:proofErr w:type="spellStart"/>
      <w:r w:rsidRPr="00223B03">
        <w:rPr>
          <w:rFonts w:ascii="Times New Roman" w:hAnsi="Times New Roman" w:cs="Times New Roman"/>
          <w:sz w:val="24"/>
          <w:szCs w:val="24"/>
        </w:rPr>
        <w:t>apicoluminal</w:t>
      </w:r>
      <w:proofErr w:type="spellEnd"/>
      <w:r w:rsidRPr="00223B03">
        <w:rPr>
          <w:rFonts w:ascii="Times New Roman" w:hAnsi="Times New Roman" w:cs="Times New Roman"/>
          <w:sz w:val="24"/>
          <w:szCs w:val="24"/>
        </w:rPr>
        <w:t xml:space="preserve"> and diffuse-cytoplasmic t-CEA expression patterns, and (C,D) low and high-intensity t-CEA expression.</w:t>
      </w:r>
    </w:p>
    <w:p w14:paraId="7275FE26" w14:textId="33A3E460" w:rsidR="003C03EC" w:rsidRPr="00223B03" w:rsidRDefault="003C03EC" w:rsidP="003C03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71C40F7" w14:textId="26537934" w:rsidR="003C03EC" w:rsidRPr="00223B03" w:rsidRDefault="003C03EC" w:rsidP="003C03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3B03">
        <w:rPr>
          <w:rFonts w:ascii="Times New Roman" w:hAnsi="Times New Roman" w:cs="Times New Roman"/>
          <w:sz w:val="24"/>
          <w:szCs w:val="24"/>
        </w:rPr>
        <w:t xml:space="preserve">Supplementary Figure 4. Kaplan–Meier analyses comparing (A,C) disease-free survival and (B,D) overall survival in AJCC Stage 4 patients with (A,B) the </w:t>
      </w:r>
      <w:proofErr w:type="spellStart"/>
      <w:r w:rsidRPr="00223B03">
        <w:rPr>
          <w:rFonts w:ascii="Times New Roman" w:hAnsi="Times New Roman" w:cs="Times New Roman"/>
          <w:sz w:val="24"/>
          <w:szCs w:val="24"/>
        </w:rPr>
        <w:t>apicoluminal</w:t>
      </w:r>
      <w:proofErr w:type="spellEnd"/>
      <w:r w:rsidRPr="00223B03">
        <w:rPr>
          <w:rFonts w:ascii="Times New Roman" w:hAnsi="Times New Roman" w:cs="Times New Roman"/>
          <w:sz w:val="24"/>
          <w:szCs w:val="24"/>
        </w:rPr>
        <w:t xml:space="preserve"> and diffuse-cytoplasmic t-CEA expression patterns, and (C,D) low and high-intensity t-CEA expression.</w:t>
      </w:r>
    </w:p>
    <w:p w14:paraId="317D185C" w14:textId="77777777" w:rsidR="003C03EC" w:rsidRPr="00223B03" w:rsidRDefault="003C03EC" w:rsidP="003C03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1C5145F" w14:textId="77777777" w:rsidR="003C03EC" w:rsidRPr="00223B03" w:rsidRDefault="003C03EC" w:rsidP="003C03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7C0493A" w14:textId="77777777" w:rsidR="003C03EC" w:rsidRPr="00223B03" w:rsidRDefault="003C03EC"/>
    <w:sectPr w:rsidR="003C03EC" w:rsidRPr="00223B03" w:rsidSect="00223B0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3EC"/>
    <w:rsid w:val="00010498"/>
    <w:rsid w:val="00223B03"/>
    <w:rsid w:val="003C0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4AB3D"/>
  <w15:chartTrackingRefBased/>
  <w15:docId w15:val="{213CC9E6-1899-4D35-9C16-A68002F1B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03EC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160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 Il</dc:creator>
  <cp:keywords/>
  <dc:description/>
  <cp:lastModifiedBy>Komathi Ramu</cp:lastModifiedBy>
  <cp:revision>2</cp:revision>
  <dcterms:created xsi:type="dcterms:W3CDTF">2023-04-21T03:38:00Z</dcterms:created>
  <dcterms:modified xsi:type="dcterms:W3CDTF">2023-05-09T09:36:00Z</dcterms:modified>
</cp:coreProperties>
</file>