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  <w:t>S</w:t>
      </w:r>
      <w:r>
        <w:rPr>
          <w:rFonts w:cs="Times New Roman" w:ascii="Times New Roman" w:hAnsi="Times New Roman"/>
          <w:b/>
          <w:bCs/>
          <w:lang w:val="en-US"/>
        </w:rPr>
        <w:t xml:space="preserve">upplementary data: </w:t>
      </w:r>
    </w:p>
    <w:p>
      <w:pPr>
        <w:pStyle w:val="Normal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  <w:t>RELIABILITY FROM CONSECUTIVE PAIRS OF TRIALS</w:t>
      </w:r>
    </w:p>
    <w:p>
      <w:pPr>
        <w:pStyle w:val="Normal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  <w:t>Reference: Hopkins WG (2000). Reliability from consecutive pairs of trials using Excel spreadsheet.</w:t>
      </w:r>
    </w:p>
    <w:p>
      <w:pPr>
        <w:pStyle w:val="Normal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  <w:t>The three gas analyzers (Vintus CPX, Oxycon Mobile and Oxycon PRO) were placed in serie, as shown in the image, pumping air with the calibration syringe at different intensities.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lang w:val="en-US"/>
        </w:rPr>
      </w:pPr>
      <w:r>
        <w:rPr/>
        <w:drawing>
          <wp:inline distT="0" distB="0" distL="0" distR="0">
            <wp:extent cx="5110480" cy="2293620"/>
            <wp:effectExtent l="0" t="0" r="0" b="0"/>
            <wp:docPr id="1" name="Imagen 1" descr="Imagen que contiene interior, tabla, espejo, agu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interior, tabla, espejo, agu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5357" t="6268" r="0" b="18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480" cy="2293620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3752850</wp:posOffset>
            </wp:positionH>
            <wp:positionV relativeFrom="page">
              <wp:posOffset>4991735</wp:posOffset>
            </wp:positionV>
            <wp:extent cx="2390140" cy="1965325"/>
            <wp:effectExtent l="0" t="0" r="0" b="0"/>
            <wp:wrapNone/>
            <wp:docPr id="2" name="Imagen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3752215</wp:posOffset>
            </wp:positionH>
            <wp:positionV relativeFrom="paragraph">
              <wp:posOffset>2240280</wp:posOffset>
            </wp:positionV>
            <wp:extent cx="2389505" cy="1924050"/>
            <wp:effectExtent l="0" t="0" r="0" b="0"/>
            <wp:wrapNone/>
            <wp:docPr id="3" name="Imagen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5529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 w:noHBand="0" w:noVBand="1" w:firstColumn="1" w:lastRow="0" w:lastColumn="0" w:firstRow="1"/>
      </w:tblPr>
      <w:tblGrid>
        <w:gridCol w:w="1908"/>
        <w:gridCol w:w="1778"/>
        <w:gridCol w:w="1843"/>
      </w:tblGrid>
      <w:tr>
        <w:trPr>
          <w:trHeight w:val="276" w:hRule="atLeast"/>
        </w:trPr>
        <w:tc>
          <w:tcPr>
            <w:tcW w:w="552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Measures of reliability for VE variable in liters</w:t>
            </w:r>
          </w:p>
        </w:tc>
      </w:tr>
      <w:tr>
        <w:trPr>
          <w:trHeight w:val="276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 xml:space="preserve">Trial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Mobile-Vintus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 xml:space="preserve">Trial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Oxico Pro-Oxycon mobile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Change in mean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1.30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3.46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Lower conf limit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1.10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3.12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Upper conf limit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1.50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3.79</w:t>
            </w:r>
          </w:p>
        </w:tc>
      </w:tr>
      <w:tr>
        <w:trPr>
          <w:trHeight w:val="264" w:hRule="exac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Typical error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0.82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1.35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Lower conf limit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0.73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1.21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Upper conf limit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0.93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1.55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Degrees of freedom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89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89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TE^2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0.67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1.83</w:t>
            </w:r>
          </w:p>
        </w:tc>
      </w:tr>
      <w:tr>
        <w:trPr>
          <w:trHeight w:val="264" w:hRule="exac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Total error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0.27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1.54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Limits of agreement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2.30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3.80</w:t>
            </w:r>
          </w:p>
        </w:tc>
      </w:tr>
      <w:tr>
        <w:trPr>
          <w:trHeight w:val="264" w:hRule="exac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Pearson r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0.99985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0.99979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Intraclass R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0.99974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lang w:val="en-US" w:eastAsia="es-ES"/>
              </w:rPr>
              <w:t>0.99932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Lower conf limit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0.99963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0.99904</w:t>
            </w:r>
          </w:p>
        </w:tc>
      </w:tr>
      <w:tr>
        <w:trPr>
          <w:trHeight w:val="264" w:hRule="atLeast"/>
        </w:trPr>
        <w:tc>
          <w:tcPr>
            <w:tcW w:w="19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Upper conf limit</w:t>
            </w:r>
          </w:p>
        </w:tc>
        <w:tc>
          <w:tcPr>
            <w:tcW w:w="17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0.99982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val="en-US" w:eastAsia="es-ES"/>
              </w:rPr>
              <w:t>0.99952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  <w:t>Total ICC R=0.999 with p&lt;0.001.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  <w:r>
        <w:br w:type="page"/>
      </w:r>
    </w:p>
    <w:p>
      <w:pPr>
        <w:pStyle w:val="Normal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</w:p>
    <w:tbl>
      <w:tblPr>
        <w:tblStyle w:val="Tablaconcuadrcula"/>
        <w:tblW w:w="9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28"/>
        <w:gridCol w:w="2188"/>
        <w:gridCol w:w="762"/>
        <w:gridCol w:w="601"/>
        <w:gridCol w:w="720"/>
        <w:gridCol w:w="923"/>
        <w:gridCol w:w="815"/>
        <w:gridCol w:w="922"/>
      </w:tblGrid>
      <w:tr>
        <w:trPr>
          <w:trHeight w:val="288" w:hRule="atLeast"/>
        </w:trPr>
        <w:tc>
          <w:tcPr>
            <w:tcW w:w="9259" w:type="dxa"/>
            <w:gridSpan w:val="8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Cs w:val="22"/>
                <w:lang w:val="en-US" w:bidi="ar-SA"/>
              </w:rPr>
              <w:t>Effect of changing the plastic mask envelope for each measurement versus making all 5 measurements with the same plastic for the Hygienic_1, reusable (Emotion) mask. n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=25.</w:t>
            </w:r>
          </w:p>
        </w:tc>
      </w:tr>
      <w:tr>
        <w:trPr>
          <w:trHeight w:val="288" w:hRule="atLeast"/>
        </w:trPr>
        <w:tc>
          <w:tcPr>
            <w:tcW w:w="451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 </w:t>
            </w:r>
          </w:p>
        </w:tc>
        <w:tc>
          <w:tcPr>
            <w:tcW w:w="76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Mean</w:t>
            </w:r>
          </w:p>
        </w:tc>
        <w:tc>
          <w:tcPr>
            <w:tcW w:w="6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SD</w:t>
            </w:r>
          </w:p>
        </w:tc>
        <w:tc>
          <w:tcPr>
            <w:tcW w:w="7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F</w:t>
            </w:r>
          </w:p>
        </w:tc>
        <w:tc>
          <w:tcPr>
            <w:tcW w:w="9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p-valor</w:t>
            </w:r>
          </w:p>
        </w:tc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t</w:t>
            </w:r>
          </w:p>
        </w:tc>
        <w:tc>
          <w:tcPr>
            <w:tcW w:w="92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p-valor</w:t>
            </w:r>
          </w:p>
        </w:tc>
      </w:tr>
      <w:tr>
        <w:trPr>
          <w:trHeight w:val="288" w:hRule="atLeast"/>
        </w:trPr>
        <w:tc>
          <w:tcPr>
            <w:tcW w:w="2328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VE AIRin (L/min)</w:t>
            </w:r>
          </w:p>
        </w:tc>
        <w:tc>
          <w:tcPr>
            <w:tcW w:w="218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No plastic change</w:t>
            </w:r>
          </w:p>
        </w:tc>
        <w:tc>
          <w:tcPr>
            <w:tcW w:w="76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59.3</w:t>
            </w:r>
          </w:p>
        </w:tc>
        <w:tc>
          <w:tcPr>
            <w:tcW w:w="6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37.6</w:t>
            </w:r>
          </w:p>
        </w:tc>
        <w:tc>
          <w:tcPr>
            <w:tcW w:w="72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0.002</w:t>
            </w:r>
          </w:p>
        </w:tc>
        <w:tc>
          <w:tcPr>
            <w:tcW w:w="92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0.966</w:t>
            </w:r>
          </w:p>
        </w:tc>
        <w:tc>
          <w:tcPr>
            <w:tcW w:w="815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-0.301</w:t>
            </w:r>
          </w:p>
        </w:tc>
        <w:tc>
          <w:tcPr>
            <w:tcW w:w="92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0.764</w:t>
            </w:r>
          </w:p>
        </w:tc>
      </w:tr>
      <w:tr>
        <w:trPr>
          <w:trHeight w:val="288" w:hRule="atLeast"/>
        </w:trPr>
        <w:tc>
          <w:tcPr>
            <w:tcW w:w="232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val="en-US" w:eastAsia="es-ES"/>
              </w:rPr>
            </w:r>
          </w:p>
        </w:tc>
        <w:tc>
          <w:tcPr>
            <w:tcW w:w="218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Plastic change</w:t>
            </w:r>
          </w:p>
        </w:tc>
        <w:tc>
          <w:tcPr>
            <w:tcW w:w="76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62.5</w:t>
            </w:r>
          </w:p>
        </w:tc>
        <w:tc>
          <w:tcPr>
            <w:tcW w:w="6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37.8</w:t>
            </w:r>
          </w:p>
        </w:tc>
        <w:tc>
          <w:tcPr>
            <w:tcW w:w="72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  <w:tc>
          <w:tcPr>
            <w:tcW w:w="92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  <w:tc>
          <w:tcPr>
            <w:tcW w:w="81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  <w:tc>
          <w:tcPr>
            <w:tcW w:w="92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</w:tr>
      <w:tr>
        <w:trPr>
          <w:trHeight w:val="288" w:hRule="atLeast"/>
        </w:trPr>
        <w:tc>
          <w:tcPr>
            <w:tcW w:w="2328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VE AIRfil (L/min)</w:t>
            </w:r>
          </w:p>
        </w:tc>
        <w:tc>
          <w:tcPr>
            <w:tcW w:w="218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No plastic change</w:t>
            </w:r>
          </w:p>
        </w:tc>
        <w:tc>
          <w:tcPr>
            <w:tcW w:w="76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46.9</w:t>
            </w:r>
          </w:p>
        </w:tc>
        <w:tc>
          <w:tcPr>
            <w:tcW w:w="6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29.9</w:t>
            </w:r>
          </w:p>
        </w:tc>
        <w:tc>
          <w:tcPr>
            <w:tcW w:w="72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0.04</w:t>
            </w:r>
          </w:p>
        </w:tc>
        <w:tc>
          <w:tcPr>
            <w:tcW w:w="92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0.842</w:t>
            </w:r>
          </w:p>
        </w:tc>
        <w:tc>
          <w:tcPr>
            <w:tcW w:w="815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-0.099</w:t>
            </w:r>
          </w:p>
        </w:tc>
        <w:tc>
          <w:tcPr>
            <w:tcW w:w="92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0.922</w:t>
            </w:r>
          </w:p>
        </w:tc>
      </w:tr>
      <w:tr>
        <w:trPr>
          <w:trHeight w:val="288" w:hRule="atLeast"/>
        </w:trPr>
        <w:tc>
          <w:tcPr>
            <w:tcW w:w="232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val="en-US" w:eastAsia="es-ES"/>
              </w:rPr>
            </w:r>
          </w:p>
        </w:tc>
        <w:tc>
          <w:tcPr>
            <w:tcW w:w="218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Plastic change</w:t>
            </w:r>
          </w:p>
        </w:tc>
        <w:tc>
          <w:tcPr>
            <w:tcW w:w="76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47.7</w:t>
            </w:r>
          </w:p>
        </w:tc>
        <w:tc>
          <w:tcPr>
            <w:tcW w:w="6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29.0</w:t>
            </w:r>
          </w:p>
        </w:tc>
        <w:tc>
          <w:tcPr>
            <w:tcW w:w="72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  <w:tc>
          <w:tcPr>
            <w:tcW w:w="92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  <w:tc>
          <w:tcPr>
            <w:tcW w:w="81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  <w:tc>
          <w:tcPr>
            <w:tcW w:w="92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</w:tr>
      <w:tr>
        <w:trPr>
          <w:trHeight w:val="288" w:hRule="atLeast"/>
        </w:trPr>
        <w:tc>
          <w:tcPr>
            <w:tcW w:w="2328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Cs w:val="22"/>
                <w:lang w:val="en-US" w:eastAsia="es-ES" w:bidi="ar-SA"/>
              </w:rPr>
              <w:t>VE AIRunf (L/min)</w:t>
            </w:r>
          </w:p>
        </w:tc>
        <w:tc>
          <w:tcPr>
            <w:tcW w:w="218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No plastic change</w:t>
            </w:r>
          </w:p>
        </w:tc>
        <w:tc>
          <w:tcPr>
            <w:tcW w:w="76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7.5</w:t>
            </w:r>
          </w:p>
        </w:tc>
        <w:tc>
          <w:tcPr>
            <w:tcW w:w="6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5.3</w:t>
            </w:r>
          </w:p>
        </w:tc>
        <w:tc>
          <w:tcPr>
            <w:tcW w:w="72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2.192</w:t>
            </w:r>
          </w:p>
        </w:tc>
        <w:tc>
          <w:tcPr>
            <w:tcW w:w="92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0.145</w:t>
            </w:r>
          </w:p>
        </w:tc>
        <w:tc>
          <w:tcPr>
            <w:tcW w:w="815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-1.047</w:t>
            </w:r>
          </w:p>
        </w:tc>
        <w:tc>
          <w:tcPr>
            <w:tcW w:w="92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0.300</w:t>
            </w:r>
          </w:p>
        </w:tc>
      </w:tr>
      <w:tr>
        <w:trPr>
          <w:trHeight w:val="288" w:hRule="atLeast"/>
        </w:trPr>
        <w:tc>
          <w:tcPr>
            <w:tcW w:w="232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val="en-US" w:eastAsia="es-ES"/>
              </w:rPr>
            </w:r>
          </w:p>
        </w:tc>
        <w:tc>
          <w:tcPr>
            <w:tcW w:w="218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Plastic change</w:t>
            </w:r>
          </w:p>
        </w:tc>
        <w:tc>
          <w:tcPr>
            <w:tcW w:w="76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9.4</w:t>
            </w:r>
          </w:p>
        </w:tc>
        <w:tc>
          <w:tcPr>
            <w:tcW w:w="6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6.9</w:t>
            </w:r>
          </w:p>
        </w:tc>
        <w:tc>
          <w:tcPr>
            <w:tcW w:w="72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  <w:tc>
          <w:tcPr>
            <w:tcW w:w="92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  <w:tc>
          <w:tcPr>
            <w:tcW w:w="81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  <w:tc>
          <w:tcPr>
            <w:tcW w:w="92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 w:eastAsia="es-ES"/>
              </w:rPr>
            </w:r>
          </w:p>
        </w:tc>
      </w:tr>
      <w:tr>
        <w:trPr>
          <w:trHeight w:val="288" w:hRule="atLeast"/>
        </w:trPr>
        <w:tc>
          <w:tcPr>
            <w:tcW w:w="9259" w:type="dxa"/>
            <w:gridSpan w:val="8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lang w:val="en-US" w:eastAsia="es-E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en-US" w:eastAsia="es-ES" w:bidi="ar-SA"/>
              </w:rPr>
              <w:t>AIRin= air input to the system for the Jaeger Oxycon Pro analyzer. AIRfil=air filtered by the facemask for the Jaeger Oxycon Mobile analyzer, and finally the Vintus CPX analyzer which collected the air that was not filtered (AIRunf).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</w:p>
    <w:p>
      <w:pPr>
        <w:pStyle w:val="Normal"/>
        <w:rPr/>
      </w:pPr>
      <w:r>
        <w:rPr/>
      </w:r>
    </w:p>
    <w:p>
      <w:pPr>
        <w:pStyle w:val="Normal"/>
        <w:spacing w:before="120" w:after="160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Palatino Linotype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1c5a"/>
    <w:pPr>
      <w:widowControl/>
      <w:suppressAutoHyphens w:val="true"/>
      <w:bidi w:val="0"/>
      <w:spacing w:lineRule="auto" w:line="259" w:before="0" w:after="160"/>
      <w:jc w:val="both"/>
    </w:pPr>
    <w:rPr>
      <w:rFonts w:ascii="Calibri" w:hAnsi="Calibri" w:eastAsia="Calibri" w:cs=""/>
      <w:color w:val="00000A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eb35f6"/>
    <w:rPr>
      <w:color w:val="0563C1" w:themeColor="hyperlink"/>
      <w:u w:val="single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853ee3"/>
    <w:rPr>
      <w:color w:val="605E5C"/>
      <w:shd w:fill="E1DFDD" w:val="clear"/>
    </w:rPr>
  </w:style>
  <w:style w:type="character" w:styleId="MDPI31textCar" w:customStyle="1">
    <w:name w:val="MDPI_3.1_text Car"/>
    <w:basedOn w:val="DefaultParagraphFont"/>
    <w:link w:val="MDPI31text"/>
    <w:qFormat/>
    <w:rsid w:val="00182cf5"/>
    <w:rPr>
      <w:rFonts w:ascii="Palatino Linotype" w:hAnsi="Palatino Linotype" w:eastAsia="Times New Roman" w:cs="Times New Roman"/>
      <w:color w:val="000000"/>
      <w:sz w:val="20"/>
      <w:lang w:val="en-US" w:eastAsia="de-DE" w:bidi="en-US"/>
    </w:rPr>
  </w:style>
  <w:style w:type="character" w:styleId="EndNoteBibliographyTitleCar" w:customStyle="1">
    <w:name w:val="EndNote Bibliography Title Car"/>
    <w:basedOn w:val="DefaultParagraphFont"/>
    <w:link w:val="EndNoteBibliographyTitle"/>
    <w:qFormat/>
    <w:rsid w:val="00fc62ef"/>
    <w:rPr>
      <w:rFonts w:ascii="Calibri" w:hAnsi="Calibri" w:eastAsia="Calibri" w:cs="Calibri"/>
      <w:color w:val="00000A"/>
      <w:sz w:val="22"/>
      <w:lang w:val="en-US"/>
    </w:rPr>
  </w:style>
  <w:style w:type="character" w:styleId="EndNoteBibliographyCar" w:customStyle="1">
    <w:name w:val="EndNote Bibliography Car"/>
    <w:basedOn w:val="DefaultParagraphFont"/>
    <w:link w:val="EndNoteBibliography"/>
    <w:qFormat/>
    <w:rsid w:val="00fc62ef"/>
    <w:rPr>
      <w:rFonts w:ascii="Calibri" w:hAnsi="Calibri" w:eastAsia="Calibri" w:cs="Calibri"/>
      <w:color w:val="00000A"/>
      <w:sz w:val="22"/>
      <w:lang w:val="en-US"/>
    </w:rPr>
  </w:style>
  <w:style w:type="character" w:styleId="TextocomentarioCar" w:customStyle="1">
    <w:name w:val="Texto comentario Car"/>
    <w:basedOn w:val="DefaultParagraphFont"/>
    <w:link w:val="Textocomentario"/>
    <w:uiPriority w:val="99"/>
    <w:qFormat/>
    <w:rPr>
      <w:color w:val="00000A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bf2985"/>
    <w:rPr>
      <w:rFonts w:ascii="Segoe UI" w:hAnsi="Segoe UI" w:cs="Segoe UI"/>
      <w:color w:val="00000A"/>
      <w:sz w:val="18"/>
      <w:szCs w:val="18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qFormat/>
    <w:rsid w:val="00bf2985"/>
    <w:rPr>
      <w:b/>
      <w:bCs/>
      <w:color w:val="00000A"/>
      <w:szCs w:val="20"/>
    </w:rPr>
  </w:style>
  <w:style w:type="character" w:styleId="VisitedInternetLink">
    <w:name w:val="FollowedHyperlink"/>
    <w:basedOn w:val="DefaultParagraphFont"/>
    <w:uiPriority w:val="99"/>
    <w:semiHidden/>
    <w:unhideWhenUsed/>
    <w:qFormat/>
    <w:rsid w:val="00962f82"/>
    <w:rPr>
      <w:color w:val="954F72" w:themeColor="followed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eb35f6"/>
    <w:rPr>
      <w:color w:val="605E5C"/>
      <w:shd w:fill="E1DFDD" w:val="clear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AR PL KaitiM GB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FreeSans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Contents2">
    <w:name w:val="TOC 2"/>
    <w:basedOn w:val="Normal"/>
    <w:next w:val="Normal"/>
    <w:autoRedefine/>
    <w:uiPriority w:val="39"/>
    <w:unhideWhenUsed/>
    <w:rsid w:val="00d35298"/>
    <w:pPr>
      <w:tabs>
        <w:tab w:val="clear" w:pos="708"/>
        <w:tab w:val="left" w:pos="851" w:leader="none"/>
      </w:tabs>
      <w:spacing w:lineRule="auto" w:line="276" w:before="120" w:after="120"/>
      <w:ind w:left="284" w:hanging="0"/>
    </w:pPr>
    <w:rPr>
      <w:rFonts w:ascii="Georgia" w:hAnsi="Georgia" w:eastAsia="Times New Roman" w:cs="Arial"/>
      <w:w w:val="80"/>
      <w:sz w:val="20"/>
      <w:lang w:eastAsia="es-ES"/>
    </w:rPr>
  </w:style>
  <w:style w:type="paragraph" w:styleId="Contents1">
    <w:name w:val="TOC 1"/>
    <w:basedOn w:val="Normal"/>
    <w:next w:val="Normal"/>
    <w:autoRedefine/>
    <w:uiPriority w:val="39"/>
    <w:unhideWhenUsed/>
    <w:rsid w:val="00d35298"/>
    <w:pPr>
      <w:tabs>
        <w:tab w:val="clear" w:pos="708"/>
        <w:tab w:val="right" w:pos="9345" w:leader="dot"/>
      </w:tabs>
      <w:spacing w:lineRule="auto" w:line="276" w:before="0" w:after="0"/>
    </w:pPr>
    <w:rPr>
      <w:rFonts w:ascii="Georgia" w:hAnsi="Georgia" w:eastAsia="Times New Roman" w:cs="Arial"/>
      <w:w w:val="80"/>
      <w:sz w:val="24"/>
      <w:lang w:eastAsia="es-ES"/>
    </w:rPr>
  </w:style>
  <w:style w:type="paragraph" w:styleId="ListParagraph">
    <w:name w:val="List Paragraph"/>
    <w:basedOn w:val="Normal"/>
    <w:uiPriority w:val="34"/>
    <w:qFormat/>
    <w:rsid w:val="00853ee3"/>
    <w:pPr>
      <w:spacing w:before="0" w:after="160"/>
      <w:ind w:left="720" w:hanging="0"/>
      <w:contextualSpacing/>
    </w:pPr>
    <w:rPr/>
  </w:style>
  <w:style w:type="paragraph" w:styleId="MDPI31text" w:customStyle="1">
    <w:name w:val="MDPI_3.1_text"/>
    <w:link w:val="MDPI31textCar"/>
    <w:qFormat/>
    <w:rsid w:val="00182cf5"/>
    <w:pPr>
      <w:widowControl/>
      <w:suppressAutoHyphens w:val="true"/>
      <w:bidi w:val="0"/>
      <w:snapToGrid w:val="false"/>
      <w:spacing w:lineRule="auto" w:line="228" w:before="0" w:after="0"/>
      <w:ind w:left="2608" w:firstLine="425"/>
      <w:jc w:val="both"/>
    </w:pPr>
    <w:rPr>
      <w:rFonts w:ascii="Palatino Linotype" w:hAnsi="Palatino Linotype" w:eastAsia="Times New Roman" w:cs="Times New Roman"/>
      <w:color w:val="000000"/>
      <w:kern w:val="0"/>
      <w:sz w:val="22"/>
      <w:szCs w:val="22"/>
      <w:lang w:val="en-US" w:eastAsia="de-DE" w:bidi="en-US"/>
    </w:rPr>
  </w:style>
  <w:style w:type="paragraph" w:styleId="MDPI71References" w:customStyle="1">
    <w:name w:val="MDPI_7.1_References"/>
    <w:qFormat/>
    <w:rsid w:val="00894e38"/>
    <w:pPr>
      <w:widowControl/>
      <w:suppressAutoHyphens w:val="true"/>
      <w:bidi w:val="0"/>
      <w:snapToGrid w:val="false"/>
      <w:spacing w:lineRule="auto" w:line="228" w:before="0" w:after="0"/>
      <w:jc w:val="both"/>
    </w:pPr>
    <w:rPr>
      <w:rFonts w:ascii="Palatino Linotype" w:hAnsi="Palatino Linotype" w:eastAsia="Times New Roman" w:cs="Times New Roman"/>
      <w:color w:val="000000"/>
      <w:kern w:val="0"/>
      <w:sz w:val="18"/>
      <w:szCs w:val="20"/>
      <w:lang w:val="en-US" w:eastAsia="de-DE" w:bidi="en-US"/>
    </w:rPr>
  </w:style>
  <w:style w:type="paragraph" w:styleId="EndNoteBibliographyTitle" w:customStyle="1">
    <w:name w:val="EndNote Bibliography Title"/>
    <w:basedOn w:val="Normal"/>
    <w:link w:val="EndNoteBibliographyTitleCar"/>
    <w:qFormat/>
    <w:rsid w:val="00fc62ef"/>
    <w:pPr>
      <w:spacing w:before="0" w:after="0"/>
      <w:jc w:val="center"/>
    </w:pPr>
    <w:rPr>
      <w:rFonts w:cs="Calibri"/>
      <w:lang w:val="en-US"/>
    </w:rPr>
  </w:style>
  <w:style w:type="paragraph" w:styleId="EndNoteBibliography" w:customStyle="1">
    <w:name w:val="EndNote Bibliography"/>
    <w:basedOn w:val="Normal"/>
    <w:link w:val="EndNoteBibliographyCar"/>
    <w:qFormat/>
    <w:rsid w:val="00fc62ef"/>
    <w:pPr>
      <w:spacing w:lineRule="auto" w:line="240"/>
    </w:pPr>
    <w:rPr>
      <w:rFonts w:cs="Calibri"/>
      <w:lang w:val="en-US"/>
    </w:rPr>
  </w:style>
  <w:style w:type="paragraph" w:styleId="PreformattedText" w:customStyle="1">
    <w:name w:val="Preformatted Text"/>
    <w:basedOn w:val="Normal"/>
    <w:qFormat/>
    <w:pPr/>
    <w:rPr/>
  </w:style>
  <w:style w:type="paragraph" w:styleId="Annotationtext">
    <w:name w:val="annotation text"/>
    <w:basedOn w:val="Normal"/>
    <w:link w:val="TextocomentarioCar"/>
    <w:uiPriority w:val="99"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298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bf2985"/>
    <w:pPr/>
    <w:rPr>
      <w:b/>
      <w:bCs/>
    </w:rPr>
  </w:style>
  <w:style w:type="paragraph" w:styleId="Revision">
    <w:name w:val="Revision"/>
    <w:uiPriority w:val="99"/>
    <w:semiHidden/>
    <w:qFormat/>
    <w:rsid w:val="00477b52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/>
      <w:color w:val="00000A"/>
      <w:kern w:val="0"/>
      <w:sz w:val="22"/>
      <w:szCs w:val="22"/>
      <w:lang w:val="es-ES" w:eastAsia="en-US" w:bidi="ar-SA"/>
    </w:rPr>
  </w:style>
  <w:style w:type="paragraph" w:styleId="FrameContents" w:customStyle="1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2">
    <w:name w:val="Plain Table 2"/>
    <w:basedOn w:val="Tablanormal"/>
    <w:uiPriority w:val="42"/>
    <w:rsid w:val="00182cf5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Tablaconcuadrcula">
    <w:name w:val="Table Grid"/>
    <w:basedOn w:val="Tablanormal"/>
    <w:uiPriority w:val="39"/>
    <w:rsid w:val="0067212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decuadrcula2">
    <w:name w:val="Grid Table 2"/>
    <w:basedOn w:val="Tablanormal"/>
    <w:uiPriority w:val="47"/>
    <w:rsid w:val="00504c33"/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000000" w:themeColor="text1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000000" w:themeColor="text1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<Relationship Id="rId11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92C039CFBB2249B217492598E5BE11" ma:contentTypeVersion="14" ma:contentTypeDescription="Crear nuevo documento." ma:contentTypeScope="" ma:versionID="e90d3ee006471baf802d95318c957496">
  <xsd:schema xmlns:xsd="http://www.w3.org/2001/XMLSchema" xmlns:xs="http://www.w3.org/2001/XMLSchema" xmlns:p="http://schemas.microsoft.com/office/2006/metadata/properties" xmlns:ns3="f6ad4708-cd8a-45fe-98bf-2842077436f6" xmlns:ns4="55a32cf4-c6f7-4b7e-b4ea-547c22e252f1" targetNamespace="http://schemas.microsoft.com/office/2006/metadata/properties" ma:root="true" ma:fieldsID="93e974dca4eeab735ba34bd531dee4d0" ns3:_="" ns4:_="">
    <xsd:import namespace="f6ad4708-cd8a-45fe-98bf-2842077436f6"/>
    <xsd:import namespace="55a32cf4-c6f7-4b7e-b4ea-547c22e252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d4708-cd8a-45fe-98bf-2842077436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32cf4-c6f7-4b7e-b4ea-547c22e25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5184C-A5C6-4673-9B6C-0D86C2C5DB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629C1-28AB-4535-96B5-FE1D8473FF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0B0691-B9EF-4EC8-926F-107C08085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d4708-cd8a-45fe-98bf-2842077436f6"/>
    <ds:schemaRef ds:uri="55a32cf4-c6f7-4b7e-b4ea-547c22e25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51A910-0576-4A99-B24C-1A669985B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LibreOffice/7.0.4.2$Linux_X86_64 LibreOffice_project/00$Build-2</Application>
  <AppVersion>15.0000</AppVersion>
  <Pages>2</Pages>
  <Words>251</Words>
  <Characters>1311</Characters>
  <CharactersWithSpaces>1473</CharactersWithSpaces>
  <Paragraphs>95</Paragraphs>
  <Company>Universidad Politecnica de Madrid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2022-07-19T13:48:00Z</dcterms:created>
  <dc:creator>pedroj.benito@upm.es</dc:creator>
  <dc:description/>
  <dc:language>es-ES</dc:language>
  <cp:lastModifiedBy>aguti </cp:lastModifiedBy>
  <dcterms:modified xsi:type="dcterms:W3CDTF">2022-10-09T09:06:50Z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0x0101005B92C039CFBB2249B217492598E5BE11</vt:lpwstr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