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632A8" w14:textId="77777777" w:rsidR="00A82A64" w:rsidRDefault="00A82A64" w:rsidP="00A82A64">
      <w:pPr>
        <w:jc w:val="both"/>
        <w:rPr>
          <w:rFonts w:cs="Arial"/>
          <w:b/>
          <w:bCs/>
        </w:rPr>
      </w:pPr>
      <w:r w:rsidRPr="00DD4570">
        <w:rPr>
          <w:rFonts w:cs="Arial"/>
          <w:b/>
          <w:bCs/>
        </w:rPr>
        <w:t>Supplemental figure 1. Graphical representation of swept-source optical coherence tomography angiography (SS-OCTA) image processing steps.</w:t>
      </w:r>
    </w:p>
    <w:p w14:paraId="4E7228DA" w14:textId="77777777" w:rsidR="00A82A64" w:rsidRPr="00DD4570" w:rsidRDefault="00A82A64" w:rsidP="00A82A64">
      <w:pPr>
        <w:jc w:val="both"/>
        <w:rPr>
          <w:rFonts w:cs="Arial"/>
          <w:b/>
          <w:bCs/>
        </w:rPr>
      </w:pPr>
    </w:p>
    <w:p w14:paraId="0C961A86" w14:textId="77777777" w:rsidR="00A82A64" w:rsidRDefault="00A82A64" w:rsidP="00A82A64">
      <w:pPr>
        <w:jc w:val="both"/>
        <w:rPr>
          <w:rFonts w:eastAsiaTheme="minorHAnsi" w:cs="Arial"/>
        </w:rPr>
      </w:pPr>
      <w:bookmarkStart w:id="0" w:name="_Hlk107785330"/>
      <w:r w:rsidRPr="003C6C82">
        <w:rPr>
          <w:rFonts w:cs="Arial"/>
        </w:rPr>
        <w:t>Following</w:t>
      </w:r>
      <w:r>
        <w:rPr>
          <w:rFonts w:cs="Arial"/>
        </w:rPr>
        <w:t xml:space="preserve"> </w:t>
      </w:r>
      <w:r w:rsidRPr="003C6C82">
        <w:rPr>
          <w:rFonts w:cs="Arial"/>
        </w:rPr>
        <w:t xml:space="preserve">previous conventions for </w:t>
      </w:r>
      <w:r>
        <w:rPr>
          <w:rFonts w:cs="Arial"/>
        </w:rPr>
        <w:t xml:space="preserve">the </w:t>
      </w:r>
      <w:r w:rsidRPr="0090645C">
        <w:rPr>
          <w:rFonts w:cs="Arial"/>
        </w:rPr>
        <w:t>assessment of</w:t>
      </w:r>
      <w:r w:rsidRPr="004B5C68">
        <w:rPr>
          <w:rFonts w:cs="Arial"/>
        </w:rPr>
        <w:t xml:space="preserve"> </w:t>
      </w:r>
      <w:r>
        <w:rPr>
          <w:rFonts w:cs="Arial"/>
        </w:rPr>
        <w:t>CC FD features in the vicinity of MNV,</w:t>
      </w:r>
      <w:sdt>
        <w:sdtPr>
          <w:rPr>
            <w:rFonts w:cs="Arial"/>
            <w:color w:val="000000"/>
            <w:vertAlign w:val="superscript"/>
          </w:rPr>
          <w:tag w:val="MENDELEY_CITATION_v3_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"/>
          <w:id w:val="1618490378"/>
          <w:placeholder>
            <w:docPart w:val="B1E8031738A6438EA71805096782A90C"/>
          </w:placeholder>
        </w:sdtPr>
        <w:sdtContent>
          <w:r w:rsidRPr="003C6C82">
            <w:rPr>
              <w:rFonts w:cs="Arial"/>
              <w:color w:val="000000"/>
              <w:vertAlign w:val="superscript"/>
            </w:rPr>
            <w:t>27</w:t>
          </w:r>
        </w:sdtContent>
      </w:sdt>
      <w:r>
        <w:rPr>
          <w:rFonts w:cs="Arial"/>
        </w:rPr>
        <w:t xml:space="preserve"> a</w:t>
      </w:r>
      <w:r w:rsidRPr="0090645C">
        <w:rPr>
          <w:rFonts w:cs="Arial"/>
        </w:rPr>
        <w:t xml:space="preserve"> </w:t>
      </w:r>
      <w:r>
        <w:rPr>
          <w:rFonts w:cs="Arial"/>
        </w:rPr>
        <w:t>q</w:t>
      </w:r>
      <w:r w:rsidRPr="0090645C">
        <w:rPr>
          <w:rFonts w:cs="Arial"/>
        </w:rPr>
        <w:t xml:space="preserve">uantitative </w:t>
      </w:r>
      <w:r>
        <w:rPr>
          <w:rFonts w:cs="Arial"/>
        </w:rPr>
        <w:t xml:space="preserve">analysis of </w:t>
      </w:r>
      <w:r w:rsidRPr="003C6C82">
        <w:rPr>
          <w:rFonts w:cs="Arial"/>
        </w:rPr>
        <w:t xml:space="preserve">CC </w:t>
      </w:r>
      <w:r>
        <w:rPr>
          <w:rFonts w:cs="Arial"/>
        </w:rPr>
        <w:t>FD was conducted and correlated with neovascular growth over follow-up within a</w:t>
      </w:r>
      <w:r w:rsidRPr="004B5C68">
        <w:rPr>
          <w:rFonts w:cs="Arial"/>
        </w:rPr>
        <w:t xml:space="preserve"> 600µm</w:t>
      </w:r>
      <w:r>
        <w:rPr>
          <w:rFonts w:cs="Arial"/>
        </w:rPr>
        <w:t xml:space="preserve"> r</w:t>
      </w:r>
      <w:r w:rsidRPr="004B5C68">
        <w:rPr>
          <w:rFonts w:cs="Arial"/>
        </w:rPr>
        <w:t xml:space="preserve">egion extending from the </w:t>
      </w:r>
      <w:r>
        <w:rPr>
          <w:rFonts w:cs="Arial"/>
        </w:rPr>
        <w:t>neovascular contour in baseline scans. This analysis was performed using radial sectors centered on the MNV centroid, as previously postulated.</w:t>
      </w:r>
      <w:sdt>
        <w:sdtPr>
          <w:rPr>
            <w:rFonts w:cs="Arial"/>
            <w:color w:val="000000"/>
            <w:vertAlign w:val="superscript"/>
          </w:rPr>
          <w:tag w:val="MENDELEY_CITATION_v3_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"/>
          <w:id w:val="-281808766"/>
          <w:placeholder>
            <w:docPart w:val="D913896A77C44E2B91E38CEE8DF5FA27"/>
          </w:placeholder>
        </w:sdtPr>
        <w:sdtContent>
          <w:r w:rsidRPr="008E25B8">
            <w:rPr>
              <w:rFonts w:cs="Arial"/>
              <w:color w:val="000000"/>
              <w:vertAlign w:val="superscript"/>
            </w:rPr>
            <w:t>16</w:t>
          </w:r>
        </w:sdtContent>
      </w:sdt>
      <w:r>
        <w:rPr>
          <w:rFonts w:cs="Arial"/>
        </w:rPr>
        <w:t xml:space="preserve"> Two quantitative metrics were assessed: the CC FD percentage (%) and the average CC FD area. The CC FD% </w:t>
      </w:r>
      <w:r w:rsidRPr="00EE3920">
        <w:rPr>
          <w:rFonts w:cs="Arial"/>
        </w:rPr>
        <w:t>was defined as the percentage of pixels</w:t>
      </w:r>
      <w:r>
        <w:rPr>
          <w:rFonts w:cs="Arial"/>
        </w:rPr>
        <w:t xml:space="preserve"> </w:t>
      </w:r>
      <w:r w:rsidRPr="00EE3920">
        <w:rPr>
          <w:rFonts w:cs="Arial"/>
        </w:rPr>
        <w:t>representing flow deficits relative to all the pixels within a</w:t>
      </w:r>
      <w:r>
        <w:rPr>
          <w:rFonts w:cs="Arial"/>
        </w:rPr>
        <w:t xml:space="preserve"> sector. The average CC FD area </w:t>
      </w:r>
      <w:r w:rsidRPr="00EE3920">
        <w:rPr>
          <w:rFonts w:cs="Arial"/>
        </w:rPr>
        <w:t xml:space="preserve">within a </w:t>
      </w:r>
      <w:r>
        <w:rPr>
          <w:rFonts w:cs="Arial"/>
        </w:rPr>
        <w:t>sector was given in square millimeters (mm</w:t>
      </w:r>
      <w:r w:rsidRPr="0007731E">
        <w:rPr>
          <w:rFonts w:cs="Arial"/>
          <w:vertAlign w:val="superscript"/>
        </w:rPr>
        <w:t>2</w:t>
      </w:r>
      <w:r>
        <w:rPr>
          <w:rFonts w:cs="Arial"/>
        </w:rPr>
        <w:t>). Neovascular growth was defined as the average difference in neovascularization outlines within a sector between visits spaced over more than 1 year and given in mm</w:t>
      </w:r>
      <w:r w:rsidRPr="004149C2">
        <w:rPr>
          <w:rFonts w:cs="Arial"/>
          <w:vertAlign w:val="superscript"/>
        </w:rPr>
        <w:t>2</w:t>
      </w:r>
      <w:r>
        <w:rPr>
          <w:rFonts w:cs="Arial"/>
        </w:rPr>
        <w:t>. N</w:t>
      </w:r>
      <w:r w:rsidRPr="0032255C">
        <w:rPr>
          <w:rFonts w:cs="Arial"/>
        </w:rPr>
        <w:t>eovascular growth and the corresponding values of FD features (</w:t>
      </w:r>
      <w:r>
        <w:rPr>
          <w:rFonts w:cs="Arial"/>
        </w:rPr>
        <w:t xml:space="preserve">% and </w:t>
      </w:r>
      <w:r w:rsidRPr="0032255C">
        <w:rPr>
          <w:rFonts w:cs="Arial"/>
        </w:rPr>
        <w:t xml:space="preserve">average size) </w:t>
      </w:r>
      <w:r>
        <w:rPr>
          <w:rFonts w:cs="Arial"/>
        </w:rPr>
        <w:t>were computed for 23 sectors with 50% overlap, i.e. sectors measuring 30º (central angle) and overlapping half of adjacent sectors. Overlapping adjacent sectors enabled to mitigate the bias associated with iatrogenic FDs features, i.e., FDs spanned by the intersectoral borders, which has been considered a limitation of radial sectors analysis.</w:t>
      </w:r>
      <w:sdt>
        <w:sdtPr>
          <w:rPr>
            <w:rFonts w:cs="Arial"/>
            <w:color w:val="000000"/>
            <w:vertAlign w:val="superscript"/>
          </w:rPr>
          <w:tag w:val="MENDELEY_CITATION_v3_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"/>
          <w:id w:val="-1899806706"/>
          <w:placeholder>
            <w:docPart w:val="D913896A77C44E2B91E38CEE8DF5FA27"/>
          </w:placeholder>
        </w:sdtPr>
        <w:sdtContent>
          <w:r w:rsidRPr="008E25B8">
            <w:rPr>
              <w:rFonts w:cs="Arial"/>
              <w:color w:val="000000"/>
              <w:vertAlign w:val="superscript"/>
            </w:rPr>
            <w:t>16</w:t>
          </w:r>
        </w:sdtContent>
      </w:sdt>
      <w:r>
        <w:rPr>
          <w:rFonts w:cs="Arial"/>
        </w:rPr>
        <w:t xml:space="preserve"> A graphical representation of the image analysis protocol is depicted in </w:t>
      </w:r>
      <w:r w:rsidRPr="007D3670">
        <w:rPr>
          <w:rFonts w:eastAsiaTheme="minorHAnsi" w:cs="Arial"/>
        </w:rPr>
        <w:t>supplemental figure 2</w:t>
      </w:r>
      <w:r w:rsidRPr="00EC3615">
        <w:rPr>
          <w:rFonts w:eastAsiaTheme="minorHAnsi" w:cs="Arial"/>
        </w:rPr>
        <w:t>.</w:t>
      </w:r>
      <w:r>
        <w:rPr>
          <w:rFonts w:eastAsiaTheme="minorHAnsi" w:cs="Arial"/>
        </w:rPr>
        <w:t xml:space="preserve"> </w:t>
      </w:r>
    </w:p>
    <w:p w14:paraId="75844CA9" w14:textId="77777777" w:rsidR="00A82A64" w:rsidRDefault="00A82A64" w:rsidP="00A82A64">
      <w:pPr>
        <w:jc w:val="both"/>
        <w:rPr>
          <w:rFonts w:cs="Arial"/>
        </w:rPr>
      </w:pPr>
    </w:p>
    <w:p w14:paraId="6F7DE242" w14:textId="77777777" w:rsidR="00A82A64" w:rsidRDefault="00A82A64" w:rsidP="00A82A64">
      <w:pPr>
        <w:tabs>
          <w:tab w:val="clear" w:pos="540"/>
          <w:tab w:val="clear" w:pos="6480"/>
          <w:tab w:val="left" w:pos="0"/>
        </w:tabs>
        <w:jc w:val="both"/>
      </w:pPr>
      <w:r w:rsidRPr="005D06AF">
        <w:rPr>
          <w:b/>
          <w:bCs/>
        </w:rPr>
        <w:t>Supplementa</w:t>
      </w:r>
      <w:r>
        <w:rPr>
          <w:b/>
          <w:bCs/>
        </w:rPr>
        <w:t>l</w:t>
      </w:r>
      <w:r w:rsidRPr="005D06AF">
        <w:rPr>
          <w:b/>
          <w:bCs/>
        </w:rPr>
        <w:t xml:space="preserve"> figure 2</w:t>
      </w:r>
      <w:r>
        <w:rPr>
          <w:b/>
          <w:bCs/>
        </w:rPr>
        <w:t xml:space="preserve">. </w:t>
      </w:r>
      <w:r w:rsidRPr="00A81A63">
        <w:rPr>
          <w:b/>
          <w:bCs/>
        </w:rPr>
        <w:t>Schematic representation of</w:t>
      </w:r>
      <w:r>
        <w:rPr>
          <w:b/>
          <w:bCs/>
        </w:rPr>
        <w:t xml:space="preserve"> </w:t>
      </w:r>
      <w:r w:rsidRPr="00A81A63">
        <w:rPr>
          <w:b/>
          <w:bCs/>
        </w:rPr>
        <w:t xml:space="preserve">image </w:t>
      </w:r>
      <w:r>
        <w:rPr>
          <w:b/>
          <w:bCs/>
        </w:rPr>
        <w:t>processing and analysis</w:t>
      </w:r>
      <w:r w:rsidRPr="00C33292">
        <w:t>.</w:t>
      </w:r>
    </w:p>
    <w:p w14:paraId="4B5DE959" w14:textId="77777777" w:rsidR="00A82A64" w:rsidRDefault="00A82A64" w:rsidP="00A82A64">
      <w:pPr>
        <w:tabs>
          <w:tab w:val="clear" w:pos="540"/>
          <w:tab w:val="clear" w:pos="6480"/>
          <w:tab w:val="left" w:pos="0"/>
        </w:tabs>
        <w:jc w:val="both"/>
        <w:rPr>
          <w:rFonts w:cs="Arial"/>
        </w:rPr>
      </w:pPr>
    </w:p>
    <w:p w14:paraId="6CCDE068" w14:textId="77777777" w:rsidR="00A82A64" w:rsidRPr="00E53A5B" w:rsidRDefault="00A82A64" w:rsidP="00A82A64">
      <w:pPr>
        <w:jc w:val="both"/>
      </w:pPr>
      <w:r>
        <w:rPr>
          <w:rFonts w:cs="Arial"/>
        </w:rPr>
        <w:tab/>
        <w:t xml:space="preserve">The distribution of the variables of interest in the entire cohort was assessed using data plots. Before data plotting, the presence of outliers was assessed and removed using the </w:t>
      </w:r>
      <w:proofErr w:type="spellStart"/>
      <w:r w:rsidRPr="004F1702">
        <w:rPr>
          <w:rFonts w:cs="Arial"/>
          <w:i/>
          <w:iCs/>
        </w:rPr>
        <w:t>isoutlier</w:t>
      </w:r>
      <w:proofErr w:type="spellEnd"/>
      <w:r>
        <w:rPr>
          <w:rFonts w:cs="Arial"/>
        </w:rPr>
        <w:t xml:space="preserve"> function for MATLAB. Afterward, FD features</w:t>
      </w:r>
      <w:r w:rsidRPr="00D729C6">
        <w:rPr>
          <w:rFonts w:cs="Arial"/>
        </w:rPr>
        <w:t xml:space="preserve"> </w:t>
      </w:r>
      <w:r>
        <w:rPr>
          <w:rFonts w:cs="Arial"/>
        </w:rPr>
        <w:t xml:space="preserve">data </w:t>
      </w:r>
      <w:r w:rsidRPr="00D729C6">
        <w:rPr>
          <w:rFonts w:cs="Arial"/>
        </w:rPr>
        <w:t>w</w:t>
      </w:r>
      <w:r>
        <w:rPr>
          <w:rFonts w:cs="Arial"/>
        </w:rPr>
        <w:t xml:space="preserve">as </w:t>
      </w:r>
      <w:r w:rsidRPr="00D729C6">
        <w:rPr>
          <w:rFonts w:cs="Arial"/>
        </w:rPr>
        <w:t xml:space="preserve">binned </w:t>
      </w:r>
      <w:r>
        <w:rPr>
          <w:rFonts w:cs="Arial"/>
        </w:rPr>
        <w:t>in uniform classes following the square root choice</w:t>
      </w:r>
      <w:sdt>
        <w:sdtPr>
          <w:rPr>
            <w:rFonts w:cs="Arial"/>
            <w:color w:val="000000"/>
            <w:vertAlign w:val="superscript"/>
          </w:rPr>
          <w:tag w:val="MENDELEY_CITATION_v3_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"/>
          <w:id w:val="2040627025"/>
          <w:placeholder>
            <w:docPart w:val="6C1B1354EFEE4288A98515D278432B5C"/>
          </w:placeholder>
        </w:sdtPr>
        <w:sdtContent>
          <w:r w:rsidRPr="008E25B8">
            <w:rPr>
              <w:rFonts w:cs="Arial"/>
              <w:color w:val="000000"/>
              <w:vertAlign w:val="superscript"/>
            </w:rPr>
            <w:t>31</w:t>
          </w:r>
        </w:sdtContent>
      </w:sdt>
      <w:r>
        <w:rPr>
          <w:rFonts w:cs="Arial"/>
        </w:rPr>
        <w:t xml:space="preserve">, and the average neovascular growth </w:t>
      </w:r>
      <w:r>
        <w:rPr>
          <w:rFonts w:cs="Arial"/>
        </w:rPr>
        <w:lastRenderedPageBreak/>
        <w:t>for each interval (mean±</w:t>
      </w:r>
      <w:r w:rsidRPr="00F5011D">
        <w:t xml:space="preserve"> </w:t>
      </w:r>
      <w:r>
        <w:rPr>
          <w:rFonts w:cs="Arial"/>
        </w:rPr>
        <w:t>s</w:t>
      </w:r>
      <w:r w:rsidRPr="00F5011D">
        <w:rPr>
          <w:rFonts w:cs="Arial"/>
        </w:rPr>
        <w:t>tandard error of the mean</w:t>
      </w:r>
      <w:r>
        <w:rPr>
          <w:rFonts w:cs="Arial"/>
        </w:rPr>
        <w:t>) was plotted and visually inspected. The association between FD features and neovascular growth was assessed using Kendall’s rank correlation coefficient (</w:t>
      </w:r>
      <m:oMath>
        <m:r>
          <w:rPr>
            <w:rFonts w:ascii="Cambria Math" w:hAnsi="Cambria Math" w:cs="Arial"/>
          </w:rPr>
          <m:t>τ</m:t>
        </m:r>
      </m:oMath>
      <w:r>
        <w:rPr>
          <w:rFonts w:cs="Arial"/>
        </w:rPr>
        <w:t>) and the resulting values were interpreted as previously described (l</w:t>
      </w:r>
      <w:proofErr w:type="spellStart"/>
      <w:r w:rsidRPr="00A976C3">
        <w:rPr>
          <w:rFonts w:cs="Arial"/>
        </w:rPr>
        <w:t>ess</w:t>
      </w:r>
      <w:proofErr w:type="spellEnd"/>
      <w:r w:rsidRPr="00A976C3">
        <w:rPr>
          <w:rFonts w:cs="Arial"/>
        </w:rPr>
        <w:t xml:space="preserve"> than 0.10: very weak</w:t>
      </w:r>
      <w:r>
        <w:rPr>
          <w:rFonts w:cs="Arial"/>
        </w:rPr>
        <w:t xml:space="preserve">; </w:t>
      </w:r>
      <w:r w:rsidRPr="00A976C3">
        <w:rPr>
          <w:rFonts w:cs="Arial"/>
        </w:rPr>
        <w:t>0.10 to 0.19: weak</w:t>
      </w:r>
      <w:r>
        <w:rPr>
          <w:rFonts w:cs="Arial"/>
        </w:rPr>
        <w:t>;</w:t>
      </w:r>
      <w:r w:rsidRPr="00A976C3">
        <w:rPr>
          <w:rFonts w:cs="Arial"/>
        </w:rPr>
        <w:t xml:space="preserve"> 0.20 to 0.29: moderate</w:t>
      </w:r>
      <w:r>
        <w:rPr>
          <w:rFonts w:cs="Arial"/>
        </w:rPr>
        <w:t xml:space="preserve">; and </w:t>
      </w:r>
      <w:r w:rsidRPr="00A976C3">
        <w:rPr>
          <w:rFonts w:cs="Arial"/>
        </w:rPr>
        <w:t>0.30 or above: strong</w:t>
      </w:r>
      <w:r>
        <w:rPr>
          <w:rFonts w:cs="Arial"/>
        </w:rPr>
        <w:t xml:space="preserve"> correlation).</w:t>
      </w:r>
      <w:sdt>
        <w:sdtPr>
          <w:rPr>
            <w:rFonts w:cs="Arial"/>
            <w:color w:val="000000"/>
            <w:vertAlign w:val="superscript"/>
          </w:rPr>
          <w:tag w:val="MENDELEY_CITATION_v3_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"/>
          <w:id w:val="1664585339"/>
          <w:placeholder>
            <w:docPart w:val="D913896A77C44E2B91E38CEE8DF5FA27"/>
          </w:placeholder>
        </w:sdtPr>
        <w:sdtContent>
          <w:r w:rsidRPr="008E25B8">
            <w:rPr>
              <w:rFonts w:cs="Arial"/>
              <w:color w:val="000000"/>
              <w:vertAlign w:val="superscript"/>
            </w:rPr>
            <w:t>32</w:t>
          </w:r>
        </w:sdtContent>
      </w:sdt>
      <w:r>
        <w:rPr>
          <w:rFonts w:cs="Arial"/>
        </w:rPr>
        <w:t xml:space="preserve"> A </w:t>
      </w:r>
      <m:oMath>
        <m:r>
          <w:rPr>
            <w:rFonts w:ascii="Cambria Math" w:hAnsi="Cambria Math" w:cs="Arial"/>
          </w:rPr>
          <m:t>τ</m:t>
        </m:r>
      </m:oMath>
      <w:r>
        <w:rPr>
          <w:rFonts w:cs="Arial"/>
        </w:rPr>
        <w:t xml:space="preserve"> value was obtained for each FD feature </w:t>
      </w:r>
      <w:r w:rsidRPr="0032255C">
        <w:rPr>
          <w:rFonts w:cs="Arial"/>
        </w:rPr>
        <w:t>(</w:t>
      </w:r>
      <w:r>
        <w:rPr>
          <w:rFonts w:cs="Arial"/>
        </w:rPr>
        <w:t xml:space="preserve">% and </w:t>
      </w:r>
      <w:r w:rsidRPr="0032255C">
        <w:rPr>
          <w:rFonts w:cs="Arial"/>
        </w:rPr>
        <w:t>average size)</w:t>
      </w:r>
      <w:r>
        <w:rPr>
          <w:rFonts w:cs="Arial"/>
        </w:rPr>
        <w:t xml:space="preserve"> for each case. A global </w:t>
      </w:r>
      <m:oMath>
        <m:r>
          <w:rPr>
            <w:rFonts w:ascii="Cambria Math" w:hAnsi="Cambria Math" w:cs="Arial"/>
          </w:rPr>
          <m:t>τ</m:t>
        </m:r>
      </m:oMath>
      <w:r>
        <w:rPr>
          <w:rFonts w:cs="Arial"/>
        </w:rPr>
        <w:t xml:space="preserve"> average for the entire cohort was calculated using </w:t>
      </w:r>
      <w:r w:rsidRPr="003A4095">
        <w:rPr>
          <w:rFonts w:cs="Arial"/>
        </w:rPr>
        <w:t>Fisher</w:t>
      </w:r>
      <w:r>
        <w:rPr>
          <w:rFonts w:cs="Arial"/>
        </w:rPr>
        <w:t>’</w:t>
      </w:r>
      <w:r w:rsidRPr="003A4095">
        <w:rPr>
          <w:rFonts w:cs="Arial"/>
        </w:rPr>
        <w:t>s Z</w:t>
      </w:r>
      <w:r>
        <w:rPr>
          <w:rFonts w:cs="Arial"/>
        </w:rPr>
        <w:t xml:space="preserve"> transformation. Finally, </w:t>
      </w:r>
      <w:bookmarkEnd w:id="0"/>
      <w:r>
        <w:rPr>
          <w:rFonts w:cs="Arial"/>
        </w:rPr>
        <w:t>a</w:t>
      </w:r>
      <w:r w:rsidRPr="00BE2389">
        <w:rPr>
          <w:rFonts w:cs="Arial"/>
        </w:rPr>
        <w:t>n exploratory analysis of the demographic, clinical</w:t>
      </w:r>
      <w:r>
        <w:rPr>
          <w:rFonts w:cs="Arial"/>
        </w:rPr>
        <w:t>, and SS-OCTA (lesion size) data was conducted</w:t>
      </w:r>
      <w:r w:rsidRPr="00BE2389">
        <w:rPr>
          <w:rFonts w:cs="Arial"/>
        </w:rPr>
        <w:t xml:space="preserve">. Continuous variables are presented as mean </w:t>
      </w:r>
      <w:r>
        <w:rPr>
          <w:rFonts w:cs="Arial"/>
        </w:rPr>
        <w:t>±</w:t>
      </w:r>
      <w:r w:rsidRPr="00BE2389">
        <w:rPr>
          <w:rFonts w:cs="Arial"/>
        </w:rPr>
        <w:t xml:space="preserve"> standard deviation (SD) or median </w:t>
      </w:r>
      <w:r>
        <w:rPr>
          <w:rFonts w:cs="Arial"/>
        </w:rPr>
        <w:t>±</w:t>
      </w:r>
      <w:r w:rsidRPr="00BE2389">
        <w:rPr>
          <w:rFonts w:cs="Arial"/>
        </w:rPr>
        <w:t xml:space="preserve"> interquartile range</w:t>
      </w:r>
      <w:r>
        <w:rPr>
          <w:rFonts w:cs="Arial"/>
        </w:rPr>
        <w:t xml:space="preserve"> (IQR)</w:t>
      </w:r>
      <w:r w:rsidRPr="00BE2389">
        <w:rPr>
          <w:rFonts w:cs="Arial"/>
        </w:rPr>
        <w:t xml:space="preserve"> (</w:t>
      </w:r>
      <w:r>
        <w:rPr>
          <w:rFonts w:cs="Arial"/>
        </w:rPr>
        <w:t>Quartile 1</w:t>
      </w:r>
      <w:r w:rsidRPr="00BE2389">
        <w:rPr>
          <w:rFonts w:cs="Arial"/>
        </w:rPr>
        <w:t xml:space="preserve"> </w:t>
      </w:r>
      <w:r>
        <w:rPr>
          <w:rFonts w:cs="Arial"/>
        </w:rPr>
        <w:t>(Q1)</w:t>
      </w:r>
      <w:r w:rsidRPr="00BE2389">
        <w:rPr>
          <w:rFonts w:cs="Arial"/>
        </w:rPr>
        <w:t xml:space="preserve"> </w:t>
      </w:r>
      <w:r>
        <w:rPr>
          <w:rFonts w:cs="Arial"/>
        </w:rPr>
        <w:t>and</w:t>
      </w:r>
      <w:r w:rsidRPr="00BE2389">
        <w:rPr>
          <w:rFonts w:cs="Arial"/>
        </w:rPr>
        <w:t xml:space="preserve"> </w:t>
      </w:r>
      <w:r>
        <w:rPr>
          <w:rFonts w:cs="Arial"/>
        </w:rPr>
        <w:t>Quartile 3 (Q3)</w:t>
      </w:r>
      <w:r w:rsidRPr="00BE2389">
        <w:rPr>
          <w:rFonts w:cs="Arial"/>
        </w:rPr>
        <w:t>), as appropriate.</w:t>
      </w:r>
      <w:r>
        <w:rPr>
          <w:rFonts w:cs="Arial"/>
        </w:rPr>
        <w:t xml:space="preserve"> </w:t>
      </w:r>
    </w:p>
    <w:p w14:paraId="68E0C788" w14:textId="77777777" w:rsidR="008E5708" w:rsidRDefault="008E5708"/>
    <w:sectPr w:rsidR="008E57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A64"/>
    <w:rsid w:val="008E5708"/>
    <w:rsid w:val="00A82A6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F5D9"/>
  <w15:chartTrackingRefBased/>
  <w15:docId w15:val="{9D7A208C-79EB-46C0-87A8-06114B418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A64"/>
    <w:pPr>
      <w:tabs>
        <w:tab w:val="left" w:pos="540"/>
        <w:tab w:val="left" w:pos="6480"/>
        <w:tab w:val="left" w:pos="9619"/>
      </w:tabs>
      <w:spacing w:after="0" w:line="480" w:lineRule="auto"/>
    </w:pPr>
    <w:rPr>
      <w:rFonts w:ascii="Arial" w:eastAsia="SimSun" w:hAnsi="Arial"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E8031738A6438EA71805096782A90C"/>
        <w:category>
          <w:name w:val="General"/>
          <w:gallery w:val="placeholder"/>
        </w:category>
        <w:types>
          <w:type w:val="bbPlcHdr"/>
        </w:types>
        <w:behaviors>
          <w:behavior w:val="content"/>
        </w:behaviors>
        <w:guid w:val="{B9C1D5F3-6EAA-42FA-86DD-B56B0D8E3357}"/>
      </w:docPartPr>
      <w:docPartBody>
        <w:p w:rsidR="00000000" w:rsidRDefault="00275710" w:rsidP="00275710">
          <w:pPr>
            <w:pStyle w:val="B1E8031738A6438EA71805096782A90C"/>
          </w:pPr>
          <w:r w:rsidRPr="005D7C15">
            <w:rPr>
              <w:rStyle w:val="PlaceholderText"/>
            </w:rPr>
            <w:t>Click or tap here to enter text.</w:t>
          </w:r>
        </w:p>
      </w:docPartBody>
    </w:docPart>
    <w:docPart>
      <w:docPartPr>
        <w:name w:val="D913896A77C44E2B91E38CEE8DF5FA27"/>
        <w:category>
          <w:name w:val="General"/>
          <w:gallery w:val="placeholder"/>
        </w:category>
        <w:types>
          <w:type w:val="bbPlcHdr"/>
        </w:types>
        <w:behaviors>
          <w:behavior w:val="content"/>
        </w:behaviors>
        <w:guid w:val="{60851032-11D0-4BFC-8A1B-BA3D01E2952E}"/>
      </w:docPartPr>
      <w:docPartBody>
        <w:p w:rsidR="00000000" w:rsidRDefault="00275710" w:rsidP="00275710">
          <w:pPr>
            <w:pStyle w:val="D913896A77C44E2B91E38CEE8DF5FA27"/>
          </w:pPr>
          <w:r w:rsidRPr="005D7C15">
            <w:rPr>
              <w:rStyle w:val="PlaceholderText"/>
            </w:rPr>
            <w:t>Click or tap here to enter text.</w:t>
          </w:r>
        </w:p>
      </w:docPartBody>
    </w:docPart>
    <w:docPart>
      <w:docPartPr>
        <w:name w:val="6C1B1354EFEE4288A98515D278432B5C"/>
        <w:category>
          <w:name w:val="General"/>
          <w:gallery w:val="placeholder"/>
        </w:category>
        <w:types>
          <w:type w:val="bbPlcHdr"/>
        </w:types>
        <w:behaviors>
          <w:behavior w:val="content"/>
        </w:behaviors>
        <w:guid w:val="{2C1368C1-EB12-4DBD-896C-FD98EB72143B}"/>
      </w:docPartPr>
      <w:docPartBody>
        <w:p w:rsidR="00000000" w:rsidRDefault="00275710" w:rsidP="00275710">
          <w:pPr>
            <w:pStyle w:val="6C1B1354EFEE4288A98515D278432B5C"/>
          </w:pPr>
          <w:r w:rsidRPr="005D7C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10"/>
    <w:rsid w:val="00275710"/>
    <w:rsid w:val="007A210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5710"/>
    <w:rPr>
      <w:color w:val="808080"/>
    </w:rPr>
  </w:style>
  <w:style w:type="paragraph" w:customStyle="1" w:styleId="B1E8031738A6438EA71805096782A90C">
    <w:name w:val="B1E8031738A6438EA71805096782A90C"/>
    <w:rsid w:val="00275710"/>
  </w:style>
  <w:style w:type="paragraph" w:customStyle="1" w:styleId="D913896A77C44E2B91E38CEE8DF5FA27">
    <w:name w:val="D913896A77C44E2B91E38CEE8DF5FA27"/>
    <w:rsid w:val="00275710"/>
  </w:style>
  <w:style w:type="paragraph" w:customStyle="1" w:styleId="6C1B1354EFEE4288A98515D278432B5C">
    <w:name w:val="6C1B1354EFEE4288A98515D278432B5C"/>
    <w:rsid w:val="002757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2345</Characters>
  <Application>Microsoft Office Word</Application>
  <DocSecurity>0</DocSecurity>
  <Lines>19</Lines>
  <Paragraphs>5</Paragraphs>
  <ScaleCrop>false</ScaleCrop>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Diogo</dc:creator>
  <cp:keywords/>
  <dc:description/>
  <cp:lastModifiedBy>Diogo</cp:lastModifiedBy>
  <cp:revision>1</cp:revision>
  <dcterms:created xsi:type="dcterms:W3CDTF">2023-04-04T18:49:00Z</dcterms:created>
  <dcterms:modified xsi:type="dcterms:W3CDTF">2023-04-04T18:50:00Z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e8d9ab90-e299-498a-ba58-adeec32895f2</vt:lpwstr>
  </property>
</Properties>
</file>