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0F6E4" w14:textId="77777777" w:rsidR="00D1268C" w:rsidRPr="00DA1B21" w:rsidRDefault="00D1268C" w:rsidP="00D1268C">
      <w:pPr>
        <w:spacing w:before="160" w:after="200" w:line="480" w:lineRule="auto"/>
        <w:rPr>
          <w:rFonts w:cs="Calibri"/>
          <w:b/>
          <w:bCs/>
          <w:lang w:val="en-GB"/>
        </w:rPr>
      </w:pPr>
      <w:r w:rsidRPr="00DA1B21">
        <w:rPr>
          <w:rFonts w:cs="Calibri"/>
          <w:b/>
          <w:bCs/>
          <w:sz w:val="26"/>
          <w:szCs w:val="26"/>
          <w:lang w:val="en-GB"/>
        </w:rPr>
        <w:t>Supplementary material</w:t>
      </w:r>
    </w:p>
    <w:p w14:paraId="408C7AA5" w14:textId="77777777" w:rsidR="00D1268C" w:rsidRPr="00DA1B21" w:rsidRDefault="00D1268C" w:rsidP="00D1268C">
      <w:pPr>
        <w:spacing w:before="160" w:after="200" w:line="480" w:lineRule="auto"/>
        <w:outlineLvl w:val="0"/>
        <w:rPr>
          <w:rFonts w:cs="Calibri"/>
          <w:color w:val="000000"/>
          <w:lang w:val="en-GB"/>
        </w:rPr>
      </w:pPr>
      <w:r w:rsidRPr="00DA1B21">
        <w:rPr>
          <w:rFonts w:cs="Calibri"/>
          <w:color w:val="000000"/>
          <w:lang w:val="en-GB"/>
        </w:rPr>
        <w:t xml:space="preserve">For the primary outcome, we estimated best- and worst-case scenarios for the intervention. The best-case scenario assumed that all those in the intervention group who were excluded in sensitivity analyses due to miscarriage, stillbirth, death of the infant or mother, or transfer to another clinic before 18 months postpartum and </w:t>
      </w:r>
      <w:r w:rsidRPr="00DA1B21">
        <w:rPr>
          <w:rFonts w:cs="Calibri"/>
          <w:i/>
          <w:iCs/>
          <w:color w:val="000000"/>
          <w:lang w:val="en-GB"/>
        </w:rPr>
        <w:t>not</w:t>
      </w:r>
      <w:r w:rsidRPr="00DA1B21">
        <w:rPr>
          <w:rFonts w:cs="Calibri"/>
          <w:color w:val="000000"/>
          <w:lang w:val="en-GB"/>
        </w:rPr>
        <w:t xml:space="preserve"> retained in care were retained in care, while all those excluded from </w:t>
      </w:r>
      <w:bookmarkStart w:id="0" w:name="_GoBack"/>
      <w:bookmarkEnd w:id="0"/>
      <w:r w:rsidRPr="00DA1B21">
        <w:rPr>
          <w:rFonts w:cs="Calibri"/>
          <w:color w:val="000000"/>
          <w:lang w:val="en-GB"/>
        </w:rPr>
        <w:t>the control group and not retained in care were assumed to be lost to follow-up. The worst-case scenario, the opposite of this, was also computed. Both scenarios were adjusted for age, time since diagnosis, and site.</w:t>
      </w:r>
    </w:p>
    <w:p w14:paraId="6849E27B" w14:textId="77777777" w:rsidR="00D1268C" w:rsidRPr="00DA1B21" w:rsidRDefault="00D1268C" w:rsidP="00D1268C">
      <w:pPr>
        <w:spacing w:before="160" w:after="200" w:line="300" w:lineRule="auto"/>
        <w:rPr>
          <w:rFonts w:cs="Calibri"/>
          <w:lang w:val="en-GB"/>
        </w:rPr>
      </w:pPr>
    </w:p>
    <w:p w14:paraId="75828104" w14:textId="335E69D4" w:rsidR="00D1268C" w:rsidRPr="00DA1B21" w:rsidRDefault="00D1268C" w:rsidP="00D1268C">
      <w:pPr>
        <w:spacing w:before="160" w:after="200" w:line="300" w:lineRule="auto"/>
        <w:rPr>
          <w:rFonts w:cs="Calibri"/>
          <w:lang w:val="en-GB"/>
        </w:rPr>
      </w:pPr>
      <w:r w:rsidRPr="00DA1B21">
        <w:rPr>
          <w:rFonts w:cs="Calibri"/>
          <w:b/>
          <w:bCs/>
          <w:lang w:val="en-GB"/>
        </w:rPr>
        <w:t>Supplement</w:t>
      </w:r>
      <w:r w:rsidR="00D4317E" w:rsidRPr="00DA1B21">
        <w:rPr>
          <w:rFonts w:cs="Calibri"/>
          <w:b/>
          <w:bCs/>
          <w:lang w:val="en-GB"/>
        </w:rPr>
        <w:t>ary table</w:t>
      </w:r>
      <w:r w:rsidRPr="00DA1B21">
        <w:rPr>
          <w:rFonts w:cs="Calibri"/>
          <w:b/>
          <w:bCs/>
          <w:lang w:val="en-GB"/>
        </w:rPr>
        <w:t xml:space="preserve">. </w:t>
      </w:r>
      <w:r w:rsidRPr="00DA1B21">
        <w:rPr>
          <w:rFonts w:cs="Calibri"/>
          <w:lang w:val="en-GB"/>
        </w:rPr>
        <w:t>Best and worst cases scenarios for the primary outcome.</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8"/>
        <w:gridCol w:w="1757"/>
        <w:gridCol w:w="1656"/>
        <w:gridCol w:w="2844"/>
      </w:tblGrid>
      <w:tr w:rsidR="00D1268C" w:rsidRPr="00DA1B21" w14:paraId="02604230" w14:textId="77777777" w:rsidTr="00593EF3">
        <w:tc>
          <w:tcPr>
            <w:tcW w:w="2918" w:type="dxa"/>
            <w:tcBorders>
              <w:top w:val="single" w:sz="4" w:space="0" w:color="auto"/>
            </w:tcBorders>
            <w:shd w:val="clear" w:color="auto" w:fill="auto"/>
          </w:tcPr>
          <w:p w14:paraId="2A9C6BB8" w14:textId="77777777" w:rsidR="00D1268C" w:rsidRPr="00DA1B21" w:rsidRDefault="00D1268C" w:rsidP="00593EF3">
            <w:pPr>
              <w:rPr>
                <w:rFonts w:cs="Calibri"/>
                <w:lang w:val="en-GB"/>
              </w:rPr>
            </w:pPr>
          </w:p>
        </w:tc>
        <w:tc>
          <w:tcPr>
            <w:tcW w:w="1757" w:type="dxa"/>
            <w:tcBorders>
              <w:top w:val="single" w:sz="4" w:space="0" w:color="auto"/>
            </w:tcBorders>
            <w:shd w:val="clear" w:color="auto" w:fill="auto"/>
          </w:tcPr>
          <w:p w14:paraId="4DDD2FA9" w14:textId="77777777" w:rsidR="00D1268C" w:rsidRPr="00DA1B21" w:rsidRDefault="00D1268C" w:rsidP="00593EF3">
            <w:pPr>
              <w:rPr>
                <w:rFonts w:cs="Calibri"/>
              </w:rPr>
            </w:pPr>
            <w:r w:rsidRPr="00DA1B21">
              <w:rPr>
                <w:rFonts w:cs="Calibri"/>
                <w:b/>
                <w:bCs/>
              </w:rPr>
              <w:t>Intervention (n=299)</w:t>
            </w:r>
          </w:p>
        </w:tc>
        <w:tc>
          <w:tcPr>
            <w:tcW w:w="1656" w:type="dxa"/>
            <w:tcBorders>
              <w:top w:val="single" w:sz="4" w:space="0" w:color="auto"/>
            </w:tcBorders>
            <w:shd w:val="clear" w:color="auto" w:fill="auto"/>
          </w:tcPr>
          <w:p w14:paraId="397A3A9D" w14:textId="77777777" w:rsidR="00D1268C" w:rsidRPr="00DA1B21" w:rsidRDefault="00D1268C" w:rsidP="00593EF3">
            <w:pPr>
              <w:rPr>
                <w:rFonts w:cs="Calibri"/>
              </w:rPr>
            </w:pPr>
            <w:r w:rsidRPr="00DA1B21">
              <w:rPr>
                <w:rFonts w:cs="Calibri"/>
                <w:b/>
                <w:bCs/>
              </w:rPr>
              <w:t>Control (n=301)</w:t>
            </w:r>
          </w:p>
        </w:tc>
        <w:tc>
          <w:tcPr>
            <w:tcW w:w="2844" w:type="dxa"/>
            <w:tcBorders>
              <w:top w:val="single" w:sz="4" w:space="0" w:color="auto"/>
            </w:tcBorders>
            <w:shd w:val="clear" w:color="auto" w:fill="auto"/>
          </w:tcPr>
          <w:p w14:paraId="2127792C" w14:textId="77777777" w:rsidR="00D1268C" w:rsidRPr="00DA1B21" w:rsidRDefault="00D1268C" w:rsidP="00593EF3">
            <w:pPr>
              <w:rPr>
                <w:rFonts w:cs="Calibri"/>
                <w:lang w:val="en-GB"/>
              </w:rPr>
            </w:pPr>
            <w:r w:rsidRPr="00DA1B21">
              <w:rPr>
                <w:rFonts w:cs="Calibri"/>
                <w:b/>
                <w:bCs/>
                <w:lang w:val="en-GB"/>
              </w:rPr>
              <w:t>Risk ratio (95% CI); p value</w:t>
            </w:r>
          </w:p>
        </w:tc>
      </w:tr>
      <w:tr w:rsidR="00D1268C" w:rsidRPr="00DA1B21" w14:paraId="2448A593" w14:textId="77777777" w:rsidTr="00593EF3">
        <w:tc>
          <w:tcPr>
            <w:tcW w:w="2918" w:type="dxa"/>
            <w:shd w:val="clear" w:color="auto" w:fill="auto"/>
          </w:tcPr>
          <w:p w14:paraId="41D7DD91" w14:textId="77777777" w:rsidR="00D1268C" w:rsidRPr="00DA1B21" w:rsidRDefault="00D1268C" w:rsidP="00593EF3">
            <w:pPr>
              <w:rPr>
                <w:rFonts w:cs="Calibri"/>
                <w:color w:val="202124"/>
                <w:shd w:val="clear" w:color="auto" w:fill="FFFFFF"/>
                <w:vertAlign w:val="superscript"/>
                <w:lang w:val="en-GB"/>
              </w:rPr>
            </w:pPr>
            <w:bookmarkStart w:id="1" w:name="_Hlk87608796"/>
            <w:r w:rsidRPr="00DA1B21">
              <w:rPr>
                <w:rFonts w:cs="Calibri"/>
                <w:lang w:val="en-GB"/>
              </w:rPr>
              <w:t>Best-case scenario</w:t>
            </w:r>
            <w:r w:rsidRPr="00DA1B21">
              <w:rPr>
                <w:rFonts w:cs="Calibri"/>
                <w:vertAlign w:val="superscript"/>
                <w:lang w:val="en-GB"/>
              </w:rPr>
              <w:t xml:space="preserve">*, </w:t>
            </w:r>
            <w:r w:rsidRPr="00DA1B21">
              <w:rPr>
                <w:rFonts w:cs="Calibri"/>
                <w:color w:val="202124"/>
                <w:shd w:val="clear" w:color="auto" w:fill="FFFFFF"/>
                <w:vertAlign w:val="superscript"/>
                <w:lang w:val="en-GB"/>
              </w:rPr>
              <w:t>†</w:t>
            </w:r>
          </w:p>
          <w:p w14:paraId="115BCB03" w14:textId="77777777" w:rsidR="00D1268C" w:rsidRPr="00DA1B21" w:rsidRDefault="00D1268C" w:rsidP="00593EF3">
            <w:pPr>
              <w:rPr>
                <w:rFonts w:cs="Calibri"/>
                <w:lang w:val="en-GB"/>
              </w:rPr>
            </w:pPr>
            <w:r w:rsidRPr="00DA1B21">
              <w:rPr>
                <w:rFonts w:cs="Calibri"/>
                <w:lang w:val="en-GB"/>
              </w:rPr>
              <w:t xml:space="preserve">Retention in care at 18 months postpartum </w:t>
            </w:r>
          </w:p>
        </w:tc>
        <w:tc>
          <w:tcPr>
            <w:tcW w:w="1757" w:type="dxa"/>
            <w:shd w:val="clear" w:color="auto" w:fill="auto"/>
          </w:tcPr>
          <w:p w14:paraId="0987F993" w14:textId="77777777" w:rsidR="00D1268C" w:rsidRPr="00DA1B21" w:rsidRDefault="00D1268C" w:rsidP="00593EF3">
            <w:pPr>
              <w:rPr>
                <w:rFonts w:cs="Calibri"/>
              </w:rPr>
            </w:pPr>
            <w:r w:rsidRPr="00DA1B21">
              <w:rPr>
                <w:rFonts w:cs="Calibri"/>
              </w:rPr>
              <w:t>254 (84.95%)</w:t>
            </w:r>
          </w:p>
        </w:tc>
        <w:tc>
          <w:tcPr>
            <w:tcW w:w="1656" w:type="dxa"/>
            <w:shd w:val="clear" w:color="auto" w:fill="auto"/>
          </w:tcPr>
          <w:p w14:paraId="407E3AD1" w14:textId="77777777" w:rsidR="00D1268C" w:rsidRPr="00DA1B21" w:rsidRDefault="00D1268C" w:rsidP="00593EF3">
            <w:pPr>
              <w:rPr>
                <w:rFonts w:cs="Calibri"/>
              </w:rPr>
            </w:pPr>
            <w:r w:rsidRPr="00DA1B21">
              <w:rPr>
                <w:rFonts w:cs="Calibri"/>
              </w:rPr>
              <w:t>207 (68.77%)</w:t>
            </w:r>
          </w:p>
        </w:tc>
        <w:tc>
          <w:tcPr>
            <w:tcW w:w="2844" w:type="dxa"/>
            <w:shd w:val="clear" w:color="auto" w:fill="auto"/>
          </w:tcPr>
          <w:p w14:paraId="45A34987" w14:textId="77777777" w:rsidR="00D1268C" w:rsidRPr="00DA1B21" w:rsidRDefault="00D1268C" w:rsidP="00593EF3">
            <w:pPr>
              <w:rPr>
                <w:rFonts w:cs="Calibri"/>
              </w:rPr>
            </w:pPr>
            <w:r w:rsidRPr="00DA1B21">
              <w:rPr>
                <w:rFonts w:cs="Calibri"/>
              </w:rPr>
              <w:t>1.24 (1.14-1.35); p&lt;0.001</w:t>
            </w:r>
          </w:p>
        </w:tc>
      </w:tr>
      <w:bookmarkEnd w:id="1"/>
      <w:tr w:rsidR="00D1268C" w:rsidRPr="00DA1B21" w14:paraId="1BEEEAF4" w14:textId="77777777" w:rsidTr="00593EF3">
        <w:tc>
          <w:tcPr>
            <w:tcW w:w="2918" w:type="dxa"/>
            <w:shd w:val="clear" w:color="auto" w:fill="auto"/>
          </w:tcPr>
          <w:p w14:paraId="1204B09A" w14:textId="77777777" w:rsidR="00D1268C" w:rsidRPr="00DA1B21" w:rsidRDefault="00D1268C" w:rsidP="00593EF3">
            <w:pPr>
              <w:rPr>
                <w:rFonts w:cs="Calibri"/>
                <w:lang w:val="en-GB"/>
              </w:rPr>
            </w:pPr>
            <w:r w:rsidRPr="00DA1B21">
              <w:rPr>
                <w:rFonts w:cs="Calibri"/>
                <w:lang w:val="en-GB"/>
              </w:rPr>
              <w:t>Worst-case scenario</w:t>
            </w:r>
            <w:r w:rsidRPr="00DA1B21">
              <w:rPr>
                <w:rFonts w:cs="Calibri"/>
                <w:vertAlign w:val="superscript"/>
                <w:lang w:val="en-GB"/>
              </w:rPr>
              <w:t>*</w:t>
            </w:r>
            <w:r w:rsidRPr="00DA1B21">
              <w:rPr>
                <w:rFonts w:cs="Calibri"/>
                <w:color w:val="202124"/>
                <w:shd w:val="clear" w:color="auto" w:fill="FFFFFF"/>
                <w:vertAlign w:val="superscript"/>
                <w:lang w:val="en-GB"/>
              </w:rPr>
              <w:t>, ‡</w:t>
            </w:r>
          </w:p>
          <w:p w14:paraId="58F7C043" w14:textId="77777777" w:rsidR="00D1268C" w:rsidRPr="00DA1B21" w:rsidRDefault="00D1268C" w:rsidP="00593EF3">
            <w:pPr>
              <w:rPr>
                <w:rFonts w:cs="Calibri"/>
                <w:lang w:val="en-GB"/>
              </w:rPr>
            </w:pPr>
            <w:r w:rsidRPr="00DA1B21">
              <w:rPr>
                <w:rFonts w:cs="Calibri"/>
                <w:lang w:val="en-GB"/>
              </w:rPr>
              <w:t>Retention in care at 18 months postpartum</w:t>
            </w:r>
          </w:p>
        </w:tc>
        <w:tc>
          <w:tcPr>
            <w:tcW w:w="1757" w:type="dxa"/>
            <w:shd w:val="clear" w:color="auto" w:fill="auto"/>
          </w:tcPr>
          <w:p w14:paraId="3397ACA6" w14:textId="77777777" w:rsidR="00D1268C" w:rsidRPr="00DA1B21" w:rsidRDefault="00D1268C" w:rsidP="00593EF3">
            <w:pPr>
              <w:rPr>
                <w:rFonts w:cs="Calibri"/>
              </w:rPr>
            </w:pPr>
            <w:r w:rsidRPr="00DA1B21">
              <w:rPr>
                <w:rFonts w:cs="Calibri"/>
              </w:rPr>
              <w:t>210 (70.23%)</w:t>
            </w:r>
          </w:p>
          <w:p w14:paraId="5CC71BC4" w14:textId="77777777" w:rsidR="00D1268C" w:rsidRPr="00DA1B21" w:rsidRDefault="00D1268C" w:rsidP="00593EF3">
            <w:pPr>
              <w:rPr>
                <w:rFonts w:cs="Calibri"/>
              </w:rPr>
            </w:pPr>
          </w:p>
        </w:tc>
        <w:tc>
          <w:tcPr>
            <w:tcW w:w="1656" w:type="dxa"/>
            <w:shd w:val="clear" w:color="auto" w:fill="auto"/>
          </w:tcPr>
          <w:p w14:paraId="5D8128A2" w14:textId="77777777" w:rsidR="00D1268C" w:rsidRPr="00DA1B21" w:rsidRDefault="00D1268C" w:rsidP="00593EF3">
            <w:pPr>
              <w:rPr>
                <w:rFonts w:cs="Calibri"/>
              </w:rPr>
            </w:pPr>
            <w:r w:rsidRPr="00DA1B21">
              <w:rPr>
                <w:rFonts w:cs="Calibri"/>
              </w:rPr>
              <w:t>254 (84.39%)</w:t>
            </w:r>
          </w:p>
        </w:tc>
        <w:tc>
          <w:tcPr>
            <w:tcW w:w="2844" w:type="dxa"/>
            <w:shd w:val="clear" w:color="auto" w:fill="auto"/>
          </w:tcPr>
          <w:p w14:paraId="3F00C769" w14:textId="77777777" w:rsidR="00D1268C" w:rsidRPr="00DA1B21" w:rsidRDefault="00D1268C" w:rsidP="00593EF3">
            <w:pPr>
              <w:rPr>
                <w:rFonts w:cs="Calibri"/>
              </w:rPr>
            </w:pPr>
            <w:r w:rsidRPr="00DA1B21">
              <w:rPr>
                <w:rFonts w:cs="Calibri"/>
              </w:rPr>
              <w:t>0.84 (0.77 – 0.91); p&lt;0.001</w:t>
            </w:r>
          </w:p>
        </w:tc>
      </w:tr>
    </w:tbl>
    <w:p w14:paraId="37B84405" w14:textId="77777777" w:rsidR="00D1268C" w:rsidRPr="00DA1B21" w:rsidRDefault="00D1268C" w:rsidP="00D1268C">
      <w:pPr>
        <w:spacing w:after="0" w:line="300" w:lineRule="auto"/>
        <w:rPr>
          <w:rFonts w:cs="Calibri"/>
          <w:sz w:val="20"/>
          <w:szCs w:val="20"/>
          <w:lang w:val="en-GB"/>
        </w:rPr>
      </w:pPr>
      <w:r w:rsidRPr="00DA1B21">
        <w:rPr>
          <w:rFonts w:cs="Calibri"/>
          <w:sz w:val="20"/>
          <w:szCs w:val="20"/>
          <w:lang w:val="en-GB"/>
        </w:rPr>
        <w:t>CI=confidence interval.</w:t>
      </w:r>
    </w:p>
    <w:p w14:paraId="33164231" w14:textId="77777777" w:rsidR="00D1268C" w:rsidRPr="00DA1B21" w:rsidRDefault="00D1268C" w:rsidP="00D1268C">
      <w:pPr>
        <w:spacing w:after="0" w:line="240" w:lineRule="auto"/>
        <w:rPr>
          <w:rFonts w:cs="Calibri"/>
          <w:sz w:val="20"/>
          <w:szCs w:val="20"/>
          <w:lang w:val="en-GB"/>
        </w:rPr>
      </w:pPr>
      <w:r w:rsidRPr="00DA1B21">
        <w:rPr>
          <w:rFonts w:cs="Calibri"/>
          <w:sz w:val="20"/>
          <w:szCs w:val="20"/>
          <w:lang w:val="en-GB"/>
        </w:rPr>
        <w:t>*adjusted for baseline characteristics of age, time from diagnosis to enrolment, and site.</w:t>
      </w:r>
    </w:p>
    <w:p w14:paraId="77F62B7D" w14:textId="77777777" w:rsidR="00D1268C" w:rsidRPr="00DA1B21" w:rsidRDefault="00D1268C" w:rsidP="00D1268C">
      <w:pPr>
        <w:spacing w:after="0" w:line="240" w:lineRule="auto"/>
        <w:rPr>
          <w:rFonts w:cs="Calibri"/>
          <w:color w:val="202124"/>
          <w:sz w:val="20"/>
          <w:szCs w:val="20"/>
          <w:shd w:val="clear" w:color="auto" w:fill="FFFFFF"/>
          <w:lang w:val="en-GB"/>
        </w:rPr>
      </w:pPr>
      <w:r w:rsidRPr="00DA1B21">
        <w:rPr>
          <w:rFonts w:cs="Calibri"/>
          <w:color w:val="202124"/>
          <w:shd w:val="clear" w:color="auto" w:fill="FFFFFF"/>
          <w:vertAlign w:val="superscript"/>
          <w:lang w:val="en-GB"/>
        </w:rPr>
        <w:t>†</w:t>
      </w:r>
      <w:r w:rsidRPr="00DA1B21">
        <w:rPr>
          <w:rFonts w:cs="Calibri"/>
          <w:color w:val="202124"/>
          <w:sz w:val="20"/>
          <w:szCs w:val="20"/>
          <w:shd w:val="clear" w:color="auto" w:fill="FFFFFF"/>
          <w:lang w:val="en-GB"/>
        </w:rPr>
        <w:t>best case: assuming all those excluded (</w:t>
      </w:r>
      <w:r w:rsidRPr="00DA1B21">
        <w:rPr>
          <w:rFonts w:cs="Calibri"/>
          <w:sz w:val="20"/>
          <w:szCs w:val="20"/>
          <w:lang w:val="en-GB"/>
        </w:rPr>
        <w:t>participants with a documented miscarriage; stillbirth; infant death; transfer to another clinic, maternal death before 18 months postpartum)</w:t>
      </w:r>
      <w:r w:rsidRPr="00DA1B21">
        <w:rPr>
          <w:rFonts w:cs="Calibri"/>
          <w:color w:val="202124"/>
          <w:sz w:val="20"/>
          <w:szCs w:val="20"/>
          <w:shd w:val="clear" w:color="auto" w:fill="FFFFFF"/>
          <w:lang w:val="en-GB"/>
        </w:rPr>
        <w:t xml:space="preserve"> from the intervention group and not retained in care </w:t>
      </w:r>
      <w:r w:rsidRPr="00DA1B21">
        <w:rPr>
          <w:rFonts w:cs="Calibri"/>
          <w:i/>
          <w:iCs/>
          <w:color w:val="202124"/>
          <w:sz w:val="20"/>
          <w:szCs w:val="20"/>
          <w:shd w:val="clear" w:color="auto" w:fill="FFFFFF"/>
          <w:lang w:val="en-GB"/>
        </w:rPr>
        <w:t>were</w:t>
      </w:r>
      <w:r w:rsidRPr="00DA1B21">
        <w:rPr>
          <w:rFonts w:cs="Calibri"/>
          <w:color w:val="202124"/>
          <w:sz w:val="20"/>
          <w:szCs w:val="20"/>
          <w:shd w:val="clear" w:color="auto" w:fill="FFFFFF"/>
          <w:lang w:val="en-GB"/>
        </w:rPr>
        <w:t xml:space="preserve"> retained in care and those excluded from the control group and not retained in care as not retained in care</w:t>
      </w:r>
    </w:p>
    <w:p w14:paraId="39EF4482" w14:textId="77777777" w:rsidR="00D1268C" w:rsidRDefault="00D1268C" w:rsidP="00D1268C">
      <w:pPr>
        <w:spacing w:after="0" w:line="240" w:lineRule="auto"/>
        <w:rPr>
          <w:rFonts w:cs="Calibri"/>
          <w:color w:val="202124"/>
          <w:sz w:val="20"/>
          <w:szCs w:val="20"/>
          <w:shd w:val="clear" w:color="auto" w:fill="FFFFFF"/>
          <w:lang w:val="en-GB"/>
        </w:rPr>
      </w:pPr>
      <w:r w:rsidRPr="00DA1B21">
        <w:rPr>
          <w:rFonts w:cs="Calibri"/>
          <w:color w:val="202124"/>
          <w:sz w:val="20"/>
          <w:szCs w:val="20"/>
          <w:shd w:val="clear" w:color="auto" w:fill="FFFFFF"/>
          <w:vertAlign w:val="superscript"/>
          <w:lang w:val="en-GB"/>
        </w:rPr>
        <w:t>‡</w:t>
      </w:r>
      <w:r w:rsidRPr="00DA1B21">
        <w:rPr>
          <w:rFonts w:cs="Calibri"/>
          <w:color w:val="202124"/>
          <w:sz w:val="20"/>
          <w:szCs w:val="20"/>
          <w:shd w:val="clear" w:color="auto" w:fill="FFFFFF"/>
          <w:lang w:val="en-GB"/>
        </w:rPr>
        <w:t>worst case: assuming all those excluded (</w:t>
      </w:r>
      <w:r w:rsidRPr="00DA1B21">
        <w:rPr>
          <w:rFonts w:cs="Calibri"/>
          <w:sz w:val="20"/>
          <w:szCs w:val="20"/>
          <w:lang w:val="en-GB"/>
        </w:rPr>
        <w:t>participants with a documented miscarriage; stillbirth; infant death; transfer to another clinic, maternal death before 18 months postpartum)</w:t>
      </w:r>
      <w:r w:rsidRPr="00DA1B21">
        <w:rPr>
          <w:rFonts w:cs="Calibri"/>
          <w:color w:val="202124"/>
          <w:sz w:val="20"/>
          <w:szCs w:val="20"/>
          <w:shd w:val="clear" w:color="auto" w:fill="FFFFFF"/>
          <w:lang w:val="en-GB"/>
        </w:rPr>
        <w:t xml:space="preserve"> from the intervention group and not retained in care </w:t>
      </w:r>
      <w:r w:rsidRPr="00DA1B21">
        <w:rPr>
          <w:rFonts w:cs="Calibri"/>
          <w:i/>
          <w:iCs/>
          <w:color w:val="202124"/>
          <w:sz w:val="20"/>
          <w:szCs w:val="20"/>
          <w:shd w:val="clear" w:color="auto" w:fill="FFFFFF"/>
          <w:lang w:val="en-GB"/>
        </w:rPr>
        <w:t>were</w:t>
      </w:r>
      <w:r w:rsidRPr="00DA1B21">
        <w:rPr>
          <w:rFonts w:cs="Calibri"/>
          <w:color w:val="202124"/>
          <w:sz w:val="20"/>
          <w:szCs w:val="20"/>
          <w:shd w:val="clear" w:color="auto" w:fill="FFFFFF"/>
          <w:lang w:val="en-GB"/>
        </w:rPr>
        <w:t xml:space="preserve"> not retained in care and those excluded from the control group and not retained in care as retained in care</w:t>
      </w:r>
    </w:p>
    <w:p w14:paraId="70FA4604" w14:textId="77777777" w:rsidR="00D1268C" w:rsidRDefault="00D1268C" w:rsidP="00D1268C">
      <w:pPr>
        <w:spacing w:before="240" w:line="240" w:lineRule="auto"/>
        <w:rPr>
          <w:rFonts w:cs="Calibri"/>
          <w:lang w:val="en-GB"/>
        </w:rPr>
      </w:pPr>
    </w:p>
    <w:p w14:paraId="4C5D0AF4" w14:textId="77777777" w:rsidR="00D1268C" w:rsidRDefault="00D1268C" w:rsidP="00D1268C">
      <w:pPr>
        <w:spacing w:before="240" w:line="240" w:lineRule="auto"/>
        <w:rPr>
          <w:rFonts w:cs="Calibri"/>
          <w:lang w:val="en-GB"/>
        </w:rPr>
      </w:pPr>
    </w:p>
    <w:p w14:paraId="4FB89DB6" w14:textId="77777777" w:rsidR="00BE61B2" w:rsidRPr="00D1268C" w:rsidRDefault="00BE61B2">
      <w:pPr>
        <w:rPr>
          <w:lang w:val="en-GB"/>
        </w:rPr>
      </w:pPr>
    </w:p>
    <w:sectPr w:rsidR="00BE61B2" w:rsidRPr="00D1268C" w:rsidSect="00DA1B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68C"/>
    <w:rsid w:val="000200A4"/>
    <w:rsid w:val="006A6B91"/>
    <w:rsid w:val="00B75C3A"/>
    <w:rsid w:val="00BE61B2"/>
    <w:rsid w:val="00D1268C"/>
    <w:rsid w:val="00D4317E"/>
    <w:rsid w:val="00DA1B21"/>
    <w:rsid w:val="00ED7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4484"/>
  <w15:chartTrackingRefBased/>
  <w15:docId w15:val="{8E3B1FC7-22A0-49C3-917D-3877CBB3D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68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Nordberg Björn</dc:creator>
  <cp:keywords/>
  <dc:description/>
  <cp:lastModifiedBy>Bhuvaneswari R.</cp:lastModifiedBy>
  <cp:revision>3</cp:revision>
  <dcterms:created xsi:type="dcterms:W3CDTF">2022-10-10T09:15:00Z</dcterms:created>
  <dcterms:modified xsi:type="dcterms:W3CDTF">2023-05-24T12:07:00Z</dcterms:modified>
</cp:coreProperties>
</file>