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2836B" w14:textId="77777777" w:rsidR="002C6220" w:rsidRPr="002C6220" w:rsidRDefault="002C6220" w:rsidP="002C6220">
      <w:pPr>
        <w:rPr>
          <w:rFonts w:ascii="Times New Roman" w:hAnsi="Times New Roman" w:cs="Times New Roman"/>
          <w:b/>
          <w:bCs/>
          <w:sz w:val="24"/>
          <w:szCs w:val="24"/>
        </w:rPr>
      </w:pPr>
      <w:bookmarkStart w:id="0" w:name="_GoBack"/>
      <w:bookmarkEnd w:id="0"/>
      <w:r w:rsidRPr="002C6220">
        <w:rPr>
          <w:rFonts w:ascii="Times New Roman" w:hAnsi="Times New Roman" w:cs="Times New Roman"/>
          <w:b/>
          <w:bCs/>
          <w:sz w:val="24"/>
          <w:szCs w:val="24"/>
        </w:rPr>
        <w:t>Development and validation of asthma risk prediction models using co-expression gene modules and machine learning methods</w:t>
      </w:r>
    </w:p>
    <w:p w14:paraId="12B85E4A" w14:textId="77777777" w:rsidR="002C6220" w:rsidRPr="002C6220" w:rsidRDefault="002C6220" w:rsidP="002C6220">
      <w:pPr>
        <w:rPr>
          <w:rFonts w:ascii="Times New Roman" w:hAnsi="Times New Roman" w:cs="Times New Roman"/>
          <w:b/>
          <w:sz w:val="24"/>
          <w:szCs w:val="24"/>
        </w:rPr>
      </w:pPr>
    </w:p>
    <w:p w14:paraId="4605FC20" w14:textId="77777777" w:rsidR="002C6220" w:rsidRPr="002C6220" w:rsidRDefault="002C6220" w:rsidP="002C6220">
      <w:pPr>
        <w:rPr>
          <w:rFonts w:ascii="Times New Roman" w:hAnsi="Times New Roman" w:cs="Times New Roman"/>
          <w:sz w:val="24"/>
          <w:szCs w:val="24"/>
          <w:vertAlign w:val="superscript"/>
        </w:rPr>
      </w:pPr>
      <w:bookmarkStart w:id="1" w:name="_Hlk103169682"/>
      <w:r w:rsidRPr="002C6220">
        <w:rPr>
          <w:rFonts w:ascii="Times New Roman" w:hAnsi="Times New Roman" w:cs="Times New Roman"/>
          <w:sz w:val="24"/>
          <w:szCs w:val="24"/>
        </w:rPr>
        <w:t>Eskezeia Y. Dessie</w:t>
      </w:r>
      <w:r w:rsidRPr="002C6220">
        <w:rPr>
          <w:rFonts w:ascii="Times New Roman" w:hAnsi="Times New Roman" w:cs="Times New Roman"/>
          <w:sz w:val="24"/>
          <w:szCs w:val="24"/>
          <w:vertAlign w:val="superscript"/>
        </w:rPr>
        <w:t>1</w:t>
      </w:r>
      <w:r w:rsidRPr="002C6220">
        <w:rPr>
          <w:rFonts w:ascii="Times New Roman" w:hAnsi="Times New Roman" w:cs="Times New Roman"/>
          <w:sz w:val="24"/>
          <w:szCs w:val="24"/>
        </w:rPr>
        <w:t>, Yadu Gautam</w:t>
      </w:r>
      <w:r w:rsidRPr="002C6220">
        <w:rPr>
          <w:rFonts w:ascii="Times New Roman" w:hAnsi="Times New Roman" w:cs="Times New Roman"/>
          <w:sz w:val="24"/>
          <w:szCs w:val="24"/>
          <w:vertAlign w:val="superscript"/>
        </w:rPr>
        <w:t>1</w:t>
      </w:r>
      <w:r w:rsidRPr="002C6220">
        <w:rPr>
          <w:rFonts w:ascii="Times New Roman" w:hAnsi="Times New Roman" w:cs="Times New Roman"/>
          <w:sz w:val="24"/>
          <w:szCs w:val="24"/>
        </w:rPr>
        <w:t>, Lili Ding</w:t>
      </w:r>
      <w:r w:rsidRPr="002C6220">
        <w:rPr>
          <w:rFonts w:ascii="Times New Roman" w:hAnsi="Times New Roman" w:cs="Times New Roman"/>
          <w:sz w:val="24"/>
          <w:szCs w:val="24"/>
          <w:vertAlign w:val="superscript"/>
        </w:rPr>
        <w:t>1</w:t>
      </w:r>
      <w:r w:rsidRPr="002C6220">
        <w:rPr>
          <w:rFonts w:ascii="Times New Roman" w:hAnsi="Times New Roman" w:cs="Times New Roman"/>
          <w:sz w:val="24"/>
          <w:szCs w:val="24"/>
        </w:rPr>
        <w:t>, Mekibib Altaye</w:t>
      </w:r>
      <w:r w:rsidRPr="002C6220">
        <w:rPr>
          <w:rFonts w:ascii="Times New Roman" w:hAnsi="Times New Roman" w:cs="Times New Roman"/>
          <w:sz w:val="24"/>
          <w:szCs w:val="24"/>
          <w:vertAlign w:val="superscript"/>
        </w:rPr>
        <w:t>1</w:t>
      </w:r>
      <w:r w:rsidRPr="002C6220">
        <w:rPr>
          <w:rFonts w:ascii="Times New Roman" w:hAnsi="Times New Roman" w:cs="Times New Roman"/>
          <w:sz w:val="24"/>
          <w:szCs w:val="24"/>
        </w:rPr>
        <w:t>, Joseph Beyene</w:t>
      </w:r>
      <w:r w:rsidRPr="002C6220">
        <w:rPr>
          <w:rFonts w:ascii="Times New Roman" w:hAnsi="Times New Roman" w:cs="Times New Roman"/>
          <w:sz w:val="24"/>
          <w:szCs w:val="24"/>
          <w:vertAlign w:val="superscript"/>
        </w:rPr>
        <w:t>2</w:t>
      </w:r>
      <w:r w:rsidRPr="002C6220">
        <w:rPr>
          <w:rFonts w:ascii="Times New Roman" w:hAnsi="Times New Roman" w:cs="Times New Roman"/>
          <w:sz w:val="24"/>
          <w:szCs w:val="24"/>
        </w:rPr>
        <w:t>, Tesfaye B. Mersha</w:t>
      </w:r>
      <w:r w:rsidRPr="002C6220">
        <w:rPr>
          <w:rFonts w:ascii="Times New Roman" w:hAnsi="Times New Roman" w:cs="Times New Roman"/>
          <w:sz w:val="24"/>
          <w:szCs w:val="24"/>
          <w:vertAlign w:val="superscript"/>
        </w:rPr>
        <w:t>1</w:t>
      </w:r>
    </w:p>
    <w:p w14:paraId="6EA62528" w14:textId="77777777" w:rsidR="002C6220" w:rsidRPr="002C6220" w:rsidRDefault="002C6220" w:rsidP="002C6220">
      <w:pPr>
        <w:rPr>
          <w:rFonts w:ascii="Times New Roman" w:hAnsi="Times New Roman" w:cs="Times New Roman"/>
          <w:sz w:val="24"/>
          <w:szCs w:val="24"/>
        </w:rPr>
      </w:pPr>
      <w:r w:rsidRPr="002C6220">
        <w:rPr>
          <w:rFonts w:ascii="Times New Roman" w:hAnsi="Times New Roman" w:cs="Times New Roman"/>
          <w:sz w:val="24"/>
          <w:szCs w:val="24"/>
          <w:vertAlign w:val="superscript"/>
        </w:rPr>
        <w:t>1</w:t>
      </w:r>
      <w:r w:rsidRPr="002C6220">
        <w:rPr>
          <w:rFonts w:ascii="Times New Roman" w:hAnsi="Times New Roman" w:cs="Times New Roman"/>
          <w:sz w:val="24"/>
          <w:szCs w:val="24"/>
        </w:rPr>
        <w:t xml:space="preserve">Department of Pediatrics, Cincinnati Children’s Hospital Medical Center, University of Cincinnati College of Medicine, Cincinnati, OH, USA, </w:t>
      </w:r>
      <w:r w:rsidRPr="002C6220">
        <w:rPr>
          <w:rFonts w:ascii="Times New Roman" w:hAnsi="Times New Roman" w:cs="Times New Roman"/>
          <w:sz w:val="24"/>
          <w:szCs w:val="24"/>
          <w:vertAlign w:val="superscript"/>
        </w:rPr>
        <w:t>2</w:t>
      </w:r>
      <w:r w:rsidRPr="002C6220">
        <w:rPr>
          <w:rFonts w:ascii="Times New Roman" w:hAnsi="Times New Roman" w:cs="Times New Roman"/>
          <w:sz w:val="24"/>
          <w:szCs w:val="24"/>
        </w:rPr>
        <w:t>Department of Health Research Methods, Evidence, and Impact, McMaster University, Hamilton, Canada</w:t>
      </w:r>
    </w:p>
    <w:bookmarkEnd w:id="1"/>
    <w:p w14:paraId="76EC5129" w14:textId="77777777" w:rsidR="002C6220" w:rsidRDefault="002C6220">
      <w:pPr>
        <w:rPr>
          <w:rFonts w:ascii="Times New Roman" w:hAnsi="Times New Roman" w:cs="Times New Roman"/>
          <w:sz w:val="24"/>
          <w:szCs w:val="24"/>
        </w:rPr>
      </w:pPr>
    </w:p>
    <w:p w14:paraId="3B98AE0B" w14:textId="77777777" w:rsidR="001669FB" w:rsidRDefault="001669FB">
      <w:pPr>
        <w:rPr>
          <w:rFonts w:ascii="Times New Roman" w:hAnsi="Times New Roman" w:cs="Times New Roman"/>
          <w:sz w:val="24"/>
          <w:szCs w:val="24"/>
        </w:rPr>
      </w:pPr>
    </w:p>
    <w:p w14:paraId="6B59B7A2" w14:textId="77777777" w:rsidR="001669FB" w:rsidRDefault="001669FB">
      <w:pPr>
        <w:rPr>
          <w:rFonts w:ascii="Times New Roman" w:hAnsi="Times New Roman" w:cs="Times New Roman"/>
          <w:sz w:val="24"/>
          <w:szCs w:val="24"/>
        </w:rPr>
      </w:pPr>
    </w:p>
    <w:p w14:paraId="6BE6A14F" w14:textId="77777777" w:rsidR="001669FB" w:rsidRDefault="001669FB">
      <w:pPr>
        <w:rPr>
          <w:rFonts w:ascii="Times New Roman" w:hAnsi="Times New Roman" w:cs="Times New Roman"/>
          <w:sz w:val="24"/>
          <w:szCs w:val="24"/>
        </w:rPr>
      </w:pPr>
    </w:p>
    <w:p w14:paraId="09C73D6D" w14:textId="77777777" w:rsidR="001669FB" w:rsidRDefault="001669FB">
      <w:pPr>
        <w:rPr>
          <w:rFonts w:ascii="Times New Roman" w:hAnsi="Times New Roman" w:cs="Times New Roman"/>
          <w:sz w:val="24"/>
          <w:szCs w:val="24"/>
        </w:rPr>
      </w:pPr>
    </w:p>
    <w:p w14:paraId="3B8C3D77" w14:textId="77777777" w:rsidR="001669FB" w:rsidRDefault="001669FB">
      <w:pPr>
        <w:rPr>
          <w:rFonts w:ascii="Times New Roman" w:hAnsi="Times New Roman" w:cs="Times New Roman"/>
          <w:sz w:val="24"/>
          <w:szCs w:val="24"/>
        </w:rPr>
      </w:pPr>
    </w:p>
    <w:p w14:paraId="0E1EC0EC" w14:textId="77777777" w:rsidR="001669FB" w:rsidRDefault="001669FB">
      <w:pPr>
        <w:rPr>
          <w:rFonts w:ascii="Times New Roman" w:hAnsi="Times New Roman" w:cs="Times New Roman"/>
          <w:sz w:val="24"/>
          <w:szCs w:val="24"/>
        </w:rPr>
      </w:pPr>
    </w:p>
    <w:p w14:paraId="4CDBC42C" w14:textId="77777777" w:rsidR="001669FB" w:rsidRDefault="001669FB">
      <w:pPr>
        <w:rPr>
          <w:rFonts w:ascii="Times New Roman" w:hAnsi="Times New Roman" w:cs="Times New Roman"/>
          <w:sz w:val="24"/>
          <w:szCs w:val="24"/>
        </w:rPr>
      </w:pPr>
    </w:p>
    <w:p w14:paraId="2601ACCB" w14:textId="77777777" w:rsidR="001669FB" w:rsidRDefault="001669FB">
      <w:pPr>
        <w:rPr>
          <w:rFonts w:ascii="Times New Roman" w:hAnsi="Times New Roman" w:cs="Times New Roman"/>
          <w:sz w:val="24"/>
          <w:szCs w:val="24"/>
        </w:rPr>
      </w:pPr>
    </w:p>
    <w:p w14:paraId="294EB54C" w14:textId="77777777" w:rsidR="001669FB" w:rsidRDefault="001669FB">
      <w:pPr>
        <w:rPr>
          <w:rFonts w:ascii="Times New Roman" w:hAnsi="Times New Roman" w:cs="Times New Roman"/>
          <w:sz w:val="24"/>
          <w:szCs w:val="24"/>
        </w:rPr>
      </w:pPr>
    </w:p>
    <w:p w14:paraId="4B8DFE60" w14:textId="77777777" w:rsidR="001669FB" w:rsidRDefault="001669FB">
      <w:pPr>
        <w:rPr>
          <w:rFonts w:ascii="Times New Roman" w:hAnsi="Times New Roman" w:cs="Times New Roman"/>
          <w:sz w:val="24"/>
          <w:szCs w:val="24"/>
        </w:rPr>
      </w:pPr>
    </w:p>
    <w:p w14:paraId="21647395" w14:textId="77777777" w:rsidR="001669FB" w:rsidRDefault="001669FB">
      <w:pPr>
        <w:rPr>
          <w:rFonts w:ascii="Times New Roman" w:hAnsi="Times New Roman" w:cs="Times New Roman"/>
          <w:sz w:val="24"/>
          <w:szCs w:val="24"/>
        </w:rPr>
      </w:pPr>
    </w:p>
    <w:p w14:paraId="25B2D247" w14:textId="77777777" w:rsidR="001669FB" w:rsidRDefault="001669FB">
      <w:pPr>
        <w:rPr>
          <w:rFonts w:ascii="Times New Roman" w:hAnsi="Times New Roman" w:cs="Times New Roman"/>
          <w:sz w:val="24"/>
          <w:szCs w:val="24"/>
        </w:rPr>
      </w:pPr>
    </w:p>
    <w:p w14:paraId="5839BBA4" w14:textId="77777777" w:rsidR="001669FB" w:rsidRDefault="001669FB">
      <w:pPr>
        <w:rPr>
          <w:rFonts w:ascii="Times New Roman" w:hAnsi="Times New Roman" w:cs="Times New Roman"/>
          <w:sz w:val="24"/>
          <w:szCs w:val="24"/>
        </w:rPr>
      </w:pPr>
    </w:p>
    <w:p w14:paraId="39E07837" w14:textId="77777777" w:rsidR="001669FB" w:rsidRDefault="001669FB">
      <w:pPr>
        <w:rPr>
          <w:rFonts w:ascii="Times New Roman" w:hAnsi="Times New Roman" w:cs="Times New Roman"/>
          <w:sz w:val="24"/>
          <w:szCs w:val="24"/>
        </w:rPr>
      </w:pPr>
    </w:p>
    <w:p w14:paraId="7370B68F" w14:textId="77777777" w:rsidR="001669FB" w:rsidRDefault="001669FB">
      <w:pPr>
        <w:rPr>
          <w:rFonts w:ascii="Times New Roman" w:hAnsi="Times New Roman" w:cs="Times New Roman"/>
          <w:sz w:val="24"/>
          <w:szCs w:val="24"/>
        </w:rPr>
      </w:pPr>
    </w:p>
    <w:p w14:paraId="46189152" w14:textId="77777777" w:rsidR="001669FB" w:rsidRDefault="001669FB">
      <w:pPr>
        <w:rPr>
          <w:rFonts w:ascii="Times New Roman" w:hAnsi="Times New Roman" w:cs="Times New Roman"/>
          <w:sz w:val="24"/>
          <w:szCs w:val="24"/>
        </w:rPr>
      </w:pPr>
    </w:p>
    <w:p w14:paraId="378BDCEB" w14:textId="77777777" w:rsidR="001669FB" w:rsidRDefault="001669FB">
      <w:pPr>
        <w:rPr>
          <w:rFonts w:ascii="Times New Roman" w:hAnsi="Times New Roman" w:cs="Times New Roman"/>
          <w:sz w:val="24"/>
          <w:szCs w:val="24"/>
        </w:rPr>
      </w:pPr>
    </w:p>
    <w:p w14:paraId="0BA6ECF4" w14:textId="77777777" w:rsidR="001669FB" w:rsidRDefault="001669FB">
      <w:pPr>
        <w:rPr>
          <w:rFonts w:ascii="Times New Roman" w:hAnsi="Times New Roman" w:cs="Times New Roman"/>
          <w:sz w:val="24"/>
          <w:szCs w:val="24"/>
        </w:rPr>
      </w:pPr>
    </w:p>
    <w:p w14:paraId="62F285CF" w14:textId="77777777" w:rsidR="002C6220" w:rsidRDefault="002C6220">
      <w:pPr>
        <w:rPr>
          <w:rFonts w:ascii="Times New Roman" w:hAnsi="Times New Roman" w:cs="Times New Roman"/>
          <w:sz w:val="24"/>
          <w:szCs w:val="24"/>
        </w:rPr>
      </w:pPr>
    </w:p>
    <w:p w14:paraId="0D04300B" w14:textId="77777777" w:rsidR="002C6220" w:rsidRDefault="002C6220">
      <w:pPr>
        <w:rPr>
          <w:rFonts w:ascii="Times New Roman" w:hAnsi="Times New Roman" w:cs="Times New Roman"/>
          <w:sz w:val="24"/>
          <w:szCs w:val="24"/>
        </w:rPr>
      </w:pPr>
    </w:p>
    <w:p w14:paraId="74B3C14D" w14:textId="77777777" w:rsidR="00A27750" w:rsidRDefault="00A27750">
      <w:pPr>
        <w:rPr>
          <w:rFonts w:ascii="Times New Roman" w:hAnsi="Times New Roman" w:cs="Times New Roman"/>
          <w:sz w:val="24"/>
          <w:szCs w:val="24"/>
        </w:rPr>
      </w:pPr>
    </w:p>
    <w:p w14:paraId="2F0BA6BA" w14:textId="1FB34A8F" w:rsidR="003A407B" w:rsidRDefault="004A54BE">
      <w:pPr>
        <w:rPr>
          <w:rFonts w:ascii="Times New Roman" w:hAnsi="Times New Roman" w:cs="Times New Roman"/>
          <w:b/>
          <w:sz w:val="24"/>
          <w:szCs w:val="24"/>
        </w:rPr>
      </w:pPr>
      <w:r>
        <w:rPr>
          <w:rFonts w:ascii="Times New Roman" w:hAnsi="Times New Roman" w:cs="Times New Roman"/>
          <w:b/>
          <w:sz w:val="24"/>
          <w:szCs w:val="24"/>
        </w:rPr>
        <w:lastRenderedPageBreak/>
        <w:t>L</w:t>
      </w:r>
      <w:r w:rsidR="004259B4" w:rsidRPr="00236E2B">
        <w:rPr>
          <w:rFonts w:ascii="Times New Roman" w:hAnsi="Times New Roman" w:cs="Times New Roman"/>
          <w:b/>
          <w:sz w:val="24"/>
          <w:szCs w:val="24"/>
        </w:rPr>
        <w:t xml:space="preserve">ist </w:t>
      </w:r>
      <w:r w:rsidR="00B9270C" w:rsidRPr="00236E2B">
        <w:rPr>
          <w:rFonts w:ascii="Times New Roman" w:hAnsi="Times New Roman" w:cs="Times New Roman"/>
          <w:b/>
          <w:sz w:val="24"/>
          <w:szCs w:val="24"/>
        </w:rPr>
        <w:t xml:space="preserve">of </w:t>
      </w:r>
      <w:r w:rsidR="00B9270C">
        <w:rPr>
          <w:rFonts w:ascii="Times New Roman" w:hAnsi="Times New Roman" w:cs="Times New Roman"/>
          <w:b/>
          <w:sz w:val="24"/>
          <w:szCs w:val="24"/>
        </w:rPr>
        <w:t>supplementary</w:t>
      </w:r>
      <w:r w:rsidR="00236E2B">
        <w:rPr>
          <w:rFonts w:ascii="Times New Roman" w:hAnsi="Times New Roman" w:cs="Times New Roman"/>
          <w:b/>
          <w:sz w:val="24"/>
          <w:szCs w:val="24"/>
        </w:rPr>
        <w:t xml:space="preserve"> </w:t>
      </w:r>
      <w:r w:rsidR="004259B4" w:rsidRPr="00236E2B">
        <w:rPr>
          <w:rFonts w:ascii="Times New Roman" w:hAnsi="Times New Roman" w:cs="Times New Roman"/>
          <w:b/>
          <w:sz w:val="24"/>
          <w:szCs w:val="24"/>
        </w:rPr>
        <w:t>Figures</w:t>
      </w:r>
    </w:p>
    <w:p w14:paraId="3C401C01" w14:textId="027F13DB" w:rsidR="00664A87" w:rsidRDefault="00664A87">
      <w:pPr>
        <w:rPr>
          <w:rFonts w:ascii="Times New Roman" w:hAnsi="Times New Roman" w:cs="Times New Roman"/>
          <w:b/>
          <w:sz w:val="24"/>
          <w:szCs w:val="24"/>
        </w:rPr>
      </w:pPr>
    </w:p>
    <w:p w14:paraId="60296297" w14:textId="3C2768C0" w:rsidR="00664A87" w:rsidRDefault="00664A87">
      <w:pPr>
        <w:rPr>
          <w:rFonts w:ascii="Times New Roman" w:hAnsi="Times New Roman" w:cs="Times New Roman"/>
          <w:b/>
          <w:sz w:val="24"/>
          <w:szCs w:val="24"/>
        </w:rPr>
      </w:pPr>
      <w:r>
        <w:rPr>
          <w:noProof/>
        </w:rPr>
        <w:drawing>
          <wp:inline distT="0" distB="0" distL="0" distR="0" wp14:anchorId="4EEA54B5" wp14:editId="0E664E0A">
            <wp:extent cx="5207000" cy="5060950"/>
            <wp:effectExtent l="0" t="0" r="0" b="6350"/>
            <wp:docPr id="2" name="Picture 2" descr="Graphical user interface,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 box and whisker chart&#10;&#10;Description automatically generated"/>
                    <pic:cNvPicPr/>
                  </pic:nvPicPr>
                  <pic:blipFill>
                    <a:blip r:embed="rId5"/>
                    <a:stretch>
                      <a:fillRect/>
                    </a:stretch>
                  </pic:blipFill>
                  <pic:spPr>
                    <a:xfrm>
                      <a:off x="0" y="0"/>
                      <a:ext cx="5207000" cy="5060950"/>
                    </a:xfrm>
                    <a:prstGeom prst="rect">
                      <a:avLst/>
                    </a:prstGeom>
                  </pic:spPr>
                </pic:pic>
              </a:graphicData>
            </a:graphic>
          </wp:inline>
        </w:drawing>
      </w:r>
    </w:p>
    <w:p w14:paraId="25841D10" w14:textId="353A0B09" w:rsidR="00664A87" w:rsidRPr="00542A60" w:rsidRDefault="00664A87">
      <w:pPr>
        <w:rPr>
          <w:rFonts w:ascii="Times New Roman" w:hAnsi="Times New Roman" w:cs="Times New Roman"/>
          <w:sz w:val="24"/>
          <w:szCs w:val="24"/>
        </w:rPr>
      </w:pPr>
      <w:r w:rsidRPr="00542A60">
        <w:rPr>
          <w:rFonts w:ascii="Times New Roman" w:hAnsi="Times New Roman" w:cs="Times New Roman"/>
          <w:b/>
          <w:sz w:val="24"/>
          <w:szCs w:val="24"/>
        </w:rPr>
        <w:t>Figure S</w:t>
      </w:r>
      <w:r w:rsidR="00970217" w:rsidRPr="00542A60">
        <w:rPr>
          <w:rFonts w:ascii="Times New Roman" w:hAnsi="Times New Roman" w:cs="Times New Roman"/>
          <w:b/>
          <w:sz w:val="24"/>
          <w:szCs w:val="24"/>
        </w:rPr>
        <w:t>1</w:t>
      </w:r>
      <w:r w:rsidRPr="00542A60">
        <w:rPr>
          <w:rFonts w:ascii="Times New Roman" w:hAnsi="Times New Roman" w:cs="Times New Roman"/>
          <w:sz w:val="24"/>
          <w:szCs w:val="24"/>
        </w:rPr>
        <w:t>:</w:t>
      </w:r>
      <w:r w:rsidR="00571CB1" w:rsidRPr="00542A60">
        <w:rPr>
          <w:rFonts w:ascii="Times New Roman" w:hAnsi="Times New Roman" w:cs="Times New Roman"/>
          <w:sz w:val="24"/>
          <w:szCs w:val="24"/>
        </w:rPr>
        <w:t xml:space="preserve"> </w:t>
      </w:r>
      <w:r w:rsidR="005E038C" w:rsidRPr="00542A60">
        <w:rPr>
          <w:rFonts w:ascii="Times New Roman" w:hAnsi="Times New Roman" w:cs="Times New Roman"/>
          <w:sz w:val="24"/>
          <w:szCs w:val="24"/>
        </w:rPr>
        <w:t xml:space="preserve">WGCNA analyses to select </w:t>
      </w:r>
      <w:r w:rsidR="00571CB1" w:rsidRPr="00542A60">
        <w:rPr>
          <w:rFonts w:ascii="Times New Roman" w:hAnsi="Times New Roman" w:cs="Times New Roman"/>
          <w:sz w:val="24"/>
          <w:szCs w:val="24"/>
        </w:rPr>
        <w:t xml:space="preserve">soft thresholding power </w:t>
      </w:r>
      <w:r w:rsidR="005E038C" w:rsidRPr="00542A60">
        <w:rPr>
          <w:rFonts w:ascii="Times New Roman" w:hAnsi="Times New Roman" w:cs="Times New Roman"/>
          <w:sz w:val="24"/>
          <w:szCs w:val="24"/>
        </w:rPr>
        <w:t xml:space="preserve">for a) AECs dataset b) NECs dataset. </w:t>
      </w:r>
    </w:p>
    <w:p w14:paraId="5147E1B5" w14:textId="4DAAAB34" w:rsidR="00664A87" w:rsidRPr="00542A60" w:rsidRDefault="00664A87">
      <w:pPr>
        <w:rPr>
          <w:rFonts w:ascii="Times New Roman" w:hAnsi="Times New Roman" w:cs="Times New Roman"/>
          <w:b/>
          <w:sz w:val="24"/>
          <w:szCs w:val="24"/>
        </w:rPr>
      </w:pPr>
    </w:p>
    <w:p w14:paraId="2776CA8D" w14:textId="77777777" w:rsidR="00664A87" w:rsidRDefault="00664A87">
      <w:pPr>
        <w:rPr>
          <w:rFonts w:ascii="Times New Roman" w:hAnsi="Times New Roman" w:cs="Times New Roman"/>
          <w:b/>
          <w:sz w:val="24"/>
          <w:szCs w:val="24"/>
        </w:rPr>
      </w:pPr>
    </w:p>
    <w:p w14:paraId="6D07FBDE" w14:textId="69218D91" w:rsidR="00CE30F2" w:rsidRDefault="004301DB">
      <w:pPr>
        <w:rPr>
          <w:rFonts w:ascii="Times New Roman" w:hAnsi="Times New Roman" w:cs="Times New Roman"/>
          <w:b/>
          <w:sz w:val="24"/>
          <w:szCs w:val="24"/>
        </w:rPr>
      </w:pPr>
      <w:r>
        <w:rPr>
          <w:noProof/>
        </w:rPr>
        <w:lastRenderedPageBreak/>
        <w:drawing>
          <wp:inline distT="0" distB="0" distL="0" distR="0" wp14:anchorId="4740E186" wp14:editId="4944C6DC">
            <wp:extent cx="6096000" cy="24136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96000" cy="2413635"/>
                    </a:xfrm>
                    <a:prstGeom prst="rect">
                      <a:avLst/>
                    </a:prstGeom>
                  </pic:spPr>
                </pic:pic>
              </a:graphicData>
            </a:graphic>
          </wp:inline>
        </w:drawing>
      </w:r>
    </w:p>
    <w:p w14:paraId="0D086010" w14:textId="4C2E2826" w:rsidR="001D2A19" w:rsidRDefault="00886D5B">
      <w:pPr>
        <w:rPr>
          <w:rFonts w:ascii="Times New Roman" w:hAnsi="Times New Roman" w:cs="Times New Roman"/>
          <w:sz w:val="24"/>
          <w:szCs w:val="24"/>
        </w:rPr>
      </w:pPr>
      <w:r w:rsidRPr="00886D5B">
        <w:rPr>
          <w:rFonts w:ascii="Times New Roman" w:hAnsi="Times New Roman" w:cs="Times New Roman"/>
          <w:b/>
          <w:sz w:val="24"/>
          <w:szCs w:val="24"/>
        </w:rPr>
        <w:t>Figure S2</w:t>
      </w:r>
      <w:r w:rsidRPr="00886D5B">
        <w:rPr>
          <w:rFonts w:ascii="Times New Roman" w:hAnsi="Times New Roman" w:cs="Times New Roman"/>
          <w:sz w:val="24"/>
          <w:szCs w:val="24"/>
        </w:rPr>
        <w:t>: Cluster dendrogram of genes whose coefficient of variation (CV) &gt; 4% in a) AECs dataset b) NECs dataset. The colors indicates co-expression modules and uncorrelated genes assigned to the gray module.</w:t>
      </w:r>
    </w:p>
    <w:p w14:paraId="00D8EFD5" w14:textId="77777777" w:rsidR="001D2A19" w:rsidRDefault="001D2A19">
      <w:pPr>
        <w:rPr>
          <w:rFonts w:ascii="Times New Roman" w:hAnsi="Times New Roman" w:cs="Times New Roman"/>
          <w:sz w:val="24"/>
          <w:szCs w:val="24"/>
        </w:rPr>
      </w:pPr>
    </w:p>
    <w:p w14:paraId="48EECE98" w14:textId="6E3F00C3" w:rsidR="00FA10E6" w:rsidRDefault="00790629">
      <w:pPr>
        <w:rPr>
          <w:noProof/>
        </w:rPr>
      </w:pPr>
      <w:r>
        <w:rPr>
          <w:rFonts w:ascii="Times New Roman" w:hAnsi="Times New Roman" w:cs="Times New Roman"/>
          <w:sz w:val="24"/>
          <w:szCs w:val="24"/>
        </w:rPr>
        <w:t xml:space="preserve">   </w:t>
      </w:r>
      <w:r w:rsidR="009B0F52">
        <w:rPr>
          <w:noProof/>
        </w:rPr>
        <w:drawing>
          <wp:inline distT="0" distB="0" distL="0" distR="0" wp14:anchorId="561D56D8" wp14:editId="3305529C">
            <wp:extent cx="5943600" cy="33661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66135"/>
                    </a:xfrm>
                    <a:prstGeom prst="rect">
                      <a:avLst/>
                    </a:prstGeom>
                  </pic:spPr>
                </pic:pic>
              </a:graphicData>
            </a:graphic>
          </wp:inline>
        </w:drawing>
      </w:r>
    </w:p>
    <w:p w14:paraId="07C6ADFE" w14:textId="32570B5B" w:rsidR="000C20F9" w:rsidRPr="000C20F9" w:rsidRDefault="000C20F9" w:rsidP="009C05E4">
      <w:pPr>
        <w:jc w:val="both"/>
        <w:rPr>
          <w:rFonts w:ascii="Times New Roman" w:hAnsi="Times New Roman" w:cs="Times New Roman"/>
          <w:sz w:val="24"/>
          <w:szCs w:val="24"/>
        </w:rPr>
      </w:pPr>
      <w:r w:rsidRPr="000C20F9">
        <w:rPr>
          <w:rFonts w:ascii="Times New Roman" w:hAnsi="Times New Roman" w:cs="Times New Roman"/>
          <w:b/>
          <w:sz w:val="24"/>
          <w:szCs w:val="24"/>
        </w:rPr>
        <w:t xml:space="preserve">Figure S3:  </w:t>
      </w:r>
      <w:r w:rsidRPr="000C20F9">
        <w:rPr>
          <w:rFonts w:ascii="Times New Roman" w:hAnsi="Times New Roman" w:cs="Times New Roman"/>
          <w:sz w:val="24"/>
          <w:szCs w:val="24"/>
        </w:rPr>
        <w:t xml:space="preserve">Potential DCEGs selected by four machine learning methods in the AECs dataset. a) Logistic regression with Lasso penalty alpha = 0.015 was used to select 30 important DCEGs.    The bar plot showing prioritized and ranked DCEGs based on  b) Lasso) c) RF d) Boruta and e) RFE f)  Bar plot showing model comparison using various performance measures including  </w:t>
      </w:r>
      <w:r w:rsidRPr="000C20F9">
        <w:rPr>
          <w:rFonts w:ascii="Times New Roman" w:hAnsi="Times New Roman" w:cs="Times New Roman"/>
          <w:sz w:val="24"/>
          <w:szCs w:val="24"/>
        </w:rPr>
        <w:lastRenderedPageBreak/>
        <w:t>sensitivity, specificity, MCC and F-score values 4 ML methods. RF-Random forest, Lasso-least absolute shrinkage and selection operator, RFE- Recursive Feature Elimination.</w:t>
      </w:r>
    </w:p>
    <w:p w14:paraId="44A91F01" w14:textId="7D80649E" w:rsidR="004020B5" w:rsidRDefault="004020B5" w:rsidP="00D23E96">
      <w:pPr>
        <w:jc w:val="both"/>
        <w:rPr>
          <w:rFonts w:ascii="Times New Roman" w:hAnsi="Times New Roman" w:cs="Times New Roman"/>
          <w:b/>
          <w:sz w:val="24"/>
          <w:szCs w:val="24"/>
        </w:rPr>
      </w:pPr>
    </w:p>
    <w:p w14:paraId="0A954AF6" w14:textId="77777777" w:rsidR="00A05AC9" w:rsidRDefault="00A05AC9" w:rsidP="00D23E96">
      <w:pPr>
        <w:jc w:val="both"/>
        <w:rPr>
          <w:rFonts w:ascii="Times New Roman" w:hAnsi="Times New Roman" w:cs="Times New Roman"/>
          <w:b/>
          <w:sz w:val="24"/>
          <w:szCs w:val="24"/>
        </w:rPr>
      </w:pPr>
    </w:p>
    <w:p w14:paraId="132A31C0" w14:textId="5F439DC1" w:rsidR="00A05AC9" w:rsidRDefault="00A05AC9" w:rsidP="00D23E96">
      <w:pPr>
        <w:jc w:val="both"/>
        <w:rPr>
          <w:rFonts w:ascii="Times New Roman" w:hAnsi="Times New Roman" w:cs="Times New Roman"/>
          <w:b/>
          <w:sz w:val="24"/>
          <w:szCs w:val="24"/>
        </w:rPr>
      </w:pPr>
      <w:r>
        <w:rPr>
          <w:noProof/>
        </w:rPr>
        <w:drawing>
          <wp:inline distT="0" distB="0" distL="0" distR="0" wp14:anchorId="53949681" wp14:editId="466D041D">
            <wp:extent cx="5943600" cy="3302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02635"/>
                    </a:xfrm>
                    <a:prstGeom prst="rect">
                      <a:avLst/>
                    </a:prstGeom>
                  </pic:spPr>
                </pic:pic>
              </a:graphicData>
            </a:graphic>
          </wp:inline>
        </w:drawing>
      </w:r>
    </w:p>
    <w:p w14:paraId="5C9F46E9" w14:textId="6FA5534F" w:rsidR="000C20F9" w:rsidRPr="000C20F9" w:rsidRDefault="000C20F9" w:rsidP="001A584F">
      <w:pPr>
        <w:jc w:val="both"/>
        <w:rPr>
          <w:rFonts w:ascii="Times New Roman" w:hAnsi="Times New Roman" w:cs="Times New Roman"/>
          <w:szCs w:val="24"/>
        </w:rPr>
      </w:pPr>
      <w:r w:rsidRPr="000C20F9">
        <w:rPr>
          <w:rFonts w:ascii="Times New Roman" w:hAnsi="Times New Roman" w:cs="Times New Roman"/>
          <w:b/>
          <w:szCs w:val="24"/>
        </w:rPr>
        <w:t xml:space="preserve">Figure S4:  </w:t>
      </w:r>
      <w:r w:rsidRPr="000C20F9">
        <w:rPr>
          <w:rFonts w:ascii="Times New Roman" w:hAnsi="Times New Roman" w:cs="Times New Roman"/>
          <w:szCs w:val="24"/>
        </w:rPr>
        <w:t>Potential DCEGs selected by four machine learning methods in the AECs dataset. a) Logistic regression with Lasso penalty alpha = 0.0048 was used to select 34 important DCEGs.    The bar plot showing prioritized and ranked DCEGs based on  b) Lasso) c) RF d) Boruta and e) RFE f)  Bar plot showing model comparison using various performance measures including  sensitivity, specificity, MCC and F-score values 4 ML methods. RF-Random forest, Lasso-least absolute shrinkage and selection operator, RFE- Recursive Feature Elimination.</w:t>
      </w:r>
    </w:p>
    <w:p w14:paraId="65704FEE" w14:textId="77777777" w:rsidR="000C20F9" w:rsidRDefault="000C20F9" w:rsidP="001A584F">
      <w:pPr>
        <w:jc w:val="both"/>
        <w:rPr>
          <w:rFonts w:ascii="Times New Roman" w:hAnsi="Times New Roman" w:cs="Times New Roman"/>
          <w:b/>
          <w:szCs w:val="24"/>
        </w:rPr>
      </w:pPr>
    </w:p>
    <w:p w14:paraId="20B73DE5" w14:textId="77777777" w:rsidR="000C20F9" w:rsidRDefault="000C20F9" w:rsidP="001A584F">
      <w:pPr>
        <w:jc w:val="both"/>
        <w:rPr>
          <w:rFonts w:ascii="Times New Roman" w:hAnsi="Times New Roman" w:cs="Times New Roman"/>
          <w:b/>
          <w:szCs w:val="24"/>
        </w:rPr>
      </w:pPr>
    </w:p>
    <w:p w14:paraId="30CE4B44" w14:textId="77777777" w:rsidR="000C20F9" w:rsidRDefault="000C20F9" w:rsidP="001A584F">
      <w:pPr>
        <w:jc w:val="both"/>
        <w:rPr>
          <w:rFonts w:ascii="Times New Roman" w:hAnsi="Times New Roman" w:cs="Times New Roman"/>
          <w:b/>
          <w:szCs w:val="24"/>
        </w:rPr>
      </w:pPr>
    </w:p>
    <w:p w14:paraId="55FFE2A3" w14:textId="77777777" w:rsidR="006A3FBD" w:rsidRDefault="006A3FBD">
      <w:pPr>
        <w:rPr>
          <w:rFonts w:ascii="Times New Roman" w:hAnsi="Times New Roman" w:cs="Times New Roman"/>
          <w:sz w:val="24"/>
          <w:szCs w:val="24"/>
        </w:rPr>
      </w:pPr>
    </w:p>
    <w:p w14:paraId="54A661A7" w14:textId="77777777" w:rsidR="006A3FBD" w:rsidRDefault="006A3FBD">
      <w:pPr>
        <w:rPr>
          <w:rFonts w:ascii="Times New Roman" w:hAnsi="Times New Roman" w:cs="Times New Roman"/>
          <w:sz w:val="24"/>
          <w:szCs w:val="24"/>
        </w:rPr>
      </w:pPr>
    </w:p>
    <w:p w14:paraId="0DFD26BA" w14:textId="77777777" w:rsidR="006A3FBD" w:rsidRDefault="006A3FBD">
      <w:pPr>
        <w:rPr>
          <w:rFonts w:ascii="Times New Roman" w:hAnsi="Times New Roman" w:cs="Times New Roman"/>
          <w:sz w:val="24"/>
          <w:szCs w:val="24"/>
        </w:rPr>
      </w:pPr>
    </w:p>
    <w:p w14:paraId="7F1968F6" w14:textId="764094B9" w:rsidR="00191AB1" w:rsidRDefault="00191AB1">
      <w:pPr>
        <w:rPr>
          <w:rFonts w:ascii="Times New Roman" w:hAnsi="Times New Roman" w:cs="Times New Roman"/>
          <w:sz w:val="24"/>
          <w:szCs w:val="24"/>
        </w:rPr>
      </w:pPr>
    </w:p>
    <w:p w14:paraId="43631C69" w14:textId="4ED302D3" w:rsidR="008B7902" w:rsidRDefault="008B7902" w:rsidP="001C7111">
      <w:pPr>
        <w:jc w:val="both"/>
        <w:rPr>
          <w:rFonts w:ascii="Times New Roman" w:hAnsi="Times New Roman" w:cs="Times New Roman"/>
          <w:sz w:val="24"/>
        </w:rPr>
      </w:pPr>
      <w:r>
        <w:rPr>
          <w:noProof/>
        </w:rPr>
        <w:lastRenderedPageBreak/>
        <w:drawing>
          <wp:inline distT="0" distB="0" distL="0" distR="0" wp14:anchorId="10202635" wp14:editId="5EA4410C">
            <wp:extent cx="5943600" cy="25273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527300"/>
                    </a:xfrm>
                    <a:prstGeom prst="rect">
                      <a:avLst/>
                    </a:prstGeom>
                  </pic:spPr>
                </pic:pic>
              </a:graphicData>
            </a:graphic>
          </wp:inline>
        </w:drawing>
      </w:r>
    </w:p>
    <w:p w14:paraId="4C45C19C" w14:textId="56FCFFDD" w:rsidR="008B7902" w:rsidRDefault="00005A80" w:rsidP="001C7111">
      <w:pPr>
        <w:jc w:val="both"/>
        <w:rPr>
          <w:rFonts w:ascii="Times New Roman" w:hAnsi="Times New Roman" w:cs="Times New Roman"/>
          <w:sz w:val="24"/>
        </w:rPr>
      </w:pPr>
      <w:r w:rsidRPr="00005A80">
        <w:rPr>
          <w:rFonts w:ascii="Times New Roman" w:hAnsi="Times New Roman" w:cs="Times New Roman"/>
          <w:b/>
          <w:sz w:val="24"/>
        </w:rPr>
        <w:t>Figure S5</w:t>
      </w:r>
      <w:r w:rsidRPr="00005A80">
        <w:rPr>
          <w:rFonts w:ascii="Times New Roman" w:hAnsi="Times New Roman" w:cs="Times New Roman"/>
          <w:sz w:val="24"/>
        </w:rPr>
        <w:t>. Evaluation of the 30-gene signature based diagnostic model derived from AEC dataset. The diagnostic performance is presented in terms of AUC the precision-recall curve ((AUC-PR) in a) BECs, b) NECs, C) ASM, d) WB datasets. e) Different diagnostic performance measures including sensitivity, specificity, MCC and AUC values in various cell/ tissue types including BECs, NECs, and ASM and WB datasets.</w:t>
      </w:r>
    </w:p>
    <w:p w14:paraId="4D1BBB8A" w14:textId="77777777" w:rsidR="00005A80" w:rsidRDefault="00005A80" w:rsidP="001C7111">
      <w:pPr>
        <w:jc w:val="both"/>
        <w:rPr>
          <w:rFonts w:ascii="Times New Roman" w:hAnsi="Times New Roman" w:cs="Times New Roman"/>
          <w:sz w:val="24"/>
        </w:rPr>
      </w:pPr>
    </w:p>
    <w:p w14:paraId="27319C77" w14:textId="0BBFECD4" w:rsidR="008562F2" w:rsidRDefault="008562F2" w:rsidP="001C7111">
      <w:pPr>
        <w:jc w:val="both"/>
        <w:rPr>
          <w:rFonts w:ascii="Times New Roman" w:hAnsi="Times New Roman" w:cs="Times New Roman"/>
          <w:sz w:val="24"/>
        </w:rPr>
      </w:pPr>
      <w:r>
        <w:rPr>
          <w:noProof/>
        </w:rPr>
        <w:drawing>
          <wp:inline distT="0" distB="0" distL="0" distR="0" wp14:anchorId="5CED2C8C" wp14:editId="4E41AE73">
            <wp:extent cx="5943600" cy="26625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662555"/>
                    </a:xfrm>
                    <a:prstGeom prst="rect">
                      <a:avLst/>
                    </a:prstGeom>
                  </pic:spPr>
                </pic:pic>
              </a:graphicData>
            </a:graphic>
          </wp:inline>
        </w:drawing>
      </w:r>
    </w:p>
    <w:p w14:paraId="569CE9B1" w14:textId="77777777" w:rsidR="007D2FCE" w:rsidRPr="001A584F" w:rsidRDefault="007D2FCE">
      <w:pPr>
        <w:rPr>
          <w:rFonts w:ascii="Times New Roman" w:hAnsi="Times New Roman" w:cs="Times New Roman"/>
          <w:color w:val="FF0000"/>
        </w:rPr>
      </w:pPr>
    </w:p>
    <w:p w14:paraId="4C1B2BA2" w14:textId="184E6A3D" w:rsidR="00120029" w:rsidRDefault="00C3598D" w:rsidP="000A3476">
      <w:pPr>
        <w:rPr>
          <w:rFonts w:ascii="Times New Roman" w:hAnsi="Times New Roman" w:cs="Times New Roman"/>
          <w:color w:val="000000" w:themeColor="text1"/>
          <w:sz w:val="24"/>
        </w:rPr>
      </w:pPr>
      <w:r w:rsidRPr="00C3598D">
        <w:rPr>
          <w:rFonts w:ascii="Times New Roman" w:hAnsi="Times New Roman" w:cs="Times New Roman"/>
          <w:color w:val="FF0000"/>
          <w:sz w:val="24"/>
        </w:rPr>
        <w:t xml:space="preserve"> </w:t>
      </w:r>
      <w:r w:rsidR="00005A80" w:rsidRPr="00005A80">
        <w:rPr>
          <w:rFonts w:ascii="Times New Roman" w:hAnsi="Times New Roman" w:cs="Times New Roman"/>
          <w:b/>
          <w:color w:val="000000" w:themeColor="text1"/>
          <w:sz w:val="24"/>
        </w:rPr>
        <w:t>Figure S6</w:t>
      </w:r>
      <w:r w:rsidR="00005A80" w:rsidRPr="00005A80">
        <w:rPr>
          <w:rFonts w:ascii="Times New Roman" w:hAnsi="Times New Roman" w:cs="Times New Roman"/>
          <w:color w:val="000000" w:themeColor="text1"/>
          <w:sz w:val="24"/>
        </w:rPr>
        <w:t>. Evaluation of 34-gene signature based diagnostic model derived from NEC dataset. The diagnostic performance is presented in terms of AUC the precision-recall curve ((AUC-PR) in a) BECs, b) AECs, C) ASM, d) WB datasets. e) Different diagnostic performance measures including sensitivity, specificity, MCC and AUC values for various tissue types including BECs, AECs, and ASM and WB datasets.</w:t>
      </w:r>
    </w:p>
    <w:p w14:paraId="79D1AF91" w14:textId="74B8C15E" w:rsidR="004A46FE" w:rsidRDefault="00F53C08" w:rsidP="000A3476">
      <w:pPr>
        <w:rPr>
          <w:noProof/>
        </w:rPr>
      </w:pPr>
      <w:r>
        <w:rPr>
          <w:noProof/>
        </w:rPr>
        <w:lastRenderedPageBreak/>
        <w:drawing>
          <wp:inline distT="0" distB="0" distL="0" distR="0" wp14:anchorId="6EDF3A05" wp14:editId="328FFA22">
            <wp:extent cx="5943600" cy="47491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749165"/>
                    </a:xfrm>
                    <a:prstGeom prst="rect">
                      <a:avLst/>
                    </a:prstGeom>
                  </pic:spPr>
                </pic:pic>
              </a:graphicData>
            </a:graphic>
          </wp:inline>
        </w:drawing>
      </w:r>
    </w:p>
    <w:p w14:paraId="412C624B" w14:textId="42C2BF86" w:rsidR="00F53C08" w:rsidRDefault="004A46FE" w:rsidP="004A46FE">
      <w:pPr>
        <w:jc w:val="both"/>
        <w:rPr>
          <w:rFonts w:ascii="Times New Roman" w:hAnsi="Times New Roman" w:cs="Times New Roman"/>
          <w:sz w:val="24"/>
        </w:rPr>
      </w:pPr>
      <w:r w:rsidRPr="004A46FE">
        <w:rPr>
          <w:rFonts w:ascii="Times New Roman" w:hAnsi="Times New Roman" w:cs="Times New Roman"/>
          <w:b/>
          <w:sz w:val="24"/>
        </w:rPr>
        <w:t>Figure S7</w:t>
      </w:r>
      <w:r w:rsidRPr="004A46FE">
        <w:rPr>
          <w:rFonts w:ascii="Times New Roman" w:hAnsi="Times New Roman" w:cs="Times New Roman"/>
          <w:sz w:val="24"/>
        </w:rPr>
        <w:t xml:space="preserve">. </w:t>
      </w:r>
      <w:r w:rsidR="00F53C08" w:rsidRPr="00F53C08">
        <w:rPr>
          <w:rFonts w:ascii="Times New Roman" w:hAnsi="Times New Roman" w:cs="Times New Roman"/>
          <w:sz w:val="24"/>
        </w:rPr>
        <w:t>Comparison</w:t>
      </w:r>
      <w:r w:rsidR="00F53C08">
        <w:rPr>
          <w:rFonts w:ascii="Times New Roman" w:hAnsi="Times New Roman" w:cs="Times New Roman"/>
          <w:sz w:val="24"/>
        </w:rPr>
        <w:t xml:space="preserve"> DEGs+ WGCNA+ML approach with the standard DEGs+ML approach</w:t>
      </w:r>
      <w:r w:rsidR="00DA7A9A">
        <w:rPr>
          <w:rFonts w:ascii="Times New Roman" w:hAnsi="Times New Roman" w:cs="Times New Roman"/>
          <w:sz w:val="24"/>
        </w:rPr>
        <w:t>.</w:t>
      </w:r>
    </w:p>
    <w:p w14:paraId="167614AB" w14:textId="77777777" w:rsidR="0031248A" w:rsidRDefault="00DA7A9A" w:rsidP="004A46FE">
      <w:pPr>
        <w:jc w:val="both"/>
        <w:rPr>
          <w:rFonts w:ascii="Times New Roman" w:hAnsi="Times New Roman" w:cs="Times New Roman"/>
        </w:rPr>
      </w:pPr>
      <w:r w:rsidRPr="0031248A">
        <w:rPr>
          <w:rFonts w:ascii="Times New Roman" w:hAnsi="Times New Roman" w:cs="Times New Roman"/>
        </w:rPr>
        <w:t>The AUC values of top 30 prioritized genes obtained from different methods a</w:t>
      </w:r>
      <w:r w:rsidR="0031248A" w:rsidRPr="0031248A">
        <w:rPr>
          <w:rFonts w:ascii="Times New Roman" w:hAnsi="Times New Roman" w:cs="Times New Roman"/>
        </w:rPr>
        <w:t>) the</w:t>
      </w:r>
      <w:r w:rsidRPr="0031248A">
        <w:rPr>
          <w:rFonts w:ascii="Times New Roman" w:hAnsi="Times New Roman" w:cs="Times New Roman"/>
        </w:rPr>
        <w:t xml:space="preserve"> precision-recall curve (AUC-PR) of 30 top prioritized genes</w:t>
      </w:r>
      <w:r w:rsidR="0031248A" w:rsidRPr="0031248A">
        <w:rPr>
          <w:rFonts w:ascii="Times New Roman" w:hAnsi="Times New Roman" w:cs="Times New Roman"/>
        </w:rPr>
        <w:t xml:space="preserve"> b) </w:t>
      </w:r>
      <w:r w:rsidRPr="0031248A">
        <w:rPr>
          <w:rFonts w:ascii="Times New Roman" w:hAnsi="Times New Roman" w:cs="Times New Roman"/>
        </w:rPr>
        <w:t xml:space="preserve">  </w:t>
      </w:r>
      <w:r w:rsidR="0031248A" w:rsidRPr="0031248A">
        <w:rPr>
          <w:rFonts w:ascii="Times New Roman" w:hAnsi="Times New Roman" w:cs="Times New Roman"/>
        </w:rPr>
        <w:t xml:space="preserve">The AUC values of top 20 prioritized genes obtained from different methods c) the precision-recall curve (AUC-PR) of 20 top prioritized genes c) The AUC values of top 10 prioritized genes obtained from different methods d) the precision-recall curve (AUC-PR) of 30 top prioritized genes.  </w:t>
      </w:r>
    </w:p>
    <w:p w14:paraId="54263588" w14:textId="3EFA081C" w:rsidR="000D7D3B" w:rsidRPr="000D7D3B" w:rsidRDefault="0031248A" w:rsidP="000D7D3B">
      <w:pPr>
        <w:jc w:val="both"/>
        <w:rPr>
          <w:rFonts w:ascii="Times New Roman" w:hAnsi="Times New Roman" w:cs="Times New Roman"/>
          <w:sz w:val="24"/>
          <w:szCs w:val="24"/>
        </w:rPr>
      </w:pPr>
      <w:r w:rsidRPr="000D7D3B">
        <w:rPr>
          <w:rFonts w:ascii="Times New Roman" w:hAnsi="Times New Roman" w:cs="Times New Roman"/>
          <w:sz w:val="24"/>
          <w:szCs w:val="24"/>
        </w:rPr>
        <w:t>To select and rank genes we followed the following steps. Initially, filtering based on DEGs (</w:t>
      </w:r>
      <w:r w:rsidR="006C56D5" w:rsidRPr="000D7D3B">
        <w:rPr>
          <w:rFonts w:ascii="Times New Roman" w:hAnsi="Times New Roman" w:cs="Times New Roman"/>
          <w:sz w:val="24"/>
          <w:szCs w:val="24"/>
        </w:rPr>
        <w:t xml:space="preserve">3564 </w:t>
      </w:r>
      <w:r w:rsidRPr="000D7D3B">
        <w:rPr>
          <w:rFonts w:ascii="Times New Roman" w:hAnsi="Times New Roman" w:cs="Times New Roman"/>
          <w:sz w:val="24"/>
          <w:szCs w:val="24"/>
        </w:rPr>
        <w:t>DEGs) and filtering both DEGs and WGCNA methods (</w:t>
      </w:r>
      <w:r w:rsidR="006C56D5" w:rsidRPr="000D7D3B">
        <w:rPr>
          <w:rFonts w:ascii="Times New Roman" w:hAnsi="Times New Roman" w:cs="Times New Roman"/>
          <w:sz w:val="24"/>
          <w:szCs w:val="24"/>
        </w:rPr>
        <w:t>854 DCEGs</w:t>
      </w:r>
      <w:r w:rsidRPr="000D7D3B">
        <w:rPr>
          <w:rFonts w:ascii="Times New Roman" w:hAnsi="Times New Roman" w:cs="Times New Roman"/>
          <w:sz w:val="24"/>
          <w:szCs w:val="24"/>
        </w:rPr>
        <w:t>) were performed. Then</w:t>
      </w:r>
      <w:r w:rsidR="006C56D5" w:rsidRPr="000D7D3B">
        <w:rPr>
          <w:rFonts w:ascii="Times New Roman" w:hAnsi="Times New Roman" w:cs="Times New Roman"/>
          <w:sz w:val="24"/>
          <w:szCs w:val="24"/>
        </w:rPr>
        <w:t xml:space="preserve">, </w:t>
      </w:r>
      <w:r w:rsidR="005C759E" w:rsidRPr="000D7D3B">
        <w:rPr>
          <w:rFonts w:ascii="Times New Roman" w:hAnsi="Times New Roman" w:cs="Times New Roman"/>
          <w:sz w:val="24"/>
          <w:szCs w:val="24"/>
        </w:rPr>
        <w:t xml:space="preserve">we trained </w:t>
      </w:r>
      <w:r w:rsidR="006A2240" w:rsidRPr="000D7D3B">
        <w:rPr>
          <w:rFonts w:ascii="Times New Roman" w:hAnsi="Times New Roman" w:cs="Times New Roman"/>
          <w:sz w:val="24"/>
          <w:szCs w:val="24"/>
        </w:rPr>
        <w:t xml:space="preserve">four different algorithms to </w:t>
      </w:r>
      <w:r w:rsidR="005C759E" w:rsidRPr="000D7D3B">
        <w:rPr>
          <w:rFonts w:ascii="Times New Roman" w:hAnsi="Times New Roman" w:cs="Times New Roman"/>
          <w:sz w:val="24"/>
          <w:szCs w:val="24"/>
        </w:rPr>
        <w:t>prioritize and</w:t>
      </w:r>
      <w:r w:rsidR="006A2240" w:rsidRPr="000D7D3B">
        <w:rPr>
          <w:rFonts w:ascii="Times New Roman" w:hAnsi="Times New Roman" w:cs="Times New Roman"/>
          <w:sz w:val="24"/>
          <w:szCs w:val="24"/>
        </w:rPr>
        <w:t xml:space="preserve"> rank</w:t>
      </w:r>
      <w:r w:rsidR="005C759E" w:rsidRPr="000D7D3B">
        <w:rPr>
          <w:rFonts w:ascii="Times New Roman" w:hAnsi="Times New Roman" w:cs="Times New Roman"/>
          <w:sz w:val="24"/>
          <w:szCs w:val="24"/>
        </w:rPr>
        <w:t xml:space="preserve"> top 15, 20 and 30 genes from the list of DEG set ( n= 3564)</w:t>
      </w:r>
      <w:r w:rsidR="006862CD" w:rsidRPr="000D7D3B">
        <w:rPr>
          <w:rFonts w:ascii="Times New Roman" w:hAnsi="Times New Roman" w:cs="Times New Roman"/>
          <w:sz w:val="24"/>
          <w:szCs w:val="24"/>
        </w:rPr>
        <w:t xml:space="preserve"> based</w:t>
      </w:r>
      <w:r w:rsidR="006A2240" w:rsidRPr="000D7D3B">
        <w:rPr>
          <w:rFonts w:ascii="Times New Roman" w:hAnsi="Times New Roman" w:cs="Times New Roman"/>
          <w:sz w:val="24"/>
          <w:szCs w:val="24"/>
        </w:rPr>
        <w:t xml:space="preserve"> on </w:t>
      </w:r>
      <w:r w:rsidR="006862CD" w:rsidRPr="000D7D3B">
        <w:rPr>
          <w:rFonts w:ascii="Times New Roman" w:hAnsi="Times New Roman" w:cs="Times New Roman"/>
          <w:sz w:val="24"/>
          <w:szCs w:val="24"/>
        </w:rPr>
        <w:t xml:space="preserve"> the variable importance</w:t>
      </w:r>
      <w:r w:rsidR="004C2D58" w:rsidRPr="000D7D3B">
        <w:rPr>
          <w:rFonts w:ascii="Times New Roman" w:hAnsi="Times New Roman" w:cs="Times New Roman"/>
          <w:sz w:val="24"/>
          <w:szCs w:val="24"/>
        </w:rPr>
        <w:t xml:space="preserve"> DEGs </w:t>
      </w:r>
      <w:r w:rsidR="006862CD" w:rsidRPr="000D7D3B">
        <w:rPr>
          <w:rFonts w:ascii="Times New Roman" w:hAnsi="Times New Roman" w:cs="Times New Roman"/>
          <w:sz w:val="24"/>
          <w:szCs w:val="24"/>
        </w:rPr>
        <w:t xml:space="preserve"> </w:t>
      </w:r>
      <w:r w:rsidR="004C2D58" w:rsidRPr="000D7D3B">
        <w:rPr>
          <w:rFonts w:ascii="Times New Roman" w:hAnsi="Times New Roman" w:cs="Times New Roman"/>
          <w:sz w:val="24"/>
          <w:szCs w:val="24"/>
        </w:rPr>
        <w:t xml:space="preserve">in model. </w:t>
      </w:r>
      <w:r w:rsidR="005C759E" w:rsidRPr="000D7D3B">
        <w:rPr>
          <w:rFonts w:ascii="Times New Roman" w:hAnsi="Times New Roman" w:cs="Times New Roman"/>
          <w:sz w:val="24"/>
          <w:szCs w:val="24"/>
        </w:rPr>
        <w:t xml:space="preserve">Similarly, we also applied different machine learning method to rank 15, 20, and 30 prioritized genes from the list of DCEG set ( n = 854). </w:t>
      </w:r>
      <w:r w:rsidR="006862CD" w:rsidRPr="000D7D3B">
        <w:rPr>
          <w:rFonts w:ascii="Times New Roman" w:hAnsi="Times New Roman" w:cs="Times New Roman"/>
          <w:sz w:val="24"/>
          <w:szCs w:val="24"/>
        </w:rPr>
        <w:t>We used 5-time repeated 5-fold CV to optimize our models. To compare different model performance</w:t>
      </w:r>
      <w:r w:rsidR="00381406" w:rsidRPr="000D7D3B">
        <w:rPr>
          <w:rFonts w:ascii="Times New Roman" w:hAnsi="Times New Roman" w:cs="Times New Roman"/>
          <w:sz w:val="24"/>
          <w:szCs w:val="24"/>
        </w:rPr>
        <w:t xml:space="preserve">, that is genes obtained from DEG+ML </w:t>
      </w:r>
      <w:r w:rsidR="00100338" w:rsidRPr="000D7D3B">
        <w:rPr>
          <w:rFonts w:ascii="Times New Roman" w:hAnsi="Times New Roman" w:cs="Times New Roman"/>
          <w:sz w:val="24"/>
          <w:szCs w:val="24"/>
        </w:rPr>
        <w:t>and DEG</w:t>
      </w:r>
      <w:r w:rsidR="00381406" w:rsidRPr="000D7D3B">
        <w:rPr>
          <w:rFonts w:ascii="Times New Roman" w:hAnsi="Times New Roman" w:cs="Times New Roman"/>
          <w:sz w:val="24"/>
          <w:szCs w:val="24"/>
        </w:rPr>
        <w:t>+WGCNA+ML approaches</w:t>
      </w:r>
      <w:r w:rsidR="0072601D" w:rsidRPr="000D7D3B">
        <w:rPr>
          <w:rFonts w:ascii="Times New Roman" w:hAnsi="Times New Roman" w:cs="Times New Roman"/>
          <w:sz w:val="24"/>
          <w:szCs w:val="24"/>
        </w:rPr>
        <w:t xml:space="preserve"> evaluated based on various performance measures including </w:t>
      </w:r>
      <w:r w:rsidR="006C56D5" w:rsidRPr="000D7D3B">
        <w:rPr>
          <w:rFonts w:ascii="Times New Roman" w:hAnsi="Times New Roman" w:cs="Times New Roman"/>
          <w:sz w:val="24"/>
          <w:szCs w:val="24"/>
        </w:rPr>
        <w:t>AUC precision-recall curve (AUC-PR), sensitivity, specificit</w:t>
      </w:r>
      <w:r w:rsidR="0072601D" w:rsidRPr="000D7D3B">
        <w:rPr>
          <w:rFonts w:ascii="Times New Roman" w:hAnsi="Times New Roman" w:cs="Times New Roman"/>
          <w:sz w:val="24"/>
          <w:szCs w:val="24"/>
        </w:rPr>
        <w:t xml:space="preserve">y, and MCC and F-score values. DEGs+WGCNA+Lasso and DEGs+ Lasso method showed relatively consistent higher performance in discriminating asthmatic subjects from controls. On the other hand, when we apply RFE and Boruta method, DEG+ML </w:t>
      </w:r>
      <w:r w:rsidR="0072601D" w:rsidRPr="000D7D3B">
        <w:rPr>
          <w:rFonts w:ascii="Times New Roman" w:hAnsi="Times New Roman" w:cs="Times New Roman"/>
          <w:sz w:val="24"/>
          <w:szCs w:val="24"/>
        </w:rPr>
        <w:lastRenderedPageBreak/>
        <w:t>showed higher performance than DEG+WGCNA+ML approach.</w:t>
      </w:r>
      <w:r w:rsidR="000D7D3B" w:rsidRPr="000D7D3B">
        <w:rPr>
          <w:rFonts w:ascii="Times New Roman" w:hAnsi="Times New Roman" w:cs="Times New Roman"/>
          <w:sz w:val="24"/>
          <w:szCs w:val="24"/>
        </w:rPr>
        <w:t xml:space="preserve"> However, the </w:t>
      </w:r>
      <w:r w:rsidR="0072601D" w:rsidRPr="000D7D3B">
        <w:rPr>
          <w:rFonts w:ascii="Times New Roman" w:hAnsi="Times New Roman" w:cs="Times New Roman"/>
          <w:sz w:val="24"/>
          <w:szCs w:val="24"/>
        </w:rPr>
        <w:t>computational cost</w:t>
      </w:r>
      <w:r w:rsidR="000D7D3B" w:rsidRPr="000D7D3B">
        <w:rPr>
          <w:rFonts w:ascii="Times New Roman" w:hAnsi="Times New Roman" w:cs="Times New Roman"/>
          <w:sz w:val="24"/>
          <w:szCs w:val="24"/>
        </w:rPr>
        <w:t xml:space="preserve"> large features for RFE method is too high.  Overall, for our study we chose </w:t>
      </w:r>
      <w:r w:rsidR="0072601D" w:rsidRPr="000D7D3B">
        <w:rPr>
          <w:rFonts w:ascii="Times New Roman" w:hAnsi="Times New Roman" w:cs="Times New Roman"/>
          <w:sz w:val="24"/>
          <w:szCs w:val="24"/>
        </w:rPr>
        <w:t>DEG+WGCNA+</w:t>
      </w:r>
      <w:r w:rsidR="000D7D3B" w:rsidRPr="000D7D3B">
        <w:rPr>
          <w:rFonts w:ascii="Times New Roman" w:hAnsi="Times New Roman" w:cs="Times New Roman"/>
          <w:sz w:val="24"/>
          <w:szCs w:val="24"/>
        </w:rPr>
        <w:t xml:space="preserve">Lasso </w:t>
      </w:r>
      <w:r w:rsidR="0072601D" w:rsidRPr="000D7D3B">
        <w:rPr>
          <w:rFonts w:ascii="Times New Roman" w:hAnsi="Times New Roman" w:cs="Times New Roman"/>
          <w:sz w:val="24"/>
          <w:szCs w:val="24"/>
        </w:rPr>
        <w:t>to reduce computational cost and identify biologic</w:t>
      </w:r>
      <w:r w:rsidR="000D7D3B" w:rsidRPr="000D7D3B">
        <w:rPr>
          <w:rFonts w:ascii="Times New Roman" w:hAnsi="Times New Roman" w:cs="Times New Roman"/>
          <w:sz w:val="24"/>
          <w:szCs w:val="24"/>
        </w:rPr>
        <w:t>al relevant genes, and pathways. Hence</w:t>
      </w:r>
      <w:r w:rsidR="0072601D" w:rsidRPr="000D7D3B">
        <w:rPr>
          <w:rFonts w:ascii="Times New Roman" w:hAnsi="Times New Roman" w:cs="Times New Roman"/>
          <w:sz w:val="24"/>
          <w:szCs w:val="24"/>
        </w:rPr>
        <w:t>, we implemented DEG+WGCNA+Lasso model to select candidate genes for dow</w:t>
      </w:r>
      <w:r w:rsidR="000D7D3B" w:rsidRPr="000D7D3B">
        <w:rPr>
          <w:rFonts w:ascii="Times New Roman" w:hAnsi="Times New Roman" w:cs="Times New Roman"/>
          <w:sz w:val="24"/>
          <w:szCs w:val="24"/>
        </w:rPr>
        <w:t>nstream analyses and validation.</w:t>
      </w:r>
    </w:p>
    <w:p w14:paraId="1B7E0652" w14:textId="1F64D794" w:rsidR="0072601D" w:rsidRDefault="0072601D" w:rsidP="0072601D">
      <w:pPr>
        <w:jc w:val="both"/>
        <w:rPr>
          <w:rFonts w:ascii="Times New Roman" w:hAnsi="Times New Roman" w:cs="Times New Roman"/>
          <w:sz w:val="24"/>
        </w:rPr>
      </w:pPr>
    </w:p>
    <w:sectPr w:rsidR="00726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69"/>
    <w:rsid w:val="00005A80"/>
    <w:rsid w:val="00006E57"/>
    <w:rsid w:val="000124EF"/>
    <w:rsid w:val="000415ED"/>
    <w:rsid w:val="00095F9B"/>
    <w:rsid w:val="000A3476"/>
    <w:rsid w:val="000B19AB"/>
    <w:rsid w:val="000B1F2A"/>
    <w:rsid w:val="000B2E49"/>
    <w:rsid w:val="000C20F9"/>
    <w:rsid w:val="000D7D3B"/>
    <w:rsid w:val="00100338"/>
    <w:rsid w:val="00103061"/>
    <w:rsid w:val="0011584F"/>
    <w:rsid w:val="00120029"/>
    <w:rsid w:val="00122467"/>
    <w:rsid w:val="0013190C"/>
    <w:rsid w:val="00150269"/>
    <w:rsid w:val="00162E16"/>
    <w:rsid w:val="001669FB"/>
    <w:rsid w:val="00183533"/>
    <w:rsid w:val="00191AB1"/>
    <w:rsid w:val="001A584F"/>
    <w:rsid w:val="001A7ACF"/>
    <w:rsid w:val="001C7111"/>
    <w:rsid w:val="001D2A19"/>
    <w:rsid w:val="001D6CD6"/>
    <w:rsid w:val="001E066F"/>
    <w:rsid w:val="001E7DC8"/>
    <w:rsid w:val="001F0C88"/>
    <w:rsid w:val="001F6859"/>
    <w:rsid w:val="00222905"/>
    <w:rsid w:val="00225E9F"/>
    <w:rsid w:val="00225FBF"/>
    <w:rsid w:val="002271A4"/>
    <w:rsid w:val="002312C5"/>
    <w:rsid w:val="00236E2B"/>
    <w:rsid w:val="0024210E"/>
    <w:rsid w:val="002518C7"/>
    <w:rsid w:val="002642A6"/>
    <w:rsid w:val="00285A30"/>
    <w:rsid w:val="002967AB"/>
    <w:rsid w:val="002B40A3"/>
    <w:rsid w:val="002C6220"/>
    <w:rsid w:val="00307AC6"/>
    <w:rsid w:val="0031248A"/>
    <w:rsid w:val="00332448"/>
    <w:rsid w:val="00334651"/>
    <w:rsid w:val="00347FF5"/>
    <w:rsid w:val="00354A0A"/>
    <w:rsid w:val="00373261"/>
    <w:rsid w:val="00381406"/>
    <w:rsid w:val="00394D53"/>
    <w:rsid w:val="00394FB5"/>
    <w:rsid w:val="003A407B"/>
    <w:rsid w:val="003C3F28"/>
    <w:rsid w:val="003D4EED"/>
    <w:rsid w:val="004020B5"/>
    <w:rsid w:val="004259B4"/>
    <w:rsid w:val="004301DB"/>
    <w:rsid w:val="004365DC"/>
    <w:rsid w:val="00493069"/>
    <w:rsid w:val="004A46FE"/>
    <w:rsid w:val="004A54BE"/>
    <w:rsid w:val="004C2D58"/>
    <w:rsid w:val="0052203E"/>
    <w:rsid w:val="00542A60"/>
    <w:rsid w:val="00571CB1"/>
    <w:rsid w:val="00591AF0"/>
    <w:rsid w:val="005A196F"/>
    <w:rsid w:val="005C759E"/>
    <w:rsid w:val="005D6E2F"/>
    <w:rsid w:val="005E038C"/>
    <w:rsid w:val="005F4429"/>
    <w:rsid w:val="00617800"/>
    <w:rsid w:val="00626EF5"/>
    <w:rsid w:val="0064484B"/>
    <w:rsid w:val="00664A87"/>
    <w:rsid w:val="00673A60"/>
    <w:rsid w:val="006862CD"/>
    <w:rsid w:val="006A0A34"/>
    <w:rsid w:val="006A2240"/>
    <w:rsid w:val="006A3FBD"/>
    <w:rsid w:val="006A693A"/>
    <w:rsid w:val="006C56D5"/>
    <w:rsid w:val="006E44B3"/>
    <w:rsid w:val="007024E9"/>
    <w:rsid w:val="00704352"/>
    <w:rsid w:val="0070604E"/>
    <w:rsid w:val="00713AFB"/>
    <w:rsid w:val="00714970"/>
    <w:rsid w:val="00717589"/>
    <w:rsid w:val="00723215"/>
    <w:rsid w:val="0072601D"/>
    <w:rsid w:val="00741934"/>
    <w:rsid w:val="00790629"/>
    <w:rsid w:val="007B1629"/>
    <w:rsid w:val="007B39B6"/>
    <w:rsid w:val="007D2FCE"/>
    <w:rsid w:val="007F7CFE"/>
    <w:rsid w:val="00811D09"/>
    <w:rsid w:val="00834E8F"/>
    <w:rsid w:val="00846AF2"/>
    <w:rsid w:val="00851B97"/>
    <w:rsid w:val="008562F2"/>
    <w:rsid w:val="00856DFF"/>
    <w:rsid w:val="00882E9E"/>
    <w:rsid w:val="00886D5B"/>
    <w:rsid w:val="0089195B"/>
    <w:rsid w:val="008B7902"/>
    <w:rsid w:val="008C2726"/>
    <w:rsid w:val="008E78E7"/>
    <w:rsid w:val="00922692"/>
    <w:rsid w:val="00926896"/>
    <w:rsid w:val="00940E30"/>
    <w:rsid w:val="00952A99"/>
    <w:rsid w:val="00954129"/>
    <w:rsid w:val="00970217"/>
    <w:rsid w:val="009A3BBB"/>
    <w:rsid w:val="009A76D8"/>
    <w:rsid w:val="009B0F52"/>
    <w:rsid w:val="009C05E4"/>
    <w:rsid w:val="009C0EC0"/>
    <w:rsid w:val="009C4130"/>
    <w:rsid w:val="009E4392"/>
    <w:rsid w:val="00A05AC9"/>
    <w:rsid w:val="00A27750"/>
    <w:rsid w:val="00A63F09"/>
    <w:rsid w:val="00AD46B0"/>
    <w:rsid w:val="00AE0AF4"/>
    <w:rsid w:val="00AF0899"/>
    <w:rsid w:val="00B032AC"/>
    <w:rsid w:val="00B04554"/>
    <w:rsid w:val="00B64D89"/>
    <w:rsid w:val="00B84EBE"/>
    <w:rsid w:val="00B9270C"/>
    <w:rsid w:val="00BA4A60"/>
    <w:rsid w:val="00BA4BF8"/>
    <w:rsid w:val="00BB7831"/>
    <w:rsid w:val="00BC6D54"/>
    <w:rsid w:val="00BE5555"/>
    <w:rsid w:val="00C3131C"/>
    <w:rsid w:val="00C3598D"/>
    <w:rsid w:val="00C56CAF"/>
    <w:rsid w:val="00C603DD"/>
    <w:rsid w:val="00C746EE"/>
    <w:rsid w:val="00C77ACA"/>
    <w:rsid w:val="00C9595A"/>
    <w:rsid w:val="00CE2E2C"/>
    <w:rsid w:val="00CE30F2"/>
    <w:rsid w:val="00CE3E29"/>
    <w:rsid w:val="00D21283"/>
    <w:rsid w:val="00D23E96"/>
    <w:rsid w:val="00D56DC5"/>
    <w:rsid w:val="00D63FAD"/>
    <w:rsid w:val="00D75D8E"/>
    <w:rsid w:val="00D82ADF"/>
    <w:rsid w:val="00DA26F6"/>
    <w:rsid w:val="00DA69B8"/>
    <w:rsid w:val="00DA7A9A"/>
    <w:rsid w:val="00DC1245"/>
    <w:rsid w:val="00DC7F73"/>
    <w:rsid w:val="00E13055"/>
    <w:rsid w:val="00E41B1F"/>
    <w:rsid w:val="00E55734"/>
    <w:rsid w:val="00E65304"/>
    <w:rsid w:val="00E765C7"/>
    <w:rsid w:val="00E848B1"/>
    <w:rsid w:val="00EB4E38"/>
    <w:rsid w:val="00EB73F0"/>
    <w:rsid w:val="00ED3841"/>
    <w:rsid w:val="00EE547E"/>
    <w:rsid w:val="00EF5A5E"/>
    <w:rsid w:val="00F06F61"/>
    <w:rsid w:val="00F31110"/>
    <w:rsid w:val="00F53C08"/>
    <w:rsid w:val="00F85B2A"/>
    <w:rsid w:val="00FA10E6"/>
    <w:rsid w:val="00FA4BBF"/>
    <w:rsid w:val="00FE1280"/>
    <w:rsid w:val="00FE332A"/>
    <w:rsid w:val="00FE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D5EC"/>
  <w15:chartTrackingRefBased/>
  <w15:docId w15:val="{584642DE-827B-4F1E-994B-4576EED1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3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D4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40039">
      <w:bodyDiv w:val="1"/>
      <w:marLeft w:val="0"/>
      <w:marRight w:val="0"/>
      <w:marTop w:val="0"/>
      <w:marBottom w:val="0"/>
      <w:divBdr>
        <w:top w:val="none" w:sz="0" w:space="0" w:color="auto"/>
        <w:left w:val="none" w:sz="0" w:space="0" w:color="auto"/>
        <w:bottom w:val="none" w:sz="0" w:space="0" w:color="auto"/>
        <w:right w:val="none" w:sz="0" w:space="0" w:color="auto"/>
      </w:divBdr>
    </w:div>
    <w:div w:id="365645361">
      <w:bodyDiv w:val="1"/>
      <w:marLeft w:val="0"/>
      <w:marRight w:val="0"/>
      <w:marTop w:val="0"/>
      <w:marBottom w:val="0"/>
      <w:divBdr>
        <w:top w:val="none" w:sz="0" w:space="0" w:color="auto"/>
        <w:left w:val="none" w:sz="0" w:space="0" w:color="auto"/>
        <w:bottom w:val="none" w:sz="0" w:space="0" w:color="auto"/>
        <w:right w:val="none" w:sz="0" w:space="0" w:color="auto"/>
      </w:divBdr>
    </w:div>
    <w:div w:id="5426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37FE8-3EA3-4FB4-B023-38FFEEE2C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Cincinnati Children's Hospital</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Dessie, Eskezeia</dc:creator>
  <cp:keywords/>
  <dc:description/>
  <cp:lastModifiedBy>Dessie, Eskezeia</cp:lastModifiedBy>
  <cp:revision>2</cp:revision>
  <cp:lastPrinted>2023-03-14T21:46:00Z</cp:lastPrinted>
  <dcterms:created xsi:type="dcterms:W3CDTF">2023-05-12T17:44:00Z</dcterms:created>
  <dcterms:modified xsi:type="dcterms:W3CDTF">2023-05-12T17:44:00Z</dcterms:modified>
</cp:coreProperties>
</file>