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1420" w:type="dxa"/>
        <w:tblInd w:w="-1167" w:type="dxa"/>
        <w:tblLook w:val="04A0" w:firstRow="1" w:lastRow="0" w:firstColumn="1" w:lastColumn="0" w:noHBand="0" w:noVBand="1"/>
      </w:tblPr>
      <w:tblGrid>
        <w:gridCol w:w="1375"/>
        <w:gridCol w:w="934"/>
        <w:gridCol w:w="934"/>
        <w:gridCol w:w="934"/>
        <w:gridCol w:w="937"/>
        <w:gridCol w:w="937"/>
        <w:gridCol w:w="941"/>
        <w:gridCol w:w="872"/>
        <w:gridCol w:w="872"/>
        <w:gridCol w:w="872"/>
        <w:gridCol w:w="872"/>
        <w:gridCol w:w="940"/>
      </w:tblGrid>
      <w:tr w:rsidR="00AD2CC0" w:rsidRPr="002D195F" w:rsidTr="004D6914">
        <w:trPr>
          <w:trHeight w:val="451"/>
        </w:trPr>
        <w:tc>
          <w:tcPr>
            <w:tcW w:w="1375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34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PI (IQR)</w:t>
            </w:r>
          </w:p>
        </w:tc>
        <w:tc>
          <w:tcPr>
            <w:tcW w:w="934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VMI 100 keV (IQR)</w:t>
            </w:r>
          </w:p>
        </w:tc>
        <w:tc>
          <w:tcPr>
            <w:tcW w:w="934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VMI 130 keV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(IQR)</w:t>
            </w:r>
          </w:p>
        </w:tc>
        <w:tc>
          <w:tcPr>
            <w:tcW w:w="937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VMI 160 keV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(IQR)</w:t>
            </w:r>
          </w:p>
        </w:tc>
        <w:tc>
          <w:tcPr>
            <w:tcW w:w="937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VMI 190 keV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(IQR)</w:t>
            </w:r>
          </w:p>
        </w:tc>
        <w:tc>
          <w:tcPr>
            <w:tcW w:w="941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IMAR PI (IQR)</w:t>
            </w:r>
          </w:p>
        </w:tc>
        <w:tc>
          <w:tcPr>
            <w:tcW w:w="872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IMAR + VMI 100 keV (IQR)</w:t>
            </w:r>
          </w:p>
        </w:tc>
        <w:tc>
          <w:tcPr>
            <w:tcW w:w="872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IMAR + VMI 130 keV (IQR)</w:t>
            </w:r>
          </w:p>
        </w:tc>
        <w:tc>
          <w:tcPr>
            <w:tcW w:w="872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IMAR + VMI 160 keV (IQR)</w:t>
            </w:r>
          </w:p>
        </w:tc>
        <w:tc>
          <w:tcPr>
            <w:tcW w:w="872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IMAR + VMI 190 keV (IQR)</w:t>
            </w:r>
          </w:p>
        </w:tc>
        <w:tc>
          <w:tcPr>
            <w:tcW w:w="940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ICC (95% CI)</w:t>
            </w:r>
          </w:p>
        </w:tc>
      </w:tr>
      <w:tr w:rsidR="00AD2CC0" w:rsidRPr="002D195F" w:rsidTr="004D6914">
        <w:trPr>
          <w:trHeight w:val="306"/>
        </w:trPr>
        <w:tc>
          <w:tcPr>
            <w:tcW w:w="1375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Extent of hypodense artifacts</w:t>
            </w:r>
          </w:p>
        </w:tc>
        <w:tc>
          <w:tcPr>
            <w:tcW w:w="934" w:type="dxa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 (1-1)</w:t>
            </w:r>
          </w:p>
        </w:tc>
        <w:tc>
          <w:tcPr>
            <w:tcW w:w="934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2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(2-2)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4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2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(2-3)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7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2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(2-3)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7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 xml:space="preserve">2 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41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40" w:type="dxa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0.963 (0.955-0.970)</w:t>
            </w:r>
          </w:p>
        </w:tc>
      </w:tr>
      <w:tr w:rsidR="00AD2CC0" w:rsidRPr="008D1CE0" w:rsidTr="004D6914">
        <w:trPr>
          <w:trHeight w:val="298"/>
        </w:trPr>
        <w:tc>
          <w:tcPr>
            <w:tcW w:w="1375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Extent of hyperdense artifacts</w:t>
            </w:r>
          </w:p>
        </w:tc>
        <w:tc>
          <w:tcPr>
            <w:tcW w:w="934" w:type="dxa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 (1-2)</w:t>
            </w:r>
          </w:p>
        </w:tc>
        <w:tc>
          <w:tcPr>
            <w:tcW w:w="934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2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(2-3)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4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2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(2-3)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7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 xml:space="preserve">2 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7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 xml:space="preserve">2 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41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(4-4)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40" w:type="dxa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0.956 (0.946-0.965)</w:t>
            </w:r>
          </w:p>
        </w:tc>
      </w:tr>
      <w:tr w:rsidR="00AD2CC0" w:rsidRPr="002D195F" w:rsidTr="004D6914">
        <w:trPr>
          <w:trHeight w:val="306"/>
        </w:trPr>
        <w:tc>
          <w:tcPr>
            <w:tcW w:w="1375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Diagnostic quality of muscle tissue</w:t>
            </w:r>
          </w:p>
        </w:tc>
        <w:tc>
          <w:tcPr>
            <w:tcW w:w="934" w:type="dxa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 (1-1)</w:t>
            </w:r>
          </w:p>
        </w:tc>
        <w:tc>
          <w:tcPr>
            <w:tcW w:w="934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 xml:space="preserve">2 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4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 xml:space="preserve">2 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7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2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(2-3)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7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2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(2-3)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41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(4-4)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40" w:type="dxa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0.953 (0.942-0.962)</w:t>
            </w:r>
          </w:p>
        </w:tc>
      </w:tr>
      <w:tr w:rsidR="00AD2CC0" w:rsidRPr="001C37F4" w:rsidTr="004D6914">
        <w:trPr>
          <w:trHeight w:val="298"/>
        </w:trPr>
        <w:tc>
          <w:tcPr>
            <w:tcW w:w="1375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Diagnostic quality of bone tissue</w:t>
            </w:r>
          </w:p>
        </w:tc>
        <w:tc>
          <w:tcPr>
            <w:tcW w:w="934" w:type="dxa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 (1-1)</w:t>
            </w:r>
          </w:p>
        </w:tc>
        <w:tc>
          <w:tcPr>
            <w:tcW w:w="934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2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(1-3)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4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2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(2-2)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7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 xml:space="preserve">2 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7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2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(2-3)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41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(3.75-4)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40" w:type="dxa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0.976 (0.970-0.981)</w:t>
            </w:r>
          </w:p>
        </w:tc>
      </w:tr>
      <w:tr w:rsidR="00AD2CC0" w:rsidRPr="002D195F" w:rsidTr="004D6914">
        <w:trPr>
          <w:trHeight w:val="306"/>
        </w:trPr>
        <w:tc>
          <w:tcPr>
            <w:tcW w:w="1375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Diagnostic quality of the bladder</w:t>
            </w:r>
          </w:p>
        </w:tc>
        <w:tc>
          <w:tcPr>
            <w:tcW w:w="934" w:type="dxa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1.5 (1-2)</w:t>
            </w:r>
          </w:p>
        </w:tc>
        <w:tc>
          <w:tcPr>
            <w:tcW w:w="934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3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(2-3)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4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3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(2-3)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7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3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(2-3)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7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3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(2-3)</w:t>
            </w: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41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(4-4)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4.5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40" w:type="dxa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0.915 (0.895-0.931)</w:t>
            </w:r>
          </w:p>
        </w:tc>
      </w:tr>
      <w:tr w:rsidR="00AD2CC0" w:rsidRPr="002D195F" w:rsidTr="004D6914">
        <w:trPr>
          <w:trHeight w:val="298"/>
        </w:trPr>
        <w:tc>
          <w:tcPr>
            <w:tcW w:w="1375" w:type="dxa"/>
            <w:shd w:val="clear" w:color="auto" w:fill="E7E6E6" w:themeFill="background2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Diagnostic quality of the iliac vessels</w:t>
            </w:r>
          </w:p>
        </w:tc>
        <w:tc>
          <w:tcPr>
            <w:tcW w:w="934" w:type="dxa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</w:t>
            </w: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(1-3)</w:t>
            </w:r>
          </w:p>
        </w:tc>
        <w:tc>
          <w:tcPr>
            <w:tcW w:w="934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 xml:space="preserve">3  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(2-4)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4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 xml:space="preserve">3 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(2-4)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7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 xml:space="preserve">3 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(3-4)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37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 xml:space="preserve">3 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(3-4)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41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4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872" w:type="dxa"/>
          </w:tcPr>
          <w:p w:rsidR="00AD2CC0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(4-5)</w:t>
            </w:r>
          </w:p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9080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(p &lt; 0.0001)</w:t>
            </w:r>
          </w:p>
        </w:tc>
        <w:tc>
          <w:tcPr>
            <w:tcW w:w="940" w:type="dxa"/>
          </w:tcPr>
          <w:p w:rsidR="00AD2CC0" w:rsidRPr="00730638" w:rsidRDefault="00AD2CC0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3063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0.909 (0.889-0.926)</w:t>
            </w:r>
          </w:p>
        </w:tc>
      </w:tr>
    </w:tbl>
    <w:p w:rsidR="00AD2CC0" w:rsidRPr="00730638" w:rsidRDefault="00AD2CC0" w:rsidP="00AD2CC0">
      <w:pPr>
        <w:spacing w:line="480" w:lineRule="auto"/>
        <w:jc w:val="both"/>
        <w:rPr>
          <w:b/>
          <w:sz w:val="24"/>
          <w:szCs w:val="24"/>
          <w:lang w:val="en-US"/>
        </w:rPr>
      </w:pPr>
    </w:p>
    <w:p w:rsidR="00AD2CC0" w:rsidRPr="00594B5F" w:rsidRDefault="00AD2CC0" w:rsidP="00AD2CC0">
      <w:pPr>
        <w:spacing w:line="480" w:lineRule="auto"/>
        <w:jc w:val="both"/>
        <w:rPr>
          <w:rFonts w:cstheme="minorHAnsi"/>
          <w:color w:val="FF0000"/>
          <w:sz w:val="24"/>
          <w:szCs w:val="24"/>
          <w:lang w:val="en-US"/>
        </w:rPr>
      </w:pPr>
      <w:r>
        <w:rPr>
          <w:rFonts w:cstheme="minorHAnsi"/>
          <w:b/>
          <w:color w:val="000000" w:themeColor="text1"/>
          <w:sz w:val="24"/>
          <w:szCs w:val="24"/>
          <w:lang w:val="en-US"/>
        </w:rPr>
        <w:t>Supplementary Information 2</w:t>
      </w:r>
      <w:r w:rsidRPr="00594B5F">
        <w:rPr>
          <w:rFonts w:cstheme="minorHAnsi"/>
          <w:color w:val="000000" w:themeColor="text1"/>
          <w:sz w:val="24"/>
          <w:szCs w:val="24"/>
          <w:lang w:val="en-US"/>
        </w:rPr>
        <w:t>: Median and interquartile range (IQR) of overall qualitative image ratings</w:t>
      </w:r>
      <w:r w:rsidRPr="00594B5F">
        <w:rPr>
          <w:rFonts w:cstheme="minorHAnsi"/>
          <w:sz w:val="24"/>
          <w:szCs w:val="24"/>
          <w:lang w:val="en-US"/>
        </w:rPr>
        <w:t xml:space="preserve"> for </w:t>
      </w:r>
      <w:proofErr w:type="spellStart"/>
      <w:r w:rsidRPr="00594B5F">
        <w:rPr>
          <w:rFonts w:cstheme="minorHAnsi"/>
          <w:sz w:val="24"/>
          <w:szCs w:val="24"/>
          <w:lang w:val="en-US"/>
        </w:rPr>
        <w:t>polyenergetic</w:t>
      </w:r>
      <w:proofErr w:type="spellEnd"/>
      <w:r w:rsidRPr="00594B5F">
        <w:rPr>
          <w:rFonts w:cstheme="minorHAnsi"/>
          <w:sz w:val="24"/>
          <w:szCs w:val="24"/>
          <w:lang w:val="en-US"/>
        </w:rPr>
        <w:t xml:space="preserve"> reconstruction (PI) and virtual monoenergetic images (VMI) with and without iterative metal artifact reduction (IMAR)</w:t>
      </w:r>
      <w:r w:rsidRPr="00594B5F">
        <w:rPr>
          <w:rFonts w:cstheme="minorHAnsi"/>
          <w:color w:val="000000" w:themeColor="text1"/>
          <w:sz w:val="24"/>
          <w:szCs w:val="24"/>
          <w:lang w:val="en-US"/>
        </w:rPr>
        <w:t xml:space="preserve">. </w:t>
      </w:r>
      <w:r w:rsidRPr="00594B5F">
        <w:rPr>
          <w:rFonts w:cstheme="minorHAnsi"/>
          <w:sz w:val="24"/>
          <w:szCs w:val="24"/>
          <w:lang w:val="en-US"/>
        </w:rPr>
        <w:t xml:space="preserve">Intraclass correlation coefficient (ICC) estimates and their 95% confident </w:t>
      </w:r>
      <w:r w:rsidRPr="00594B5F">
        <w:rPr>
          <w:rFonts w:cstheme="minorHAnsi"/>
          <w:color w:val="000000" w:themeColor="text1"/>
          <w:sz w:val="24"/>
          <w:szCs w:val="24"/>
          <w:lang w:val="en-US"/>
        </w:rPr>
        <w:t>intervals were calculated</w:t>
      </w:r>
      <w:r w:rsidRPr="00594B5F">
        <w:rPr>
          <w:rFonts w:cstheme="minorHAnsi"/>
          <w:sz w:val="24"/>
          <w:szCs w:val="24"/>
          <w:lang w:val="en-US"/>
        </w:rPr>
        <w:t xml:space="preserve">. ICC calculation is based on a </w:t>
      </w:r>
      <w:proofErr w:type="gramStart"/>
      <w:r w:rsidRPr="00594B5F">
        <w:rPr>
          <w:rFonts w:cstheme="minorHAnsi"/>
          <w:sz w:val="24"/>
          <w:szCs w:val="24"/>
          <w:lang w:val="en-US"/>
        </w:rPr>
        <w:t>mean-rating</w:t>
      </w:r>
      <w:proofErr w:type="gramEnd"/>
      <w:r w:rsidRPr="00594B5F">
        <w:rPr>
          <w:rFonts w:cstheme="minorHAnsi"/>
          <w:sz w:val="24"/>
          <w:szCs w:val="24"/>
          <w:lang w:val="en-US"/>
        </w:rPr>
        <w:t xml:space="preserve"> (k=2), consistency, two-way mixed-effects model. </w:t>
      </w:r>
    </w:p>
    <w:p w:rsidR="008F334C" w:rsidRPr="008318AB" w:rsidRDefault="008F334C" w:rsidP="001F188F">
      <w:pPr>
        <w:pStyle w:val="StandardWeb"/>
        <w:shd w:val="clear" w:color="auto" w:fill="FFFFFF"/>
        <w:spacing w:line="480" w:lineRule="auto"/>
        <w:jc w:val="both"/>
        <w:rPr>
          <w:rFonts w:asciiTheme="minorHAnsi" w:hAnsiTheme="minorHAnsi" w:cstheme="minorHAnsi"/>
          <w:lang w:val="en-US"/>
        </w:rPr>
      </w:pPr>
      <w:bookmarkStart w:id="0" w:name="_GoBack"/>
      <w:bookmarkEnd w:id="0"/>
    </w:p>
    <w:p w:rsidR="00BB332C" w:rsidRPr="001F188F" w:rsidRDefault="00BB332C">
      <w:pPr>
        <w:rPr>
          <w:lang w:val="en-CA"/>
        </w:rPr>
      </w:pPr>
    </w:p>
    <w:sectPr w:rsidR="00BB332C" w:rsidRPr="001F18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8F"/>
    <w:rsid w:val="001F188F"/>
    <w:rsid w:val="008F334C"/>
    <w:rsid w:val="00AD2CC0"/>
    <w:rsid w:val="00BB332C"/>
    <w:rsid w:val="00CD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35AC1"/>
  <w15:chartTrackingRefBased/>
  <w15:docId w15:val="{5023551A-FD10-4E57-93AC-A6B17535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F188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F188F"/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1F1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 Bonn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Layer Yannik</dc:creator>
  <cp:keywords/>
  <dc:description/>
  <cp:lastModifiedBy>Layer Yannik</cp:lastModifiedBy>
  <cp:revision>2</cp:revision>
  <dcterms:created xsi:type="dcterms:W3CDTF">2023-04-03T11:36:00Z</dcterms:created>
  <dcterms:modified xsi:type="dcterms:W3CDTF">2023-04-03T11:36:00Z</dcterms:modified>
</cp:coreProperties>
</file>