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3199A" w14:textId="5AC6740B" w:rsidR="00183A50" w:rsidRDefault="00183A50" w:rsidP="00183A5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napToGrid w:val="0"/>
          <w:sz w:val="24"/>
          <w:szCs w:val="24"/>
          <w:lang w:val="en-US" w:eastAsia="de-DE" w:bidi="en-US"/>
        </w:rPr>
      </w:pPr>
      <w:r>
        <w:rPr>
          <w:rFonts w:ascii="Times New Roman" w:eastAsia="Times New Roman" w:hAnsi="Times New Roman"/>
          <w:b/>
          <w:bCs/>
          <w:snapToGrid w:val="0"/>
          <w:sz w:val="24"/>
          <w:szCs w:val="24"/>
          <w:lang w:val="en-US" w:eastAsia="de-DE" w:bidi="en-US"/>
        </w:rPr>
        <w:t>SUPPLEMENTARY MATERIAL</w:t>
      </w:r>
    </w:p>
    <w:p w14:paraId="1C0FFE90" w14:textId="77777777" w:rsidR="00183A50" w:rsidRDefault="00183A50" w:rsidP="00B26D6A">
      <w:pPr>
        <w:spacing w:after="0" w:line="360" w:lineRule="auto"/>
        <w:jc w:val="both"/>
        <w:rPr>
          <w:rFonts w:ascii="Times New Roman" w:eastAsia="Times New Roman" w:hAnsi="Times New Roman"/>
          <w:b/>
          <w:bCs/>
          <w:snapToGrid w:val="0"/>
          <w:sz w:val="24"/>
          <w:szCs w:val="24"/>
          <w:lang w:val="en-US" w:eastAsia="de-DE" w:bidi="en-US"/>
        </w:rPr>
      </w:pPr>
    </w:p>
    <w:p w14:paraId="21D50DE5" w14:textId="30DE95AD" w:rsidR="00B26D6A" w:rsidRDefault="00B26D6A" w:rsidP="00183A50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</w:pPr>
      <w:r w:rsidRPr="00AD018C">
        <w:rPr>
          <w:rFonts w:ascii="Times New Roman" w:eastAsia="Times New Roman" w:hAnsi="Times New Roman"/>
          <w:b/>
          <w:bCs/>
          <w:snapToGrid w:val="0"/>
          <w:sz w:val="24"/>
          <w:szCs w:val="24"/>
          <w:lang w:val="en-US" w:eastAsia="de-DE" w:bidi="en-US"/>
        </w:rPr>
        <w:t xml:space="preserve">Table S1. </w:t>
      </w:r>
      <w:bookmarkStart w:id="0" w:name="_Hlk134030789"/>
      <w:r w:rsidRPr="00AD018C">
        <w:rPr>
          <w:rFonts w:ascii="Times New Roman" w:hAnsi="Times New Roman"/>
          <w:sz w:val="24"/>
          <w:szCs w:val="24"/>
          <w:lang w:val="en-US"/>
        </w:rPr>
        <w:t>Median (50</w:t>
      </w:r>
      <w:r w:rsidRPr="00AD018C">
        <w:rPr>
          <w:rFonts w:ascii="Times New Roman" w:hAnsi="Times New Roman"/>
          <w:sz w:val="24"/>
          <w:szCs w:val="24"/>
          <w:vertAlign w:val="superscript"/>
          <w:lang w:val="en-US"/>
        </w:rPr>
        <w:t>th</w:t>
      </w:r>
      <w:r w:rsidRPr="00AD018C">
        <w:rPr>
          <w:rFonts w:ascii="Times New Roman" w:hAnsi="Times New Roman"/>
          <w:sz w:val="24"/>
          <w:szCs w:val="24"/>
          <w:lang w:val="en-US"/>
        </w:rPr>
        <w:t xml:space="preserve">) and interquartile range (IQR) cerebrospinal fluid </w:t>
      </w:r>
      <w:r w:rsidRPr="00AD018C"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  <w:t xml:space="preserve">levels of amyloid beta, total and phosphorylated Tau in </w:t>
      </w:r>
      <w:r w:rsidR="00852974" w:rsidRPr="00AD018C"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  <w:t xml:space="preserve">the 54 </w:t>
      </w:r>
      <w:r w:rsidRPr="00AD018C"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  <w:t xml:space="preserve">study </w:t>
      </w:r>
      <w:r w:rsidR="00852974" w:rsidRPr="00AD018C"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  <w:t>participants</w:t>
      </w:r>
      <w:bookmarkEnd w:id="0"/>
      <w:r w:rsidRPr="00AD018C"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  <w:t xml:space="preserve">. </w:t>
      </w:r>
    </w:p>
    <w:p w14:paraId="6620DBC5" w14:textId="77777777" w:rsidR="00183A50" w:rsidRPr="00AD018C" w:rsidRDefault="00183A50" w:rsidP="00183A50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</w:pPr>
    </w:p>
    <w:tbl>
      <w:tblPr>
        <w:tblStyle w:val="Tabellasemplice4"/>
        <w:tblW w:w="9752" w:type="dxa"/>
        <w:tblLook w:val="04A0" w:firstRow="1" w:lastRow="0" w:firstColumn="1" w:lastColumn="0" w:noHBand="0" w:noVBand="1"/>
      </w:tblPr>
      <w:tblGrid>
        <w:gridCol w:w="3061"/>
        <w:gridCol w:w="2268"/>
        <w:gridCol w:w="2243"/>
        <w:gridCol w:w="2180"/>
      </w:tblGrid>
      <w:tr w:rsidR="00AD018C" w:rsidRPr="00AD018C" w14:paraId="54529726" w14:textId="77777777" w:rsidTr="00183A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2C218" w14:textId="77777777" w:rsidR="00B26D6A" w:rsidRPr="00183A50" w:rsidRDefault="00B26D6A" w:rsidP="00183A50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183A50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  <w:t>Biomarker</w:t>
            </w:r>
            <w:r w:rsidRPr="00183A50">
              <w:rPr>
                <w:rFonts w:ascii="Times New Roman" w:eastAsia="Times New Roman" w:hAnsi="Times New Roman"/>
                <w:snapToGrid w:val="0"/>
                <w:sz w:val="24"/>
                <w:szCs w:val="24"/>
                <w:vertAlign w:val="superscript"/>
                <w:lang w:eastAsia="de-DE" w:bidi="en-US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CB32B" w14:textId="77777777" w:rsidR="00B26D6A" w:rsidRPr="00AD018C" w:rsidRDefault="00B26D6A" w:rsidP="00183A5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i/>
                <w:iCs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  <w:t>Amyloid beta (pg/mL)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21EAF" w14:textId="77777777" w:rsidR="00B26D6A" w:rsidRPr="00AD018C" w:rsidRDefault="00B26D6A" w:rsidP="00183A5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  <w:t>Phosphorylated Tau (pg/mL)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003E8" w14:textId="77777777" w:rsidR="00B26D6A" w:rsidRPr="00AD018C" w:rsidRDefault="00B26D6A" w:rsidP="00183A5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i/>
                <w:iCs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  <w:t>Total Tau (pg/mL)</w:t>
            </w:r>
          </w:p>
        </w:tc>
      </w:tr>
      <w:tr w:rsidR="00AD018C" w:rsidRPr="00AD018C" w14:paraId="73804604" w14:textId="77777777" w:rsidTr="00183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  <w:tcBorders>
              <w:top w:val="single" w:sz="4" w:space="0" w:color="auto"/>
            </w:tcBorders>
          </w:tcPr>
          <w:p w14:paraId="7F7D6BA9" w14:textId="77777777" w:rsidR="00B26D6A" w:rsidRPr="00AD018C" w:rsidRDefault="00B26D6A" w:rsidP="00183A50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eastAsia="de-DE" w:bidi="en-US"/>
              </w:rPr>
              <w:t>All (n=54)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99830F4" w14:textId="77777777" w:rsidR="00B26D6A" w:rsidRPr="00AD018C" w:rsidRDefault="00B26D6A" w:rsidP="00183A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  <w:t>600.5</w:t>
            </w: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 xml:space="preserve"> (</w:t>
            </w: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  <w:t>441.0-806.0</w:t>
            </w: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)</w:t>
            </w:r>
          </w:p>
        </w:tc>
        <w:tc>
          <w:tcPr>
            <w:tcW w:w="2243" w:type="dxa"/>
            <w:tcBorders>
              <w:top w:val="single" w:sz="4" w:space="0" w:color="auto"/>
            </w:tcBorders>
          </w:tcPr>
          <w:p w14:paraId="2E9AAC2D" w14:textId="77777777" w:rsidR="00B26D6A" w:rsidRPr="00AD018C" w:rsidRDefault="00B26D6A" w:rsidP="00183A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  <w:t>68.5</w:t>
            </w: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 xml:space="preserve"> (</w:t>
            </w: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  <w:t>49.0-88.0</w:t>
            </w: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)</w:t>
            </w:r>
          </w:p>
        </w:tc>
        <w:tc>
          <w:tcPr>
            <w:tcW w:w="2180" w:type="dxa"/>
            <w:tcBorders>
              <w:top w:val="single" w:sz="4" w:space="0" w:color="auto"/>
            </w:tcBorders>
          </w:tcPr>
          <w:p w14:paraId="7ECC0246" w14:textId="77777777" w:rsidR="00B26D6A" w:rsidRPr="00AD018C" w:rsidRDefault="00B26D6A" w:rsidP="00183A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  <w:t>337.5</w:t>
            </w: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 xml:space="preserve"> (</w:t>
            </w: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  <w:t>219.0-614.0</w:t>
            </w: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)</w:t>
            </w:r>
          </w:p>
        </w:tc>
      </w:tr>
      <w:tr w:rsidR="00AD018C" w:rsidRPr="00AD018C" w14:paraId="3CA5C397" w14:textId="77777777" w:rsidTr="00183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1B0AFAC5" w14:textId="32F8D4BA" w:rsidR="00B26D6A" w:rsidRPr="00AD018C" w:rsidRDefault="00B26D6A" w:rsidP="00183A50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eastAsia="de-DE" w:bidi="en-US"/>
              </w:rPr>
              <w:t>MCI not convert</w:t>
            </w:r>
            <w:r w:rsidR="00852974" w:rsidRPr="00AD018C"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eastAsia="de-DE" w:bidi="en-US"/>
              </w:rPr>
              <w:t>ing</w:t>
            </w:r>
            <w:r w:rsidRPr="00AD018C"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eastAsia="de-DE" w:bidi="en-US"/>
              </w:rPr>
              <w:t xml:space="preserve"> (n=19)</w:t>
            </w:r>
          </w:p>
        </w:tc>
        <w:tc>
          <w:tcPr>
            <w:tcW w:w="2268" w:type="dxa"/>
          </w:tcPr>
          <w:p w14:paraId="0F432006" w14:textId="77777777" w:rsidR="00B26D6A" w:rsidRPr="00AD018C" w:rsidRDefault="00B26D6A" w:rsidP="00183A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789.0 (521.0-1021.0)</w:t>
            </w:r>
          </w:p>
        </w:tc>
        <w:tc>
          <w:tcPr>
            <w:tcW w:w="2243" w:type="dxa"/>
          </w:tcPr>
          <w:p w14:paraId="1D305276" w14:textId="77777777" w:rsidR="00B26D6A" w:rsidRPr="00AD018C" w:rsidRDefault="00B26D6A" w:rsidP="00183A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53.3 (46.0-82.0)</w:t>
            </w:r>
          </w:p>
        </w:tc>
        <w:tc>
          <w:tcPr>
            <w:tcW w:w="2180" w:type="dxa"/>
          </w:tcPr>
          <w:p w14:paraId="61D828E5" w14:textId="77777777" w:rsidR="00B26D6A" w:rsidRPr="00AD018C" w:rsidRDefault="00B26D6A" w:rsidP="00183A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255.0 (164.0-370.0)</w:t>
            </w:r>
          </w:p>
        </w:tc>
      </w:tr>
      <w:tr w:rsidR="00AD018C" w:rsidRPr="00AD018C" w14:paraId="69F455BB" w14:textId="77777777" w:rsidTr="00183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3E4D4EFF" w14:textId="7DEDBFBF" w:rsidR="00B26D6A" w:rsidRPr="00AD018C" w:rsidRDefault="00B26D6A" w:rsidP="00183A50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val="en-GB" w:eastAsia="de-DE" w:bidi="en-US"/>
              </w:rPr>
              <w:t>MCI convert</w:t>
            </w:r>
            <w:r w:rsidR="00852974" w:rsidRPr="00AD018C"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val="en-GB" w:eastAsia="de-DE" w:bidi="en-US"/>
              </w:rPr>
              <w:t>ing</w:t>
            </w:r>
            <w:r w:rsidRPr="00AD018C"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val="en-GB" w:eastAsia="de-DE" w:bidi="en-US"/>
              </w:rPr>
              <w:t xml:space="preserve"> to A</w:t>
            </w:r>
            <w:r w:rsidR="00852974" w:rsidRPr="00AD018C"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val="en-GB" w:eastAsia="de-DE" w:bidi="en-US"/>
              </w:rPr>
              <w:t>lzheimer’s dementia</w:t>
            </w:r>
            <w:r w:rsidRPr="00AD018C"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val="en-GB" w:eastAsia="de-DE" w:bidi="en-US"/>
              </w:rPr>
              <w:t xml:space="preserve"> (n=26)</w:t>
            </w:r>
          </w:p>
        </w:tc>
        <w:tc>
          <w:tcPr>
            <w:tcW w:w="2268" w:type="dxa"/>
          </w:tcPr>
          <w:p w14:paraId="36DC6FFE" w14:textId="77777777" w:rsidR="00B26D6A" w:rsidRPr="00AD018C" w:rsidRDefault="00B26D6A" w:rsidP="00183A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506.0 (406.0-534.0)</w:t>
            </w:r>
          </w:p>
        </w:tc>
        <w:tc>
          <w:tcPr>
            <w:tcW w:w="2243" w:type="dxa"/>
          </w:tcPr>
          <w:p w14:paraId="41C13791" w14:textId="77777777" w:rsidR="00B26D6A" w:rsidRPr="00AD018C" w:rsidRDefault="00B26D6A" w:rsidP="00183A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86.9 (62.0-128.0)</w:t>
            </w:r>
          </w:p>
        </w:tc>
        <w:tc>
          <w:tcPr>
            <w:tcW w:w="2180" w:type="dxa"/>
          </w:tcPr>
          <w:p w14:paraId="2C7D9CC7" w14:textId="77777777" w:rsidR="00B26D6A" w:rsidRPr="00AD018C" w:rsidRDefault="00B26D6A" w:rsidP="00183A5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645.5 (305.0-769.0)</w:t>
            </w:r>
          </w:p>
        </w:tc>
      </w:tr>
      <w:tr w:rsidR="00AD018C" w:rsidRPr="00AD018C" w14:paraId="619E2779" w14:textId="77777777" w:rsidTr="00183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  <w:tcBorders>
              <w:bottom w:val="single" w:sz="4" w:space="0" w:color="auto"/>
            </w:tcBorders>
          </w:tcPr>
          <w:p w14:paraId="5D89E629" w14:textId="453E51C7" w:rsidR="00B26D6A" w:rsidRPr="00AD018C" w:rsidRDefault="00B26D6A" w:rsidP="00183A50">
            <w:pPr>
              <w:spacing w:after="0" w:line="240" w:lineRule="auto"/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val="en-US" w:eastAsia="de-DE" w:bidi="en-US"/>
              </w:rPr>
              <w:t>MCI convert</w:t>
            </w:r>
            <w:r w:rsidR="00852974" w:rsidRPr="00AD018C"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val="en-US" w:eastAsia="de-DE" w:bidi="en-US"/>
              </w:rPr>
              <w:t>ing</w:t>
            </w:r>
            <w:r w:rsidRPr="00AD018C"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val="en-US" w:eastAsia="de-DE" w:bidi="en-US"/>
              </w:rPr>
              <w:t xml:space="preserve"> to dementia </w:t>
            </w:r>
            <w:r w:rsidR="00852974" w:rsidRPr="00AD018C"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val="en-US" w:eastAsia="de-DE" w:bidi="en-US"/>
              </w:rPr>
              <w:t>other than Alzheimer’s dementia</w:t>
            </w:r>
            <w:r w:rsidRPr="00AD018C">
              <w:rPr>
                <w:rFonts w:ascii="Times New Roman" w:eastAsia="Times New Roman" w:hAnsi="Times New Roman"/>
                <w:b w:val="0"/>
                <w:i/>
                <w:snapToGrid w:val="0"/>
                <w:sz w:val="24"/>
                <w:szCs w:val="24"/>
                <w:lang w:val="en-US" w:eastAsia="de-DE" w:bidi="en-US"/>
              </w:rPr>
              <w:t xml:space="preserve"> (n=9)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4F9D12" w14:textId="77777777" w:rsidR="00B26D6A" w:rsidRPr="00AD018C" w:rsidRDefault="00B26D6A" w:rsidP="00183A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760.0 (686.0-870.0)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14:paraId="1F497DC7" w14:textId="77777777" w:rsidR="00B26D6A" w:rsidRPr="00AD018C" w:rsidRDefault="00B26D6A" w:rsidP="00183A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60.0 (48.0-68.0)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14:paraId="616B04A5" w14:textId="77777777" w:rsidR="00B26D6A" w:rsidRPr="00AD018C" w:rsidRDefault="00B26D6A" w:rsidP="00183A5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de-DE" w:bidi="en-US"/>
              </w:rPr>
            </w:pPr>
            <w:r w:rsidRPr="00AD018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de-DE" w:bidi="en-US"/>
              </w:rPr>
              <w:t>260.0 (221.0-374.0)</w:t>
            </w:r>
          </w:p>
        </w:tc>
      </w:tr>
    </w:tbl>
    <w:p w14:paraId="0B5D3EA0" w14:textId="77777777" w:rsidR="00B26D6A" w:rsidRPr="00AD018C" w:rsidRDefault="00B26D6A" w:rsidP="00B26D6A">
      <w:pPr>
        <w:spacing w:after="0" w:line="36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</w:pPr>
      <w:r w:rsidRPr="00AD018C">
        <w:rPr>
          <w:rFonts w:ascii="Times New Roman" w:eastAsia="Times New Roman" w:hAnsi="Times New Roman"/>
          <w:snapToGrid w:val="0"/>
          <w:sz w:val="24"/>
          <w:szCs w:val="24"/>
          <w:vertAlign w:val="superscript"/>
          <w:lang w:val="en-US" w:eastAsia="de-DE" w:bidi="en-US"/>
        </w:rPr>
        <w:t>a</w:t>
      </w:r>
      <w:r w:rsidRPr="00AD018C"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  <w:t>Biomarker cut-off values used at the Modena laboratory: Amyloid beta 1-42 557 pg/mL; Total Tau 350 pg/mL; Phosphorylated Tau181 62 pg/mL).</w:t>
      </w:r>
    </w:p>
    <w:p w14:paraId="7E056C87" w14:textId="77777777" w:rsidR="00680E65" w:rsidRPr="00AD018C" w:rsidRDefault="00680E65" w:rsidP="00B26D6A">
      <w:pPr>
        <w:spacing w:after="0" w:line="36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</w:pPr>
    </w:p>
    <w:p w14:paraId="4EBE249A" w14:textId="77777777" w:rsidR="00183A50" w:rsidRDefault="00183A50">
      <w:pPr>
        <w:spacing w:after="160" w:line="259" w:lineRule="auto"/>
        <w:rPr>
          <w:rFonts w:ascii="Times New Roman" w:eastAsia="Times New Roman" w:hAnsi="Times New Roman"/>
          <w:b/>
          <w:snapToGrid w:val="0"/>
          <w:sz w:val="24"/>
          <w:szCs w:val="24"/>
          <w:lang w:val="en-US" w:eastAsia="de-DE" w:bidi="en-US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val="en-US" w:eastAsia="de-DE" w:bidi="en-US"/>
        </w:rPr>
        <w:br w:type="page"/>
      </w:r>
    </w:p>
    <w:p w14:paraId="451EC04B" w14:textId="7A1D3D1B" w:rsidR="00680E65" w:rsidRPr="00AD018C" w:rsidRDefault="00680E65" w:rsidP="00183A50">
      <w:pPr>
        <w:spacing w:after="160" w:line="259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</w:pPr>
      <w:r w:rsidRPr="00AD018C">
        <w:rPr>
          <w:rFonts w:ascii="Times New Roman" w:eastAsia="Times New Roman" w:hAnsi="Times New Roman"/>
          <w:b/>
          <w:snapToGrid w:val="0"/>
          <w:sz w:val="24"/>
          <w:szCs w:val="24"/>
          <w:lang w:val="en-US" w:eastAsia="de-DE" w:bidi="en-US"/>
        </w:rPr>
        <w:lastRenderedPageBreak/>
        <w:t xml:space="preserve">Figure S1. </w:t>
      </w:r>
      <w:r w:rsidRPr="00AD018C"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  <w:t>Linear regression analysis for the association between cerebrospinal fluid (CSF) and serum concentrations of AA3 and BD1, serum and CSF concentrations of AA3 and of BD1, CSF selenoprotein P-bound selenium and CSF AA3, and CSF selenoprotein P-bound selenium and CSF BD1. Crude model is represented by dotted line; multivariable model (adjusted for sex, age, and education) is represented by continuous line in 54 individuals with mild cognitive impairment. β represents linear regression coefficient (with 95% C.I.) for the multivariable-adjusted model.</w:t>
      </w:r>
    </w:p>
    <w:p w14:paraId="47C3D549" w14:textId="77777777" w:rsidR="00680E65" w:rsidRPr="00AD018C" w:rsidRDefault="00680E65" w:rsidP="00680E65">
      <w:pPr>
        <w:spacing w:after="160" w:line="259" w:lineRule="auto"/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</w:pPr>
    </w:p>
    <w:p w14:paraId="3EDA3BC5" w14:textId="77777777" w:rsidR="00680E65" w:rsidRPr="00680E65" w:rsidRDefault="00680E65" w:rsidP="00680E65">
      <w:pPr>
        <w:spacing w:after="160" w:line="259" w:lineRule="auto"/>
        <w:rPr>
          <w:rFonts w:ascii="Times New Roman" w:eastAsia="Times New Roman" w:hAnsi="Times New Roman"/>
          <w:snapToGrid w:val="0"/>
          <w:color w:val="FF0000"/>
          <w:sz w:val="24"/>
          <w:szCs w:val="24"/>
          <w:lang w:val="en-US" w:eastAsia="de-DE" w:bidi="en-US"/>
        </w:rPr>
        <w:sectPr w:rsidR="00680E65" w:rsidRPr="00680E65" w:rsidSect="002C49DB">
          <w:footerReference w:type="default" r:id="rId7"/>
          <w:pgSz w:w="11901" w:h="16817"/>
          <w:pgMar w:top="1418" w:right="1134" w:bottom="1134" w:left="1134" w:header="709" w:footer="709" w:gutter="0"/>
          <w:cols w:space="720"/>
          <w:formProt w:val="0"/>
          <w:docGrid w:linePitch="360" w:charSpace="-2049"/>
        </w:sectPr>
      </w:pPr>
      <w:r w:rsidRPr="00680E65">
        <w:rPr>
          <w:rFonts w:ascii="Times New Roman" w:eastAsia="Times New Roman" w:hAnsi="Times New Roman"/>
          <w:noProof/>
          <w:snapToGrid w:val="0"/>
          <w:color w:val="FF0000"/>
          <w:sz w:val="24"/>
          <w:szCs w:val="24"/>
          <w:lang w:val="en-US" w:eastAsia="en-US"/>
        </w:rPr>
        <w:drawing>
          <wp:inline distT="0" distB="0" distL="0" distR="0" wp14:anchorId="5533BDC5" wp14:editId="3D041A2A">
            <wp:extent cx="6300000" cy="2520000"/>
            <wp:effectExtent l="0" t="0" r="571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FBEEB" w14:textId="7CC2B203" w:rsidR="00283B8C" w:rsidRPr="00AD018C" w:rsidRDefault="00283B8C" w:rsidP="00183A50">
      <w:pPr>
        <w:spacing w:after="160" w:line="259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</w:pPr>
      <w:r w:rsidRPr="00AD018C">
        <w:rPr>
          <w:rFonts w:ascii="Times New Roman" w:eastAsia="Times New Roman" w:hAnsi="Times New Roman"/>
          <w:b/>
          <w:bCs/>
          <w:snapToGrid w:val="0"/>
          <w:sz w:val="24"/>
          <w:szCs w:val="24"/>
          <w:lang w:val="en-US" w:eastAsia="de-DE" w:bidi="en-US"/>
        </w:rPr>
        <w:lastRenderedPageBreak/>
        <w:t>Figure S</w:t>
      </w:r>
      <w:r w:rsidR="00041FD4" w:rsidRPr="00AD018C">
        <w:rPr>
          <w:rFonts w:ascii="Times New Roman" w:eastAsia="Times New Roman" w:hAnsi="Times New Roman"/>
          <w:b/>
          <w:bCs/>
          <w:snapToGrid w:val="0"/>
          <w:sz w:val="24"/>
          <w:szCs w:val="24"/>
          <w:lang w:val="en-US" w:eastAsia="de-DE" w:bidi="en-US"/>
        </w:rPr>
        <w:t>2</w:t>
      </w:r>
      <w:r w:rsidRPr="00AD018C">
        <w:rPr>
          <w:rFonts w:ascii="Times New Roman" w:eastAsia="Times New Roman" w:hAnsi="Times New Roman"/>
          <w:b/>
          <w:bCs/>
          <w:snapToGrid w:val="0"/>
          <w:sz w:val="24"/>
          <w:szCs w:val="24"/>
          <w:lang w:val="en-US" w:eastAsia="de-DE" w:bidi="en-US"/>
        </w:rPr>
        <w:t xml:space="preserve">. </w:t>
      </w:r>
      <w:bookmarkStart w:id="1" w:name="_Hlk134031790"/>
      <w:r w:rsidR="00D12D0D" w:rsidRPr="00AD018C"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  <w:t>Boxplots</w:t>
      </w:r>
      <w:r w:rsidRPr="00AD018C"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  <w:t xml:space="preserve"> for BD1 and AA3 cerebrospinal fluid (A) and serum (B) levels according to diagnosis at follow-up.</w:t>
      </w:r>
      <w:bookmarkEnd w:id="1"/>
    </w:p>
    <w:p w14:paraId="46E83830" w14:textId="5103A896" w:rsidR="00283B8C" w:rsidRPr="00AD018C" w:rsidRDefault="00283B8C">
      <w:pPr>
        <w:spacing w:after="160" w:line="259" w:lineRule="auto"/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</w:pPr>
      <w:r w:rsidRPr="00AD018C">
        <w:rPr>
          <w:rFonts w:ascii="Times New Roman" w:eastAsia="Times New Roman" w:hAnsi="Times New Roman"/>
          <w:snapToGrid w:val="0"/>
          <w:sz w:val="24"/>
          <w:szCs w:val="24"/>
          <w:lang w:val="en-US" w:eastAsia="de-DE" w:bidi="en-US"/>
        </w:rPr>
        <w:t>A)</w:t>
      </w:r>
    </w:p>
    <w:p w14:paraId="1E57AAA3" w14:textId="3EDB5410" w:rsidR="00283B8C" w:rsidRDefault="00283B8C" w:rsidP="00283B8C">
      <w:pPr>
        <w:rPr>
          <w:lang w:val="en-US"/>
        </w:rPr>
      </w:pPr>
      <w:r w:rsidRPr="004E16C1">
        <w:rPr>
          <w:noProof/>
          <w:lang w:val="en-US" w:eastAsia="en-US"/>
        </w:rPr>
        <w:drawing>
          <wp:inline distT="0" distB="0" distL="0" distR="0" wp14:anchorId="6043BDB9" wp14:editId="21D252AD">
            <wp:extent cx="5029200" cy="3657600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50A12" w14:textId="069DD8EF" w:rsidR="00283B8C" w:rsidRPr="00AD018C" w:rsidRDefault="00283B8C" w:rsidP="00283B8C">
      <w:pPr>
        <w:rPr>
          <w:rFonts w:ascii="Times New Roman" w:hAnsi="Times New Roman"/>
          <w:lang w:val="en-US"/>
        </w:rPr>
      </w:pPr>
      <w:r w:rsidRPr="00AD018C">
        <w:rPr>
          <w:rFonts w:ascii="Times New Roman" w:hAnsi="Times New Roman"/>
          <w:lang w:val="en-US"/>
        </w:rPr>
        <w:t>B)</w:t>
      </w:r>
    </w:p>
    <w:p w14:paraId="243A00F7" w14:textId="77777777" w:rsidR="00283B8C" w:rsidRPr="008C09F0" w:rsidRDefault="00283B8C" w:rsidP="00283B8C">
      <w:pPr>
        <w:rPr>
          <w:lang w:val="en-US"/>
        </w:rPr>
      </w:pPr>
      <w:r w:rsidRPr="00517AA9">
        <w:rPr>
          <w:noProof/>
          <w:lang w:val="en-US" w:eastAsia="en-US"/>
        </w:rPr>
        <w:drawing>
          <wp:inline distT="0" distB="0" distL="0" distR="0" wp14:anchorId="1CBA82FA" wp14:editId="3A3F7947">
            <wp:extent cx="5029200" cy="365760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FE02C" w14:textId="77777777" w:rsidR="00283B8C" w:rsidRDefault="00283B8C" w:rsidP="00B26D6A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FF0000"/>
          <w:sz w:val="24"/>
          <w:szCs w:val="24"/>
          <w:lang w:val="en-US" w:eastAsia="de-DE" w:bidi="en-US"/>
        </w:rPr>
      </w:pPr>
    </w:p>
    <w:p w14:paraId="331703FB" w14:textId="60F1AF1A" w:rsidR="00F96CE3" w:rsidRDefault="00815F2E" w:rsidP="00183A50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AD018C">
        <w:rPr>
          <w:rFonts w:ascii="Times New Roman" w:hAnsi="Times New Roman"/>
          <w:b/>
          <w:bCs/>
          <w:sz w:val="24"/>
          <w:szCs w:val="24"/>
          <w:lang w:val="en-GB"/>
        </w:rPr>
        <w:lastRenderedPageBreak/>
        <w:t>Figure S</w:t>
      </w:r>
      <w:r w:rsidR="00070CDF" w:rsidRPr="00AD018C">
        <w:rPr>
          <w:rFonts w:ascii="Times New Roman" w:hAnsi="Times New Roman"/>
          <w:b/>
          <w:bCs/>
          <w:sz w:val="24"/>
          <w:szCs w:val="24"/>
          <w:lang w:val="en-GB"/>
        </w:rPr>
        <w:t>3.</w:t>
      </w:r>
      <w:r w:rsidRPr="00AD018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96CE3" w:rsidRPr="00AD018C">
        <w:rPr>
          <w:rFonts w:ascii="Times New Roman" w:hAnsi="Times New Roman"/>
          <w:sz w:val="24"/>
          <w:szCs w:val="24"/>
          <w:lang w:val="en-GB"/>
        </w:rPr>
        <w:t xml:space="preserve">Linear regression analysis for the association between cerebrospinal fluid (CSF) and serum concentrations of BD1 with β-amyloid1-42, total and phosphorylated Tau CSF levels. Crude model is represented by dotted line; multivariable model (adjusted for sex, age, and education) is represented by continuous line in 54 individuals with mild cognitive impairment. </w:t>
      </w:r>
      <w:r w:rsidR="00F96CE3" w:rsidRPr="00AD018C">
        <w:rPr>
          <w:rFonts w:ascii="Times New Roman" w:hAnsi="Times New Roman"/>
          <w:sz w:val="24"/>
          <w:szCs w:val="24"/>
        </w:rPr>
        <w:t>β</w:t>
      </w:r>
      <w:r w:rsidR="00F96CE3" w:rsidRPr="00AD018C">
        <w:rPr>
          <w:rFonts w:ascii="Times New Roman" w:hAnsi="Times New Roman"/>
          <w:sz w:val="24"/>
          <w:szCs w:val="24"/>
          <w:lang w:val="en-GB"/>
        </w:rPr>
        <w:t xml:space="preserve"> represents linear regression coefficient (with 95% C.I.) for the multivariable-adjusted model.</w:t>
      </w:r>
    </w:p>
    <w:p w14:paraId="32D76F35" w14:textId="77777777" w:rsidR="00183A50" w:rsidRPr="00AD018C" w:rsidRDefault="00183A50" w:rsidP="00183A50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3A8E1E9" w14:textId="705C3772" w:rsidR="00E87860" w:rsidRDefault="006474BD">
      <w:pPr>
        <w:rPr>
          <w:lang w:val="en-US"/>
        </w:rPr>
      </w:pPr>
      <w:r w:rsidRPr="006474BD">
        <w:rPr>
          <w:noProof/>
          <w:lang w:val="en-US" w:eastAsia="en-US"/>
        </w:rPr>
        <w:drawing>
          <wp:inline distT="0" distB="0" distL="0" distR="0" wp14:anchorId="0DDC4C77" wp14:editId="0A3362A6">
            <wp:extent cx="6120130" cy="6800215"/>
            <wp:effectExtent l="0" t="0" r="0" b="635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80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</w:p>
    <w:p w14:paraId="6941145F" w14:textId="16E81693" w:rsidR="005A21F9" w:rsidRDefault="00E87860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220BA78C" w14:textId="01C8A270" w:rsidR="00E87860" w:rsidRDefault="005A21F9" w:rsidP="00183A50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AD018C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Figure S</w:t>
      </w:r>
      <w:r w:rsidR="00070CDF" w:rsidRPr="00AD018C">
        <w:rPr>
          <w:rFonts w:ascii="Times New Roman" w:hAnsi="Times New Roman"/>
          <w:b/>
          <w:bCs/>
          <w:sz w:val="24"/>
          <w:szCs w:val="24"/>
          <w:lang w:val="en-US"/>
        </w:rPr>
        <w:t>4.</w:t>
      </w:r>
      <w:r w:rsidR="00BB1106" w:rsidRPr="00AD018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F96CE3" w:rsidRPr="00AD018C">
        <w:rPr>
          <w:rFonts w:ascii="Times New Roman" w:hAnsi="Times New Roman"/>
          <w:sz w:val="24"/>
          <w:szCs w:val="24"/>
          <w:lang w:val="en-US"/>
        </w:rPr>
        <w:t>Linear regression analysis for the association between cerebrospinal fluid (CSF) and serum concentrations of AA3 with β-amyloid1-42, total and phosphorylated Tau CSF levels. Crude model is represented by dotted line; multivariable model (adjusted for sex, age, and education) is represented by continuous line in 54 individuals with mild cognitive impairment. β represents linear regression coefficient (with 95% C.I.) for the multivariable-adjusted model.</w:t>
      </w:r>
    </w:p>
    <w:p w14:paraId="090C6048" w14:textId="77777777" w:rsidR="00183A50" w:rsidRPr="00AD018C" w:rsidRDefault="00183A50" w:rsidP="00183A50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8900CBB" w14:textId="405A0ED0" w:rsidR="00BB1106" w:rsidRPr="00704C28" w:rsidRDefault="006474BD">
      <w:pPr>
        <w:rPr>
          <w:rFonts w:ascii="Times New Roman" w:hAnsi="Times New Roman"/>
          <w:color w:val="FF0000"/>
          <w:sz w:val="24"/>
          <w:szCs w:val="24"/>
          <w:lang w:val="en-US"/>
        </w:rPr>
      </w:pPr>
      <w:r w:rsidRPr="006474BD">
        <w:rPr>
          <w:rFonts w:ascii="Times New Roman" w:hAnsi="Times New Roman"/>
          <w:noProof/>
          <w:color w:val="FF0000"/>
          <w:sz w:val="24"/>
          <w:szCs w:val="24"/>
          <w:lang w:val="en-US" w:eastAsia="en-US"/>
        </w:rPr>
        <w:drawing>
          <wp:inline distT="0" distB="0" distL="0" distR="0" wp14:anchorId="1A216BC0" wp14:editId="29E577B2">
            <wp:extent cx="6120130" cy="6800215"/>
            <wp:effectExtent l="0" t="0" r="0" b="63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80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4C38E" w14:textId="60B6D07B" w:rsidR="00091729" w:rsidRDefault="00091729">
      <w:pPr>
        <w:rPr>
          <w:lang w:val="en-US"/>
        </w:rPr>
      </w:pPr>
    </w:p>
    <w:p w14:paraId="34700FAB" w14:textId="760CACFB" w:rsidR="00961D15" w:rsidRDefault="00B70042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0E4025E5" w14:textId="7793EE59" w:rsidR="00183A50" w:rsidRDefault="00961D15" w:rsidP="00183A50">
      <w:pPr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AD018C">
        <w:rPr>
          <w:rFonts w:ascii="Times New Roman" w:hAnsi="Times New Roman"/>
          <w:b/>
          <w:bCs/>
          <w:noProof/>
          <w:sz w:val="24"/>
          <w:szCs w:val="24"/>
          <w:lang w:val="en-US"/>
        </w:rPr>
        <w:lastRenderedPageBreak/>
        <w:t>Fi</w:t>
      </w:r>
      <w:r w:rsidR="00A43CDB" w:rsidRPr="00AD018C">
        <w:rPr>
          <w:rFonts w:ascii="Times New Roman" w:hAnsi="Times New Roman"/>
          <w:b/>
          <w:bCs/>
          <w:noProof/>
          <w:sz w:val="24"/>
          <w:szCs w:val="24"/>
          <w:lang w:val="en-US"/>
        </w:rPr>
        <w:t>g</w:t>
      </w:r>
      <w:r w:rsidR="00070CDF" w:rsidRPr="00AD018C">
        <w:rPr>
          <w:rFonts w:ascii="Times New Roman" w:hAnsi="Times New Roman"/>
          <w:b/>
          <w:bCs/>
          <w:noProof/>
          <w:sz w:val="24"/>
          <w:szCs w:val="24"/>
          <w:lang w:val="en-US"/>
        </w:rPr>
        <w:t>ure</w:t>
      </w:r>
      <w:r w:rsidR="00A43CDB" w:rsidRPr="00AD018C">
        <w:rPr>
          <w:rFonts w:ascii="Times New Roman" w:hAnsi="Times New Roman"/>
          <w:b/>
          <w:bCs/>
          <w:noProof/>
          <w:sz w:val="24"/>
          <w:szCs w:val="24"/>
          <w:lang w:val="en-US"/>
        </w:rPr>
        <w:t xml:space="preserve"> S</w:t>
      </w:r>
      <w:r w:rsidR="00070CDF" w:rsidRPr="00AD018C">
        <w:rPr>
          <w:rFonts w:ascii="Times New Roman" w:hAnsi="Times New Roman"/>
          <w:b/>
          <w:bCs/>
          <w:noProof/>
          <w:sz w:val="24"/>
          <w:szCs w:val="24"/>
          <w:lang w:val="en-US"/>
        </w:rPr>
        <w:t>5.</w:t>
      </w:r>
      <w:r w:rsidR="00A43CDB" w:rsidRPr="00AD018C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F96CE3" w:rsidRPr="00AD018C">
        <w:rPr>
          <w:rFonts w:ascii="Times New Roman" w:hAnsi="Times New Roman"/>
          <w:noProof/>
          <w:sz w:val="24"/>
          <w:szCs w:val="24"/>
          <w:lang w:val="en-US"/>
        </w:rPr>
        <w:t>Spline regression analysis for the association between cerebrospinal fluid (CSF) and serum concentrations of BD1 with β-amyloid1-42, total and phosphorylated Tau CSF levels. The solid line represents the multivariable adjusted analysis (adjusted by sex, age, and education) with upper and lower confidence interval showed by shaded area.</w:t>
      </w:r>
    </w:p>
    <w:p w14:paraId="012BCA5E" w14:textId="77777777" w:rsidR="00183A50" w:rsidRDefault="00183A50" w:rsidP="00183A50">
      <w:pPr>
        <w:jc w:val="both"/>
        <w:rPr>
          <w:rFonts w:ascii="Times New Roman" w:hAnsi="Times New Roman"/>
          <w:noProof/>
          <w:sz w:val="24"/>
          <w:szCs w:val="24"/>
          <w:lang w:val="en-US"/>
        </w:rPr>
      </w:pPr>
    </w:p>
    <w:p w14:paraId="43DA85F0" w14:textId="31BF2D78" w:rsidR="00961D15" w:rsidRPr="00AD018C" w:rsidRDefault="00961D15" w:rsidP="00183A50">
      <w:pPr>
        <w:jc w:val="both"/>
        <w:rPr>
          <w:noProof/>
          <w:lang w:val="en-US"/>
        </w:rPr>
      </w:pPr>
      <w:r w:rsidRPr="00AD018C">
        <w:rPr>
          <w:noProof/>
          <w:lang w:val="en-US" w:eastAsia="en-US"/>
        </w:rPr>
        <w:drawing>
          <wp:inline distT="0" distB="0" distL="0" distR="0" wp14:anchorId="3FCAA035" wp14:editId="2ED76FB0">
            <wp:extent cx="6120130" cy="532384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2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0A277" w14:textId="77777777" w:rsidR="006A287B" w:rsidRDefault="006A287B">
      <w:pPr>
        <w:spacing w:after="160" w:line="259" w:lineRule="auto"/>
        <w:rPr>
          <w:noProof/>
          <w:color w:val="FF0000"/>
          <w:lang w:val="en-US"/>
        </w:rPr>
      </w:pPr>
      <w:r>
        <w:rPr>
          <w:noProof/>
          <w:color w:val="FF0000"/>
          <w:lang w:val="en-US"/>
        </w:rPr>
        <w:br w:type="page"/>
      </w:r>
    </w:p>
    <w:p w14:paraId="2D306D05" w14:textId="128BDBD3" w:rsidR="006A287B" w:rsidRDefault="006A287B" w:rsidP="00183A50">
      <w:pPr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AD018C">
        <w:rPr>
          <w:rFonts w:ascii="Times New Roman" w:hAnsi="Times New Roman"/>
          <w:b/>
          <w:bCs/>
          <w:noProof/>
          <w:sz w:val="24"/>
          <w:szCs w:val="24"/>
          <w:lang w:val="en-US"/>
        </w:rPr>
        <w:lastRenderedPageBreak/>
        <w:t>Fig</w:t>
      </w:r>
      <w:r w:rsidR="00070CDF" w:rsidRPr="00AD018C">
        <w:rPr>
          <w:rFonts w:ascii="Times New Roman" w:hAnsi="Times New Roman"/>
          <w:b/>
          <w:bCs/>
          <w:noProof/>
          <w:sz w:val="24"/>
          <w:szCs w:val="24"/>
          <w:lang w:val="en-US"/>
        </w:rPr>
        <w:t>ure</w:t>
      </w:r>
      <w:r w:rsidRPr="00AD018C">
        <w:rPr>
          <w:rFonts w:ascii="Times New Roman" w:hAnsi="Times New Roman"/>
          <w:b/>
          <w:bCs/>
          <w:noProof/>
          <w:sz w:val="24"/>
          <w:szCs w:val="24"/>
          <w:lang w:val="en-US"/>
        </w:rPr>
        <w:t xml:space="preserve"> S</w:t>
      </w:r>
      <w:r w:rsidR="00070CDF" w:rsidRPr="00AD018C">
        <w:rPr>
          <w:rFonts w:ascii="Times New Roman" w:hAnsi="Times New Roman"/>
          <w:b/>
          <w:bCs/>
          <w:noProof/>
          <w:sz w:val="24"/>
          <w:szCs w:val="24"/>
          <w:lang w:val="en-US"/>
        </w:rPr>
        <w:t>6.</w:t>
      </w:r>
      <w:r w:rsidRPr="00AD018C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F96CE3" w:rsidRPr="00AD018C">
        <w:rPr>
          <w:rFonts w:ascii="Times New Roman" w:hAnsi="Times New Roman"/>
          <w:noProof/>
          <w:sz w:val="24"/>
          <w:szCs w:val="24"/>
          <w:lang w:val="en-US"/>
        </w:rPr>
        <w:t>Spline regression analysis for the association between cerebrospinal fluid (CSF) and serum concentrations of AA3 with β-amyloid1-42, total and phosphorylated Tau CSF levels. The solid line represents the multivariable adjusted analysis (adjusted by sex, age, and education) with upper and lower confidence interval showed by shaded area.</w:t>
      </w:r>
    </w:p>
    <w:p w14:paraId="1A7CE3D4" w14:textId="77777777" w:rsidR="00183A50" w:rsidRPr="00AD018C" w:rsidRDefault="00183A50" w:rsidP="00183A50">
      <w:pPr>
        <w:jc w:val="both"/>
        <w:rPr>
          <w:rFonts w:ascii="Times New Roman" w:hAnsi="Times New Roman"/>
          <w:noProof/>
          <w:sz w:val="24"/>
          <w:szCs w:val="24"/>
          <w:lang w:val="en-US"/>
        </w:rPr>
      </w:pPr>
    </w:p>
    <w:p w14:paraId="63FCDF66" w14:textId="31621F9C" w:rsidR="000B7743" w:rsidRDefault="006A287B">
      <w:pPr>
        <w:rPr>
          <w:lang w:val="en-US"/>
        </w:rPr>
      </w:pPr>
      <w:r w:rsidRPr="006A287B">
        <w:rPr>
          <w:noProof/>
          <w:lang w:val="en-US" w:eastAsia="en-US"/>
        </w:rPr>
        <w:drawing>
          <wp:inline distT="0" distB="0" distL="0" distR="0" wp14:anchorId="42167A08" wp14:editId="0C89F397">
            <wp:extent cx="6120130" cy="532384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2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369E2" w14:textId="77777777" w:rsidR="000B7743" w:rsidRDefault="000B7743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29EAD7B6" w14:textId="7DB42253" w:rsidR="006A287B" w:rsidRDefault="000B7743" w:rsidP="00183A50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AD018C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Figure S</w:t>
      </w:r>
      <w:r w:rsidR="00070CDF" w:rsidRPr="00AD018C">
        <w:rPr>
          <w:rFonts w:ascii="Times New Roman" w:hAnsi="Times New Roman"/>
          <w:b/>
          <w:bCs/>
          <w:sz w:val="24"/>
          <w:szCs w:val="24"/>
          <w:lang w:val="en-US"/>
        </w:rPr>
        <w:t>7</w:t>
      </w:r>
      <w:r w:rsidR="00370555" w:rsidRPr="00AD018C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="00370555" w:rsidRPr="00AD018C">
        <w:rPr>
          <w:rFonts w:ascii="Times New Roman" w:hAnsi="Times New Roman"/>
          <w:sz w:val="24"/>
          <w:szCs w:val="24"/>
          <w:lang w:val="en-US"/>
        </w:rPr>
        <w:t xml:space="preserve"> Restricted cubic spline analysis of Cox proportional hazards model for the association between baseline selenoprotein P concentrations and risk of developing Alzheimer’s dementia, based on the 26 participants who progressed to dementia after the first 24 months of follow-up (A-D). The solid line represents the multivariable hazard ratio (adjusted by sex, age, education</w:t>
      </w:r>
      <w:r w:rsidR="00D773A6" w:rsidRPr="00AD018C">
        <w:rPr>
          <w:rFonts w:ascii="Times New Roman" w:hAnsi="Times New Roman"/>
          <w:sz w:val="24"/>
          <w:szCs w:val="24"/>
          <w:lang w:val="en-US"/>
        </w:rPr>
        <w:t>, and APOE4 status</w:t>
      </w:r>
      <w:r w:rsidR="00370555" w:rsidRPr="00AD018C">
        <w:rPr>
          <w:rFonts w:ascii="Times New Roman" w:hAnsi="Times New Roman"/>
          <w:sz w:val="24"/>
          <w:szCs w:val="24"/>
          <w:lang w:val="en-US"/>
        </w:rPr>
        <w:t>) with upper and lower confidence interval showed by shaded area.</w:t>
      </w:r>
    </w:p>
    <w:p w14:paraId="0295C1AB" w14:textId="77777777" w:rsidR="00183A50" w:rsidRPr="00AD018C" w:rsidRDefault="00183A50" w:rsidP="00183A50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91C1709" w14:textId="63DF7A30" w:rsidR="00D773A6" w:rsidRPr="00370555" w:rsidRDefault="00D773A6">
      <w:pPr>
        <w:rPr>
          <w:color w:val="FF0000"/>
          <w:lang w:val="en-US"/>
        </w:rPr>
      </w:pPr>
      <w:r w:rsidRPr="00D773A6">
        <w:rPr>
          <w:noProof/>
          <w:color w:val="FF0000"/>
          <w:lang w:val="en-US" w:eastAsia="en-US"/>
        </w:rPr>
        <w:drawing>
          <wp:inline distT="0" distB="0" distL="0" distR="0" wp14:anchorId="6B21898C" wp14:editId="673FCD4D">
            <wp:extent cx="6120130" cy="4079875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D773A6" w:rsidRPr="003705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957A1" w14:textId="77777777" w:rsidR="0052211C" w:rsidRDefault="0052211C" w:rsidP="000B4418">
      <w:pPr>
        <w:spacing w:after="0" w:line="240" w:lineRule="auto"/>
      </w:pPr>
      <w:r>
        <w:separator/>
      </w:r>
    </w:p>
  </w:endnote>
  <w:endnote w:type="continuationSeparator" w:id="0">
    <w:p w14:paraId="6354E65B" w14:textId="77777777" w:rsidR="0052211C" w:rsidRDefault="0052211C" w:rsidP="000B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7263059"/>
      <w:docPartObj>
        <w:docPartGallery w:val="Page Numbers (Bottom of Page)"/>
        <w:docPartUnique/>
      </w:docPartObj>
    </w:sdtPr>
    <w:sdtContent>
      <w:p w14:paraId="606F3B89" w14:textId="3F2B5A7D" w:rsidR="00183A50" w:rsidRDefault="00183A50" w:rsidP="00183A5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2023F" w14:textId="77777777" w:rsidR="0052211C" w:rsidRDefault="0052211C" w:rsidP="000B4418">
      <w:pPr>
        <w:spacing w:after="0" w:line="240" w:lineRule="auto"/>
      </w:pPr>
      <w:r>
        <w:separator/>
      </w:r>
    </w:p>
  </w:footnote>
  <w:footnote w:type="continuationSeparator" w:id="0">
    <w:p w14:paraId="6DEA267B" w14:textId="77777777" w:rsidR="0052211C" w:rsidRDefault="0052211C" w:rsidP="000B4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D6A"/>
    <w:rsid w:val="00041FD4"/>
    <w:rsid w:val="00070CDF"/>
    <w:rsid w:val="00091729"/>
    <w:rsid w:val="000B4418"/>
    <w:rsid w:val="000B7743"/>
    <w:rsid w:val="00183A50"/>
    <w:rsid w:val="00283B8C"/>
    <w:rsid w:val="002F100A"/>
    <w:rsid w:val="00316C09"/>
    <w:rsid w:val="00370555"/>
    <w:rsid w:val="003760B5"/>
    <w:rsid w:val="0052211C"/>
    <w:rsid w:val="0053517F"/>
    <w:rsid w:val="0059128F"/>
    <w:rsid w:val="005A21F9"/>
    <w:rsid w:val="006474BD"/>
    <w:rsid w:val="00672931"/>
    <w:rsid w:val="00680E65"/>
    <w:rsid w:val="00695193"/>
    <w:rsid w:val="006A21DF"/>
    <w:rsid w:val="006A287B"/>
    <w:rsid w:val="00704C28"/>
    <w:rsid w:val="007A297F"/>
    <w:rsid w:val="00815F2E"/>
    <w:rsid w:val="00852974"/>
    <w:rsid w:val="00961D15"/>
    <w:rsid w:val="009840B2"/>
    <w:rsid w:val="00A16CEE"/>
    <w:rsid w:val="00A43CDB"/>
    <w:rsid w:val="00AC47A2"/>
    <w:rsid w:val="00AD018C"/>
    <w:rsid w:val="00B26D6A"/>
    <w:rsid w:val="00B340A0"/>
    <w:rsid w:val="00B70042"/>
    <w:rsid w:val="00BB1106"/>
    <w:rsid w:val="00BE3A85"/>
    <w:rsid w:val="00C87063"/>
    <w:rsid w:val="00D12D0D"/>
    <w:rsid w:val="00D773A6"/>
    <w:rsid w:val="00E118DB"/>
    <w:rsid w:val="00E87860"/>
    <w:rsid w:val="00F83E0A"/>
    <w:rsid w:val="00F9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C7FFE"/>
  <w15:chartTrackingRefBased/>
  <w15:docId w15:val="{00A5973C-0AC5-443D-8335-210C0ED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26D6A"/>
    <w:pPr>
      <w:spacing w:after="200" w:line="276" w:lineRule="auto"/>
    </w:pPr>
    <w:rPr>
      <w:rFonts w:ascii="Calibri" w:eastAsia="MS Mincho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rsid w:val="00B26D6A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B26D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26D6A"/>
    <w:rPr>
      <w:rFonts w:ascii="Calibri" w:eastAsia="MS Mincho" w:hAnsi="Calibri" w:cs="Times New Roman"/>
      <w:sz w:val="20"/>
      <w:szCs w:val="20"/>
      <w:lang w:eastAsia="it-IT"/>
    </w:rPr>
  </w:style>
  <w:style w:type="table" w:styleId="Tabellasemplice5">
    <w:name w:val="Plain Table 5"/>
    <w:basedOn w:val="Tabellanormale"/>
    <w:uiPriority w:val="45"/>
    <w:rsid w:val="00B26D6A"/>
    <w:pPr>
      <w:spacing w:after="0" w:line="240" w:lineRule="auto"/>
    </w:pPr>
    <w:rPr>
      <w:rFonts w:ascii="Calibri" w:eastAsia="MS Mincho" w:hAnsi="Calibri" w:cs="Times New Roman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6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6D6A"/>
    <w:rPr>
      <w:rFonts w:ascii="Segoe UI" w:eastAsia="MS Mincho" w:hAnsi="Segoe UI" w:cs="Segoe UI"/>
      <w:sz w:val="18"/>
      <w:szCs w:val="18"/>
      <w:lang w:eastAsia="it-IT"/>
    </w:rPr>
  </w:style>
  <w:style w:type="table" w:styleId="Tabellasemplice4">
    <w:name w:val="Plain Table 4"/>
    <w:basedOn w:val="Tabellanormale"/>
    <w:uiPriority w:val="44"/>
    <w:rsid w:val="00B26D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0B44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418"/>
    <w:rPr>
      <w:rFonts w:ascii="Calibri" w:eastAsia="MS Mincho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B44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418"/>
    <w:rPr>
      <w:rFonts w:ascii="Calibri" w:eastAsia="MS Mincho" w:hAnsi="Calibri" w:cs="Times New Roman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29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2974"/>
    <w:rPr>
      <w:rFonts w:ascii="Calibri" w:eastAsia="MS Mincho" w:hAnsi="Calibri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5E683-63D5-4620-AACC-60BF6A73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URBANO</dc:creator>
  <cp:keywords/>
  <dc:description/>
  <cp:lastModifiedBy>TERESA URBANO</cp:lastModifiedBy>
  <cp:revision>2</cp:revision>
  <dcterms:created xsi:type="dcterms:W3CDTF">2023-05-30T08:16:00Z</dcterms:created>
  <dcterms:modified xsi:type="dcterms:W3CDTF">2023-05-30T08:16:00Z</dcterms:modified>
</cp:coreProperties>
</file>