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Y="2168"/>
        <w:tblW w:w="9606" w:type="dxa"/>
        <w:tblBorders>
          <w:top w:val="nil"/>
          <w:left w:val="nil"/>
          <w:right w:val="nil"/>
        </w:tblBorders>
        <w:tblLayout w:type="fixed"/>
        <w:tblLook w:val="0000" w:firstRow="0" w:lastRow="0" w:firstColumn="0" w:lastColumn="0" w:noHBand="0" w:noVBand="0"/>
      </w:tblPr>
      <w:tblGrid>
        <w:gridCol w:w="3085"/>
        <w:gridCol w:w="709"/>
        <w:gridCol w:w="1417"/>
        <w:gridCol w:w="851"/>
        <w:gridCol w:w="425"/>
        <w:gridCol w:w="709"/>
        <w:gridCol w:w="1417"/>
        <w:gridCol w:w="993"/>
      </w:tblGrid>
      <w:tr w:rsidR="001F4100" w:rsidRPr="001F4100" w:rsidTr="00D12705">
        <w:trPr>
          <w:trHeight w:val="254"/>
          <w:tblHeader/>
        </w:trPr>
        <w:tc>
          <w:tcPr>
            <w:tcW w:w="9606" w:type="dxa"/>
            <w:gridSpan w:val="8"/>
            <w:tcBorders>
              <w:top w:val="nil"/>
              <w:left w:val="nil"/>
              <w:bottom w:val="single" w:sz="4" w:space="0" w:color="auto"/>
              <w:right w:val="nil"/>
            </w:tcBorders>
            <w:tcMar>
              <w:top w:w="80" w:type="nil"/>
              <w:left w:w="80" w:type="nil"/>
              <w:bottom w:w="80" w:type="nil"/>
              <w:right w:w="80" w:type="nil"/>
            </w:tcMar>
          </w:tcPr>
          <w:p w:rsidR="000B4654" w:rsidRPr="001F4100" w:rsidRDefault="000B4654" w:rsidP="00D12705">
            <w:pPr>
              <w:pStyle w:val="Caption"/>
              <w:keepNext/>
              <w:rPr>
                <w:rFonts w:cs="Arial"/>
                <w:color w:val="auto"/>
              </w:rPr>
            </w:pPr>
            <w:r w:rsidRPr="001F4100">
              <w:rPr>
                <w:rFonts w:cs="Arial"/>
                <w:color w:val="auto"/>
              </w:rPr>
              <w:t xml:space="preserve">Supplementary material S1. Sensitivity analyses for the primary and the secondary outcomes according to first-line treatment with stratification on PD-L1 expression, immunotherapy vs chemotherapy (reference), </w:t>
            </w:r>
          </w:p>
        </w:tc>
      </w:tr>
      <w:tr w:rsidR="001F4100" w:rsidRPr="001F4100" w:rsidTr="00D12705">
        <w:trPr>
          <w:trHeight w:val="241"/>
        </w:trPr>
        <w:tc>
          <w:tcPr>
            <w:tcW w:w="3085" w:type="dxa"/>
            <w:tcBorders>
              <w:top w:val="single" w:sz="4" w:space="0" w:color="auto"/>
              <w:left w:val="nil"/>
              <w:bottom w:val="nil"/>
              <w:right w:val="nil"/>
            </w:tcBorders>
            <w:tcMar>
              <w:top w:w="80" w:type="nil"/>
              <w:left w:w="80" w:type="nil"/>
              <w:bottom w:w="80" w:type="nil"/>
              <w:right w:w="80" w:type="nil"/>
            </w:tcMar>
          </w:tcPr>
          <w:p w:rsidR="000B4654" w:rsidRPr="001F4100" w:rsidRDefault="000B4654" w:rsidP="00D12705">
            <w:pPr>
              <w:pStyle w:val="NoSpacing"/>
              <w:rPr>
                <w:sz w:val="20"/>
                <w:szCs w:val="20"/>
              </w:rPr>
            </w:pPr>
          </w:p>
        </w:tc>
        <w:tc>
          <w:tcPr>
            <w:tcW w:w="2977" w:type="dxa"/>
            <w:gridSpan w:val="3"/>
            <w:tcBorders>
              <w:top w:val="single" w:sz="4" w:space="0" w:color="auto"/>
              <w:left w:val="nil"/>
              <w:bottom w:val="nil"/>
              <w:right w:val="nil"/>
            </w:tcBorders>
          </w:tcPr>
          <w:p w:rsidR="000B4654" w:rsidRPr="001F4100" w:rsidRDefault="000B4654" w:rsidP="00D12705">
            <w:pPr>
              <w:pStyle w:val="NoSpacing"/>
              <w:jc w:val="center"/>
              <w:rPr>
                <w:sz w:val="20"/>
                <w:szCs w:val="20"/>
              </w:rPr>
            </w:pPr>
            <w:r w:rsidRPr="001F4100">
              <w:rPr>
                <w:sz w:val="20"/>
                <w:szCs w:val="20"/>
              </w:rPr>
              <w:t>Overall survival</w:t>
            </w:r>
          </w:p>
        </w:tc>
        <w:tc>
          <w:tcPr>
            <w:tcW w:w="425" w:type="dxa"/>
            <w:tcBorders>
              <w:top w:val="single" w:sz="4" w:space="0" w:color="auto"/>
              <w:left w:val="nil"/>
              <w:bottom w:val="nil"/>
              <w:right w:val="nil"/>
            </w:tcBorders>
          </w:tcPr>
          <w:p w:rsidR="000B4654" w:rsidRPr="001F4100" w:rsidRDefault="000B4654" w:rsidP="00D12705">
            <w:pPr>
              <w:pStyle w:val="NoSpacing"/>
              <w:jc w:val="center"/>
              <w:rPr>
                <w:sz w:val="20"/>
                <w:szCs w:val="20"/>
              </w:rPr>
            </w:pPr>
          </w:p>
        </w:tc>
        <w:tc>
          <w:tcPr>
            <w:tcW w:w="3119" w:type="dxa"/>
            <w:gridSpan w:val="3"/>
            <w:tcBorders>
              <w:top w:val="single" w:sz="4" w:space="0" w:color="auto"/>
              <w:left w:val="nil"/>
              <w:bottom w:val="nil"/>
              <w:right w:val="nil"/>
            </w:tcBorders>
          </w:tcPr>
          <w:p w:rsidR="000B4654" w:rsidRPr="001F4100" w:rsidRDefault="000B4654" w:rsidP="00D12705">
            <w:pPr>
              <w:pStyle w:val="NoSpacing"/>
              <w:jc w:val="center"/>
              <w:rPr>
                <w:sz w:val="20"/>
                <w:szCs w:val="20"/>
              </w:rPr>
            </w:pPr>
            <w:r w:rsidRPr="001F4100">
              <w:rPr>
                <w:sz w:val="20"/>
                <w:szCs w:val="20"/>
              </w:rPr>
              <w:t>Progression-free survival</w:t>
            </w:r>
          </w:p>
        </w:tc>
      </w:tr>
      <w:tr w:rsidR="001F4100" w:rsidRPr="001F4100" w:rsidTr="00D12705">
        <w:tblPrEx>
          <w:tblBorders>
            <w:top w:val="none" w:sz="0" w:space="0" w:color="auto"/>
          </w:tblBorders>
        </w:tblPrEx>
        <w:trPr>
          <w:trHeight w:val="496"/>
        </w:trPr>
        <w:tc>
          <w:tcPr>
            <w:tcW w:w="3085" w:type="dxa"/>
            <w:tcBorders>
              <w:top w:val="nil"/>
              <w:left w:val="nil"/>
              <w:bottom w:val="single" w:sz="4" w:space="0" w:color="auto"/>
              <w:right w:val="nil"/>
            </w:tcBorders>
            <w:tcMar>
              <w:top w:w="80" w:type="nil"/>
              <w:left w:w="80" w:type="nil"/>
              <w:bottom w:w="80" w:type="nil"/>
              <w:right w:w="80" w:type="nil"/>
            </w:tcMar>
            <w:vAlign w:val="bottom"/>
          </w:tcPr>
          <w:p w:rsidR="000B4654" w:rsidRPr="001F4100" w:rsidRDefault="000B4654" w:rsidP="00D12705">
            <w:pPr>
              <w:pStyle w:val="NoSpacing"/>
              <w:rPr>
                <w:kern w:val="1"/>
                <w:sz w:val="20"/>
                <w:szCs w:val="20"/>
              </w:rPr>
            </w:pPr>
          </w:p>
        </w:tc>
        <w:tc>
          <w:tcPr>
            <w:tcW w:w="709" w:type="dxa"/>
            <w:tcBorders>
              <w:top w:val="nil"/>
              <w:left w:val="nil"/>
              <w:bottom w:val="single" w:sz="4" w:space="0" w:color="auto"/>
              <w:right w:val="nil"/>
            </w:tcBorders>
          </w:tcPr>
          <w:p w:rsidR="000B4654" w:rsidRPr="001F4100" w:rsidRDefault="000B4654" w:rsidP="00D12705">
            <w:pPr>
              <w:pStyle w:val="NoSpacing"/>
              <w:jc w:val="center"/>
              <w:rPr>
                <w:sz w:val="20"/>
                <w:szCs w:val="20"/>
              </w:rPr>
            </w:pPr>
            <w:r w:rsidRPr="001F4100">
              <w:rPr>
                <w:sz w:val="20"/>
                <w:szCs w:val="20"/>
              </w:rPr>
              <w:t>HR</w:t>
            </w:r>
          </w:p>
        </w:tc>
        <w:tc>
          <w:tcPr>
            <w:tcW w:w="1417" w:type="dxa"/>
            <w:tcBorders>
              <w:top w:val="nil"/>
              <w:left w:val="nil"/>
              <w:bottom w:val="single" w:sz="4" w:space="0" w:color="auto"/>
              <w:right w:val="nil"/>
            </w:tcBorders>
          </w:tcPr>
          <w:p w:rsidR="000B4654" w:rsidRPr="001F4100" w:rsidRDefault="000B4654" w:rsidP="00D12705">
            <w:pPr>
              <w:pStyle w:val="NoSpacing"/>
              <w:jc w:val="center"/>
              <w:rPr>
                <w:kern w:val="1"/>
                <w:sz w:val="20"/>
                <w:szCs w:val="20"/>
              </w:rPr>
            </w:pPr>
            <w:r w:rsidRPr="001F4100">
              <w:rPr>
                <w:kern w:val="1"/>
                <w:sz w:val="20"/>
                <w:szCs w:val="20"/>
              </w:rPr>
              <w:t>95%CI</w:t>
            </w:r>
          </w:p>
        </w:tc>
        <w:tc>
          <w:tcPr>
            <w:tcW w:w="851" w:type="dxa"/>
            <w:tcBorders>
              <w:top w:val="nil"/>
              <w:left w:val="nil"/>
              <w:bottom w:val="single" w:sz="4" w:space="0" w:color="auto"/>
              <w:right w:val="nil"/>
            </w:tcBorders>
          </w:tcPr>
          <w:p w:rsidR="000B4654" w:rsidRPr="001F4100" w:rsidRDefault="000B4654" w:rsidP="00D12705">
            <w:pPr>
              <w:pStyle w:val="NoSpacing"/>
              <w:jc w:val="center"/>
              <w:rPr>
                <w:i/>
                <w:sz w:val="20"/>
                <w:szCs w:val="20"/>
              </w:rPr>
            </w:pPr>
            <w:r w:rsidRPr="001F4100">
              <w:rPr>
                <w:i/>
                <w:sz w:val="20"/>
                <w:szCs w:val="20"/>
              </w:rPr>
              <w:t>P-value</w:t>
            </w:r>
          </w:p>
        </w:tc>
        <w:tc>
          <w:tcPr>
            <w:tcW w:w="425" w:type="dxa"/>
            <w:tcBorders>
              <w:top w:val="nil"/>
              <w:left w:val="nil"/>
              <w:bottom w:val="single" w:sz="4" w:space="0" w:color="auto"/>
              <w:right w:val="nil"/>
            </w:tcBorders>
          </w:tcPr>
          <w:p w:rsidR="000B4654" w:rsidRPr="001F4100" w:rsidRDefault="000B4654" w:rsidP="00D12705">
            <w:pPr>
              <w:pStyle w:val="NoSpacing"/>
              <w:jc w:val="center"/>
              <w:rPr>
                <w:sz w:val="20"/>
                <w:szCs w:val="20"/>
              </w:rPr>
            </w:pPr>
          </w:p>
        </w:tc>
        <w:tc>
          <w:tcPr>
            <w:tcW w:w="709" w:type="dxa"/>
            <w:tcBorders>
              <w:top w:val="nil"/>
              <w:left w:val="nil"/>
              <w:bottom w:val="single" w:sz="4" w:space="0" w:color="auto"/>
              <w:right w:val="nil"/>
            </w:tcBorders>
          </w:tcPr>
          <w:p w:rsidR="000B4654" w:rsidRPr="001F4100" w:rsidRDefault="000B4654" w:rsidP="00D12705">
            <w:pPr>
              <w:pStyle w:val="NoSpacing"/>
              <w:jc w:val="center"/>
              <w:rPr>
                <w:sz w:val="20"/>
                <w:szCs w:val="20"/>
              </w:rPr>
            </w:pPr>
            <w:r w:rsidRPr="001F4100">
              <w:rPr>
                <w:sz w:val="20"/>
                <w:szCs w:val="20"/>
              </w:rPr>
              <w:t>HR</w:t>
            </w:r>
          </w:p>
        </w:tc>
        <w:tc>
          <w:tcPr>
            <w:tcW w:w="1417" w:type="dxa"/>
            <w:tcBorders>
              <w:top w:val="nil"/>
              <w:left w:val="nil"/>
              <w:bottom w:val="single" w:sz="4" w:space="0" w:color="auto"/>
              <w:right w:val="nil"/>
            </w:tcBorders>
          </w:tcPr>
          <w:p w:rsidR="000B4654" w:rsidRPr="001F4100" w:rsidRDefault="000B4654" w:rsidP="00D12705">
            <w:pPr>
              <w:pStyle w:val="NoSpacing"/>
              <w:jc w:val="center"/>
              <w:rPr>
                <w:sz w:val="20"/>
                <w:szCs w:val="20"/>
              </w:rPr>
            </w:pPr>
            <w:r w:rsidRPr="001F4100">
              <w:rPr>
                <w:sz w:val="20"/>
                <w:szCs w:val="20"/>
              </w:rPr>
              <w:t>95%CI</w:t>
            </w:r>
          </w:p>
        </w:tc>
        <w:tc>
          <w:tcPr>
            <w:tcW w:w="993" w:type="dxa"/>
            <w:tcBorders>
              <w:top w:val="nil"/>
              <w:left w:val="nil"/>
              <w:bottom w:val="single" w:sz="4" w:space="0" w:color="auto"/>
              <w:right w:val="nil"/>
            </w:tcBorders>
          </w:tcPr>
          <w:p w:rsidR="000B4654" w:rsidRPr="001F4100" w:rsidRDefault="000B4654" w:rsidP="00D12705">
            <w:pPr>
              <w:pStyle w:val="NoSpacing"/>
              <w:jc w:val="center"/>
              <w:rPr>
                <w:i/>
                <w:sz w:val="20"/>
                <w:szCs w:val="20"/>
              </w:rPr>
            </w:pPr>
            <w:r w:rsidRPr="001F4100">
              <w:rPr>
                <w:i/>
                <w:sz w:val="20"/>
                <w:szCs w:val="20"/>
              </w:rPr>
              <w:t>P-value</w:t>
            </w:r>
          </w:p>
        </w:tc>
      </w:tr>
      <w:tr w:rsidR="001F4100" w:rsidRPr="001F4100" w:rsidTr="00D12705">
        <w:tblPrEx>
          <w:tblBorders>
            <w:top w:val="none" w:sz="0" w:space="0" w:color="auto"/>
          </w:tblBorders>
        </w:tblPrEx>
        <w:trPr>
          <w:trHeight w:val="254"/>
        </w:trPr>
        <w:tc>
          <w:tcPr>
            <w:tcW w:w="9606" w:type="dxa"/>
            <w:gridSpan w:val="8"/>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jc w:val="center"/>
              <w:rPr>
                <w:kern w:val="1"/>
                <w:sz w:val="20"/>
                <w:szCs w:val="20"/>
              </w:rPr>
            </w:pPr>
          </w:p>
        </w:tc>
      </w:tr>
      <w:tr w:rsidR="001F4100" w:rsidRPr="001F4100" w:rsidTr="00D12705">
        <w:tblPrEx>
          <w:tblBorders>
            <w:top w:val="none" w:sz="0" w:space="0" w:color="auto"/>
          </w:tblBorders>
        </w:tblPrEx>
        <w:trPr>
          <w:trHeight w:val="241"/>
        </w:trPr>
        <w:tc>
          <w:tcPr>
            <w:tcW w:w="9606" w:type="dxa"/>
            <w:gridSpan w:val="8"/>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jc w:val="center"/>
              <w:rPr>
                <w:b/>
                <w:i/>
                <w:kern w:val="1"/>
                <w:sz w:val="20"/>
                <w:szCs w:val="20"/>
              </w:rPr>
            </w:pPr>
            <w:r w:rsidRPr="001F4100">
              <w:rPr>
                <w:b/>
                <w:i/>
                <w:sz w:val="20"/>
                <w:szCs w:val="20"/>
              </w:rPr>
              <w:t xml:space="preserve">Patients with PDL1 expression </w:t>
            </w:r>
            <w:r w:rsidRPr="001F4100">
              <w:rPr>
                <w:b/>
                <w:lang w:eastAsia="fr-FR"/>
              </w:rPr>
              <w:sym w:font="Symbol" w:char="F0B3"/>
            </w:r>
            <w:r w:rsidRPr="001F4100">
              <w:rPr>
                <w:b/>
                <w:i/>
                <w:sz w:val="20"/>
                <w:szCs w:val="20"/>
              </w:rPr>
              <w:t>50% (N=381)</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p>
        </w:tc>
        <w:tc>
          <w:tcPr>
            <w:tcW w:w="709" w:type="dxa"/>
            <w:tcBorders>
              <w:top w:val="nil"/>
              <w:left w:val="nil"/>
              <w:bottom w:val="nil"/>
              <w:right w:val="nil"/>
            </w:tcBorders>
          </w:tcPr>
          <w:p w:rsidR="000B4654" w:rsidRPr="001F4100" w:rsidRDefault="000B4654" w:rsidP="00D12705">
            <w:pPr>
              <w:pStyle w:val="NoSpacing"/>
              <w:jc w:val="right"/>
              <w:rPr>
                <w:sz w:val="20"/>
                <w:szCs w:val="20"/>
              </w:rPr>
            </w:pPr>
          </w:p>
        </w:tc>
        <w:tc>
          <w:tcPr>
            <w:tcW w:w="1417" w:type="dxa"/>
            <w:tcBorders>
              <w:top w:val="nil"/>
              <w:left w:val="nil"/>
              <w:bottom w:val="nil"/>
              <w:right w:val="nil"/>
            </w:tcBorders>
          </w:tcPr>
          <w:p w:rsidR="000B4654" w:rsidRPr="001F4100" w:rsidRDefault="000B4654" w:rsidP="00D12705">
            <w:pPr>
              <w:pStyle w:val="NoSpacing"/>
              <w:jc w:val="right"/>
              <w:rPr>
                <w:sz w:val="20"/>
                <w:szCs w:val="20"/>
              </w:rPr>
            </w:pPr>
          </w:p>
        </w:tc>
        <w:tc>
          <w:tcPr>
            <w:tcW w:w="851" w:type="dxa"/>
            <w:tcBorders>
              <w:top w:val="nil"/>
              <w:left w:val="nil"/>
              <w:bottom w:val="nil"/>
              <w:right w:val="nil"/>
            </w:tcBorders>
          </w:tcPr>
          <w:p w:rsidR="000B4654" w:rsidRPr="001F4100" w:rsidRDefault="000B4654" w:rsidP="00D12705">
            <w:pPr>
              <w:pStyle w:val="NoSpacing"/>
              <w:jc w:val="right"/>
              <w:rPr>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b/>
                <w:sz w:val="20"/>
                <w:szCs w:val="20"/>
              </w:rPr>
            </w:pPr>
            <w:r w:rsidRPr="001F4100">
              <w:rPr>
                <w:b/>
                <w:kern w:val="1"/>
                <w:sz w:val="20"/>
                <w:szCs w:val="20"/>
              </w:rPr>
              <w:t>Model 1</w:t>
            </w:r>
            <w:r w:rsidRPr="001F4100">
              <w:rPr>
                <w:b/>
                <w:kern w:val="1"/>
                <w:sz w:val="20"/>
                <w:szCs w:val="20"/>
                <w:vertAlign w:val="superscript"/>
              </w:rPr>
              <w:t>b</w:t>
            </w:r>
            <w:r w:rsidRPr="001F4100">
              <w:rPr>
                <w:b/>
                <w:kern w:val="1"/>
                <w:sz w:val="20"/>
                <w:szCs w:val="20"/>
              </w:rPr>
              <w:t>: Immunotherapy vs chemotherapy (ref)</w:t>
            </w:r>
          </w:p>
        </w:tc>
        <w:tc>
          <w:tcPr>
            <w:tcW w:w="709" w:type="dxa"/>
            <w:tcBorders>
              <w:top w:val="nil"/>
              <w:left w:val="nil"/>
              <w:bottom w:val="nil"/>
              <w:right w:val="nil"/>
            </w:tcBorders>
          </w:tcPr>
          <w:p w:rsidR="000B4654" w:rsidRPr="001F4100" w:rsidRDefault="000B4654" w:rsidP="00D12705">
            <w:pPr>
              <w:pStyle w:val="NoSpacing"/>
              <w:jc w:val="right"/>
              <w:rPr>
                <w:sz w:val="20"/>
                <w:szCs w:val="20"/>
              </w:rPr>
            </w:pPr>
          </w:p>
        </w:tc>
        <w:tc>
          <w:tcPr>
            <w:tcW w:w="1417" w:type="dxa"/>
            <w:tcBorders>
              <w:top w:val="nil"/>
              <w:left w:val="nil"/>
              <w:bottom w:val="nil"/>
              <w:right w:val="nil"/>
            </w:tcBorders>
          </w:tcPr>
          <w:p w:rsidR="000B4654" w:rsidRPr="001F4100" w:rsidRDefault="000B4654" w:rsidP="00D12705">
            <w:pPr>
              <w:pStyle w:val="NoSpacing"/>
              <w:jc w:val="right"/>
              <w:rPr>
                <w:sz w:val="20"/>
                <w:szCs w:val="20"/>
              </w:rPr>
            </w:pPr>
          </w:p>
        </w:tc>
        <w:tc>
          <w:tcPr>
            <w:tcW w:w="851" w:type="dxa"/>
            <w:tcBorders>
              <w:top w:val="nil"/>
              <w:left w:val="nil"/>
              <w:bottom w:val="nil"/>
              <w:right w:val="nil"/>
            </w:tcBorders>
          </w:tcPr>
          <w:p w:rsidR="000B4654" w:rsidRPr="001F4100" w:rsidRDefault="000B4654" w:rsidP="00D12705">
            <w:pPr>
              <w:pStyle w:val="NoSpacing"/>
              <w:jc w:val="right"/>
              <w:rPr>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sz w:val="20"/>
                <w:szCs w:val="20"/>
              </w:rPr>
            </w:pPr>
            <w:r w:rsidRPr="001F4100">
              <w:rPr>
                <w:sz w:val="20"/>
                <w:szCs w:val="20"/>
              </w:rPr>
              <w:t>PS 0-1</w:t>
            </w:r>
          </w:p>
        </w:tc>
        <w:tc>
          <w:tcPr>
            <w:tcW w:w="709" w:type="dxa"/>
            <w:tcBorders>
              <w:top w:val="nil"/>
              <w:left w:val="nil"/>
              <w:bottom w:val="nil"/>
              <w:right w:val="nil"/>
            </w:tcBorders>
          </w:tcPr>
          <w:p w:rsidR="000B4654" w:rsidRPr="001F4100" w:rsidRDefault="000B4654" w:rsidP="00D12705">
            <w:pPr>
              <w:pStyle w:val="NoSpacing"/>
              <w:rPr>
                <w:sz w:val="20"/>
                <w:szCs w:val="20"/>
              </w:rPr>
            </w:pPr>
          </w:p>
        </w:tc>
        <w:tc>
          <w:tcPr>
            <w:tcW w:w="1417" w:type="dxa"/>
            <w:tcBorders>
              <w:top w:val="nil"/>
              <w:left w:val="nil"/>
              <w:bottom w:val="nil"/>
              <w:right w:val="nil"/>
            </w:tcBorders>
          </w:tcPr>
          <w:p w:rsidR="000B4654" w:rsidRPr="001F4100" w:rsidRDefault="000B4654" w:rsidP="00D12705">
            <w:pPr>
              <w:pStyle w:val="NoSpacing"/>
              <w:rPr>
                <w:sz w:val="20"/>
                <w:szCs w:val="20"/>
              </w:rPr>
            </w:pPr>
          </w:p>
        </w:tc>
        <w:tc>
          <w:tcPr>
            <w:tcW w:w="851" w:type="dxa"/>
            <w:tcBorders>
              <w:top w:val="nil"/>
              <w:left w:val="nil"/>
              <w:bottom w:val="nil"/>
              <w:right w:val="nil"/>
            </w:tcBorders>
          </w:tcPr>
          <w:p w:rsidR="000B4654" w:rsidRPr="001F4100" w:rsidRDefault="000B4654" w:rsidP="00D12705">
            <w:pPr>
              <w:pStyle w:val="NoSpacing"/>
              <w:rPr>
                <w:sz w:val="20"/>
                <w:szCs w:val="20"/>
              </w:rPr>
            </w:pPr>
          </w:p>
        </w:tc>
        <w:tc>
          <w:tcPr>
            <w:tcW w:w="425" w:type="dxa"/>
            <w:tcBorders>
              <w:top w:val="nil"/>
              <w:left w:val="nil"/>
              <w:bottom w:val="nil"/>
              <w:right w:val="nil"/>
            </w:tcBorders>
          </w:tcPr>
          <w:p w:rsidR="000B4654" w:rsidRPr="001F4100" w:rsidRDefault="000B4654" w:rsidP="00D12705">
            <w:pPr>
              <w:pStyle w:val="NoSpacing"/>
              <w:rPr>
                <w:kern w:val="1"/>
                <w:sz w:val="20"/>
                <w:szCs w:val="20"/>
              </w:rPr>
            </w:pPr>
          </w:p>
        </w:tc>
        <w:tc>
          <w:tcPr>
            <w:tcW w:w="709" w:type="dxa"/>
            <w:tcBorders>
              <w:top w:val="nil"/>
              <w:left w:val="nil"/>
              <w:bottom w:val="nil"/>
              <w:right w:val="nil"/>
            </w:tcBorders>
          </w:tcPr>
          <w:p w:rsidR="000B4654" w:rsidRPr="001F4100" w:rsidRDefault="000B4654" w:rsidP="00D12705">
            <w:pPr>
              <w:pStyle w:val="NoSpacing"/>
              <w:rPr>
                <w:kern w:val="1"/>
                <w:sz w:val="20"/>
                <w:szCs w:val="20"/>
              </w:rPr>
            </w:pPr>
          </w:p>
        </w:tc>
        <w:tc>
          <w:tcPr>
            <w:tcW w:w="1417" w:type="dxa"/>
            <w:tcBorders>
              <w:top w:val="nil"/>
              <w:left w:val="nil"/>
              <w:bottom w:val="nil"/>
              <w:right w:val="nil"/>
            </w:tcBorders>
          </w:tcPr>
          <w:p w:rsidR="000B4654" w:rsidRPr="001F4100" w:rsidRDefault="000B4654" w:rsidP="00D12705">
            <w:pPr>
              <w:pStyle w:val="NoSpacing"/>
              <w:rPr>
                <w:kern w:val="1"/>
                <w:sz w:val="20"/>
                <w:szCs w:val="20"/>
              </w:rPr>
            </w:pPr>
          </w:p>
        </w:tc>
        <w:tc>
          <w:tcPr>
            <w:tcW w:w="993" w:type="dxa"/>
            <w:tcBorders>
              <w:top w:val="nil"/>
              <w:left w:val="nil"/>
              <w:bottom w:val="nil"/>
              <w:right w:val="nil"/>
            </w:tcBorders>
          </w:tcPr>
          <w:p w:rsidR="000B4654" w:rsidRPr="001F4100" w:rsidRDefault="000B4654" w:rsidP="00D12705">
            <w:pPr>
              <w:pStyle w:val="NoSpacing"/>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Before 3 months</w:t>
            </w:r>
          </w:p>
        </w:tc>
        <w:tc>
          <w:tcPr>
            <w:tcW w:w="709"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2.76</w:t>
            </w:r>
          </w:p>
        </w:tc>
        <w:tc>
          <w:tcPr>
            <w:tcW w:w="1417"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1.01 – 7.53</w:t>
            </w:r>
          </w:p>
        </w:tc>
        <w:tc>
          <w:tcPr>
            <w:tcW w:w="851"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0.048</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0.84</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0.52 – 1.34</w:t>
            </w: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0.456</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After 3 months</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0.93</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0.34 – 2.51</w:t>
            </w: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0.881</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0.56</w:t>
            </w:r>
          </w:p>
        </w:tc>
        <w:tc>
          <w:tcPr>
            <w:tcW w:w="1417"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0.36 – 0.87</w:t>
            </w:r>
          </w:p>
        </w:tc>
        <w:tc>
          <w:tcPr>
            <w:tcW w:w="993"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0.009</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sz w:val="20"/>
                <w:szCs w:val="20"/>
              </w:rPr>
            </w:pPr>
            <w:r w:rsidRPr="001F4100">
              <w:rPr>
                <w:sz w:val="20"/>
                <w:szCs w:val="20"/>
              </w:rPr>
              <w:t>PS 2-3-4</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Before 3 months</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1.77</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0.32 – 9.97</w:t>
            </w: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0.517</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1.90</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0.97 – 3.73</w:t>
            </w: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0.060</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After 3 months</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NA</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NA</w:t>
            </w: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NA</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1.03</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0.37 – 2.87</w:t>
            </w: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0.953</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b/>
                <w:sz w:val="20"/>
                <w:szCs w:val="20"/>
              </w:rPr>
            </w:pPr>
            <w:r w:rsidRPr="001F4100">
              <w:rPr>
                <w:b/>
                <w:kern w:val="1"/>
                <w:sz w:val="20"/>
                <w:szCs w:val="20"/>
              </w:rPr>
              <w:t>Model 2</w:t>
            </w:r>
            <w:r w:rsidRPr="001F4100">
              <w:rPr>
                <w:b/>
                <w:kern w:val="1"/>
                <w:sz w:val="20"/>
                <w:szCs w:val="20"/>
                <w:vertAlign w:val="superscript"/>
              </w:rPr>
              <w:t>b</w:t>
            </w:r>
            <w:r w:rsidRPr="001F4100">
              <w:rPr>
                <w:b/>
                <w:kern w:val="1"/>
                <w:sz w:val="20"/>
                <w:szCs w:val="20"/>
              </w:rPr>
              <w:t>: Immunotherapy vs chemotherapy (ref)</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sz w:val="20"/>
                <w:szCs w:val="20"/>
              </w:rPr>
            </w:pPr>
            <w:r w:rsidRPr="001F4100">
              <w:rPr>
                <w:sz w:val="20"/>
                <w:szCs w:val="20"/>
              </w:rPr>
              <w:t>PS 0-1</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Before 3 months</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2.51</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0.92 – 6.87</w:t>
            </w: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0.073</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0.66</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0.41 – 1.06</w:t>
            </w: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0.088</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After 3 months</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0.86</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0.32 – 2.33</w:t>
            </w: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0.769</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0.39</w:t>
            </w:r>
          </w:p>
        </w:tc>
        <w:tc>
          <w:tcPr>
            <w:tcW w:w="1417"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0.25 – 0.62</w:t>
            </w:r>
          </w:p>
        </w:tc>
        <w:tc>
          <w:tcPr>
            <w:tcW w:w="993"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&lt;0.001</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sz w:val="20"/>
                <w:szCs w:val="20"/>
              </w:rPr>
            </w:pPr>
            <w:r w:rsidRPr="001F4100">
              <w:rPr>
                <w:sz w:val="20"/>
                <w:szCs w:val="20"/>
              </w:rPr>
              <w:t>PS 2-3-4</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Before 3 months</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1.64</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0.29 – 9.17</w:t>
            </w: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0.576</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2.21</w:t>
            </w:r>
          </w:p>
        </w:tc>
        <w:tc>
          <w:tcPr>
            <w:tcW w:w="1417"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1.12 – 4.35</w:t>
            </w:r>
          </w:p>
        </w:tc>
        <w:tc>
          <w:tcPr>
            <w:tcW w:w="993" w:type="dxa"/>
            <w:tcBorders>
              <w:top w:val="nil"/>
              <w:left w:val="nil"/>
              <w:bottom w:val="nil"/>
              <w:right w:val="nil"/>
            </w:tcBorders>
          </w:tcPr>
          <w:p w:rsidR="000B4654" w:rsidRPr="001F4100" w:rsidRDefault="000B4654" w:rsidP="00D12705">
            <w:pPr>
              <w:pStyle w:val="NoSpacing"/>
              <w:jc w:val="right"/>
              <w:rPr>
                <w:b/>
                <w:kern w:val="1"/>
                <w:sz w:val="20"/>
                <w:szCs w:val="20"/>
              </w:rPr>
            </w:pPr>
            <w:r w:rsidRPr="001F4100">
              <w:rPr>
                <w:b/>
                <w:kern w:val="1"/>
                <w:sz w:val="20"/>
                <w:szCs w:val="20"/>
              </w:rPr>
              <w:t>0.022</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r w:rsidRPr="001F4100">
              <w:rPr>
                <w:sz w:val="20"/>
                <w:szCs w:val="20"/>
              </w:rPr>
              <w:t>After 3 months</w:t>
            </w: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NA</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NA</w:t>
            </w: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NA</w:t>
            </w: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1.20</w:t>
            </w: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0.43 – 3.36</w:t>
            </w: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r w:rsidRPr="001F4100">
              <w:rPr>
                <w:kern w:val="1"/>
                <w:sz w:val="20"/>
                <w:szCs w:val="20"/>
              </w:rPr>
              <w:t>0.723</w:t>
            </w:r>
          </w:p>
        </w:tc>
      </w:tr>
      <w:tr w:rsidR="001F4100" w:rsidRPr="001F4100" w:rsidTr="00D12705">
        <w:tblPrEx>
          <w:tblBorders>
            <w:top w:val="none" w:sz="0" w:space="0" w:color="auto"/>
          </w:tblBorders>
        </w:tblPrEx>
        <w:trPr>
          <w:trHeight w:val="241"/>
        </w:trPr>
        <w:tc>
          <w:tcPr>
            <w:tcW w:w="3085"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851"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425"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709"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1417" w:type="dxa"/>
            <w:tcBorders>
              <w:top w:val="nil"/>
              <w:left w:val="nil"/>
              <w:bottom w:val="nil"/>
              <w:right w:val="nil"/>
            </w:tcBorders>
          </w:tcPr>
          <w:p w:rsidR="000B4654" w:rsidRPr="001F4100" w:rsidRDefault="000B4654" w:rsidP="00D12705">
            <w:pPr>
              <w:pStyle w:val="NoSpacing"/>
              <w:jc w:val="right"/>
              <w:rPr>
                <w:kern w:val="1"/>
                <w:sz w:val="20"/>
                <w:szCs w:val="20"/>
              </w:rPr>
            </w:pPr>
          </w:p>
        </w:tc>
        <w:tc>
          <w:tcPr>
            <w:tcW w:w="993" w:type="dxa"/>
            <w:tcBorders>
              <w:top w:val="nil"/>
              <w:left w:val="nil"/>
              <w:bottom w:val="nil"/>
              <w:right w:val="nil"/>
            </w:tcBorders>
          </w:tcPr>
          <w:p w:rsidR="000B4654" w:rsidRPr="001F4100" w:rsidRDefault="000B4654" w:rsidP="00D12705">
            <w:pPr>
              <w:pStyle w:val="NoSpacing"/>
              <w:jc w:val="right"/>
              <w:rPr>
                <w:kern w:val="1"/>
                <w:sz w:val="20"/>
                <w:szCs w:val="20"/>
              </w:rPr>
            </w:pPr>
          </w:p>
        </w:tc>
      </w:tr>
      <w:tr w:rsidR="001F4100" w:rsidRPr="001F4100" w:rsidTr="00D12705">
        <w:tblPrEx>
          <w:tblBorders>
            <w:top w:val="none" w:sz="0" w:space="0" w:color="auto"/>
          </w:tblBorders>
        </w:tblPrEx>
        <w:trPr>
          <w:trHeight w:val="1502"/>
        </w:trPr>
        <w:tc>
          <w:tcPr>
            <w:tcW w:w="9606" w:type="dxa"/>
            <w:gridSpan w:val="8"/>
            <w:tcBorders>
              <w:top w:val="single" w:sz="4" w:space="0" w:color="auto"/>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20"/>
                <w:szCs w:val="20"/>
              </w:rPr>
            </w:pPr>
            <w:r w:rsidRPr="001F4100">
              <w:rPr>
                <w:kern w:val="1"/>
                <w:sz w:val="20"/>
                <w:szCs w:val="20"/>
              </w:rPr>
              <w:t>Ref: reference; 95%CI: 95% confidence interval</w:t>
            </w:r>
          </w:p>
          <w:p w:rsidR="000B4654" w:rsidRPr="001F4100" w:rsidRDefault="000B4654" w:rsidP="00D12705">
            <w:pPr>
              <w:pStyle w:val="NoSpacing"/>
              <w:rPr>
                <w:kern w:val="1"/>
                <w:sz w:val="20"/>
                <w:szCs w:val="20"/>
              </w:rPr>
            </w:pPr>
            <w:proofErr w:type="spellStart"/>
            <w:r w:rsidRPr="001F4100">
              <w:rPr>
                <w:kern w:val="1"/>
                <w:sz w:val="20"/>
                <w:szCs w:val="20"/>
                <w:vertAlign w:val="superscript"/>
              </w:rPr>
              <w:t>a</w:t>
            </w:r>
            <w:r w:rsidRPr="001F4100">
              <w:rPr>
                <w:kern w:val="1"/>
                <w:sz w:val="20"/>
                <w:szCs w:val="20"/>
              </w:rPr>
              <w:t>Model</w:t>
            </w:r>
            <w:proofErr w:type="spellEnd"/>
            <w:r w:rsidRPr="001F4100">
              <w:rPr>
                <w:kern w:val="1"/>
                <w:sz w:val="20"/>
                <w:szCs w:val="20"/>
              </w:rPr>
              <w:t xml:space="preserve"> 1: adjustment on gender, age, performance status, metastases localization, center, comorbidities (kidney failure, cardiovascular disease, history of other cancer), histology, delay to treatment initiation</w:t>
            </w:r>
          </w:p>
          <w:p w:rsidR="000B4654" w:rsidRPr="001F4100" w:rsidRDefault="000B4654" w:rsidP="00D12705">
            <w:pPr>
              <w:pStyle w:val="NoSpacing"/>
              <w:rPr>
                <w:kern w:val="1"/>
                <w:sz w:val="20"/>
                <w:szCs w:val="20"/>
              </w:rPr>
            </w:pPr>
            <w:proofErr w:type="spellStart"/>
            <w:r w:rsidRPr="001F4100">
              <w:rPr>
                <w:kern w:val="1"/>
                <w:sz w:val="20"/>
                <w:szCs w:val="20"/>
                <w:vertAlign w:val="superscript"/>
              </w:rPr>
              <w:t>b</w:t>
            </w:r>
            <w:r w:rsidRPr="001F4100">
              <w:rPr>
                <w:kern w:val="1"/>
                <w:sz w:val="20"/>
                <w:szCs w:val="20"/>
              </w:rPr>
              <w:t>Model</w:t>
            </w:r>
            <w:proofErr w:type="spellEnd"/>
            <w:r w:rsidRPr="001F4100">
              <w:rPr>
                <w:kern w:val="1"/>
                <w:sz w:val="20"/>
                <w:szCs w:val="20"/>
              </w:rPr>
              <w:t xml:space="preserve"> 2: adjustment on gender, age, performance status, metastases localization, center, comorbidities (kidney failure, cardiovascular disease, history of other cancer), histology, year of treatment initiation</w:t>
            </w:r>
          </w:p>
          <w:p w:rsidR="000B4654" w:rsidRPr="001F4100" w:rsidRDefault="000B4654" w:rsidP="00D12705">
            <w:pPr>
              <w:pStyle w:val="NoSpacing"/>
              <w:rPr>
                <w:kern w:val="1"/>
                <w:sz w:val="20"/>
                <w:szCs w:val="20"/>
              </w:rPr>
            </w:pPr>
            <w:proofErr w:type="spellStart"/>
            <w:r w:rsidRPr="001F4100">
              <w:rPr>
                <w:kern w:val="1"/>
                <w:sz w:val="20"/>
                <w:szCs w:val="20"/>
                <w:vertAlign w:val="superscript"/>
              </w:rPr>
              <w:t>c</w:t>
            </w:r>
            <w:r w:rsidRPr="001F4100">
              <w:rPr>
                <w:kern w:val="1"/>
                <w:sz w:val="20"/>
                <w:szCs w:val="20"/>
              </w:rPr>
              <w:t>p</w:t>
            </w:r>
            <w:proofErr w:type="spellEnd"/>
            <w:r w:rsidRPr="001F4100">
              <w:rPr>
                <w:kern w:val="1"/>
                <w:sz w:val="20"/>
                <w:szCs w:val="20"/>
              </w:rPr>
              <w:t>-value for interaction treatment with performance status &lt;0.001</w:t>
            </w:r>
          </w:p>
          <w:p w:rsidR="000B4654" w:rsidRPr="001F4100" w:rsidRDefault="000B4654" w:rsidP="00D12705">
            <w:pPr>
              <w:pStyle w:val="NoSpacing"/>
              <w:rPr>
                <w:kern w:val="1"/>
                <w:sz w:val="20"/>
                <w:szCs w:val="20"/>
              </w:rPr>
            </w:pPr>
            <w:r w:rsidRPr="001F4100">
              <w:rPr>
                <w:kern w:val="1"/>
                <w:sz w:val="20"/>
                <w:szCs w:val="20"/>
              </w:rPr>
              <w:t>significant results are in bold</w:t>
            </w:r>
          </w:p>
        </w:tc>
      </w:tr>
    </w:tbl>
    <w:p w:rsidR="000B4654" w:rsidRPr="001F4100" w:rsidRDefault="000B4654" w:rsidP="000B4654">
      <w:pPr>
        <w:rPr>
          <w:rFonts w:cs="Arial"/>
          <w:b/>
          <w:szCs w:val="20"/>
          <w:lang w:val="en-US"/>
        </w:rPr>
      </w:pPr>
      <w:r w:rsidRPr="001F4100">
        <w:rPr>
          <w:rFonts w:cs="Arial"/>
          <w:b/>
          <w:szCs w:val="20"/>
          <w:lang w:val="en-US"/>
        </w:rPr>
        <w:t>SUPPLEMENTARY MATERIAL</w:t>
      </w:r>
      <w:r w:rsidRPr="001F4100">
        <w:rPr>
          <w:rFonts w:cs="Arial"/>
          <w:szCs w:val="20"/>
          <w:lang w:val="en-US"/>
        </w:rPr>
        <w:br w:type="page"/>
      </w:r>
    </w:p>
    <w:p w:rsidR="000B4654" w:rsidRPr="001F4100" w:rsidRDefault="000B4654" w:rsidP="000B4654">
      <w:pPr>
        <w:rPr>
          <w:rFonts w:cs="Arial"/>
          <w:szCs w:val="20"/>
          <w:lang w:val="en-US"/>
        </w:rPr>
      </w:pPr>
    </w:p>
    <w:tbl>
      <w:tblPr>
        <w:tblW w:w="9611" w:type="dxa"/>
        <w:tblInd w:w="-113" w:type="dxa"/>
        <w:tblBorders>
          <w:top w:val="nil"/>
          <w:left w:val="nil"/>
          <w:right w:val="nil"/>
        </w:tblBorders>
        <w:tblLayout w:type="fixed"/>
        <w:tblLook w:val="0000" w:firstRow="0" w:lastRow="0" w:firstColumn="0" w:lastColumn="0" w:noHBand="0" w:noVBand="0"/>
      </w:tblPr>
      <w:tblGrid>
        <w:gridCol w:w="3051"/>
        <w:gridCol w:w="2173"/>
        <w:gridCol w:w="2173"/>
        <w:gridCol w:w="2173"/>
        <w:gridCol w:w="41"/>
      </w:tblGrid>
      <w:tr w:rsidR="001F4100" w:rsidRPr="001F4100" w:rsidTr="00D12705">
        <w:trPr>
          <w:trHeight w:val="20"/>
          <w:tblHeader/>
        </w:trPr>
        <w:tc>
          <w:tcPr>
            <w:tcW w:w="9611" w:type="dxa"/>
            <w:gridSpan w:val="5"/>
            <w:tcBorders>
              <w:top w:val="nil"/>
              <w:left w:val="nil"/>
              <w:bottom w:val="nil"/>
              <w:right w:val="nil"/>
            </w:tcBorders>
            <w:tcMar>
              <w:top w:w="80" w:type="nil"/>
              <w:left w:w="80" w:type="nil"/>
              <w:bottom w:w="80" w:type="nil"/>
              <w:right w:w="80" w:type="nil"/>
            </w:tcMar>
          </w:tcPr>
          <w:p w:rsidR="000B4654" w:rsidRPr="001F4100" w:rsidRDefault="000B4654" w:rsidP="00D12705">
            <w:pPr>
              <w:pStyle w:val="Caption"/>
              <w:keepNext/>
              <w:rPr>
                <w:rFonts w:cs="Arial"/>
                <w:color w:val="auto"/>
              </w:rPr>
            </w:pPr>
            <w:r w:rsidRPr="001F4100">
              <w:rPr>
                <w:rFonts w:cs="Arial"/>
                <w:color w:val="auto"/>
              </w:rPr>
              <w:t>Supplementary material S2. Characteristics of the included population according to first-line therapy after propensity score matching</w:t>
            </w:r>
          </w:p>
        </w:tc>
      </w:tr>
      <w:tr w:rsidR="001F4100" w:rsidRPr="001F4100" w:rsidTr="00D12705">
        <w:trPr>
          <w:gridAfter w:val="1"/>
          <w:wAfter w:w="41" w:type="dxa"/>
          <w:trHeight w:val="20"/>
          <w:tblHeader/>
        </w:trPr>
        <w:tc>
          <w:tcPr>
            <w:tcW w:w="3051" w:type="dxa"/>
            <w:tcBorders>
              <w:top w:val="single" w:sz="4" w:space="0" w:color="auto"/>
              <w:left w:val="nil"/>
              <w:bottom w:val="single" w:sz="4" w:space="0" w:color="auto"/>
              <w:right w:val="nil"/>
            </w:tcBorders>
            <w:tcMar>
              <w:top w:w="80" w:type="nil"/>
              <w:left w:w="80" w:type="nil"/>
              <w:bottom w:w="80" w:type="nil"/>
              <w:right w:w="80" w:type="nil"/>
            </w:tcMar>
          </w:tcPr>
          <w:p w:rsidR="000B4654" w:rsidRPr="001F4100" w:rsidRDefault="000B4654" w:rsidP="00D12705">
            <w:pPr>
              <w:pStyle w:val="NoSpacing"/>
              <w:rPr>
                <w:sz w:val="18"/>
                <w:szCs w:val="18"/>
              </w:rPr>
            </w:pPr>
          </w:p>
        </w:tc>
        <w:tc>
          <w:tcPr>
            <w:tcW w:w="2173" w:type="dxa"/>
            <w:tcBorders>
              <w:top w:val="single" w:sz="4" w:space="0" w:color="auto"/>
              <w:left w:val="nil"/>
              <w:bottom w:val="single" w:sz="4" w:space="0" w:color="auto"/>
              <w:right w:val="nil"/>
            </w:tcBorders>
          </w:tcPr>
          <w:p w:rsidR="000B4654" w:rsidRPr="001F4100" w:rsidRDefault="000B4654" w:rsidP="00D12705">
            <w:pPr>
              <w:pStyle w:val="NoSpacing"/>
              <w:jc w:val="center"/>
              <w:rPr>
                <w:b/>
                <w:sz w:val="18"/>
                <w:szCs w:val="18"/>
              </w:rPr>
            </w:pPr>
            <w:r w:rsidRPr="001F4100">
              <w:rPr>
                <w:b/>
                <w:sz w:val="18"/>
                <w:szCs w:val="18"/>
              </w:rPr>
              <w:t>Initial population</w:t>
            </w:r>
          </w:p>
          <w:p w:rsidR="000B4654" w:rsidRPr="001F4100" w:rsidRDefault="000B4654" w:rsidP="00D12705">
            <w:pPr>
              <w:pStyle w:val="NoSpacing"/>
              <w:jc w:val="center"/>
              <w:rPr>
                <w:i/>
                <w:sz w:val="18"/>
                <w:szCs w:val="18"/>
              </w:rPr>
            </w:pPr>
            <w:r w:rsidRPr="001F4100">
              <w:rPr>
                <w:i/>
                <w:sz w:val="18"/>
                <w:szCs w:val="18"/>
              </w:rPr>
              <w:t>(N = 5255)</w:t>
            </w:r>
          </w:p>
        </w:tc>
        <w:tc>
          <w:tcPr>
            <w:tcW w:w="2173" w:type="dxa"/>
            <w:tcBorders>
              <w:top w:val="single" w:sz="4" w:space="0" w:color="auto"/>
              <w:left w:val="nil"/>
              <w:bottom w:val="single" w:sz="4" w:space="0" w:color="auto"/>
              <w:right w:val="nil"/>
            </w:tcBorders>
          </w:tcPr>
          <w:p w:rsidR="000B4654" w:rsidRPr="001F4100" w:rsidRDefault="000B4654" w:rsidP="00D12705">
            <w:pPr>
              <w:pStyle w:val="NoSpacing"/>
              <w:jc w:val="center"/>
              <w:rPr>
                <w:b/>
                <w:kern w:val="1"/>
                <w:sz w:val="18"/>
                <w:szCs w:val="18"/>
              </w:rPr>
            </w:pPr>
            <w:r w:rsidRPr="001F4100">
              <w:rPr>
                <w:b/>
                <w:kern w:val="1"/>
                <w:sz w:val="18"/>
                <w:szCs w:val="18"/>
              </w:rPr>
              <w:t>Chemotherapy matched group</w:t>
            </w:r>
          </w:p>
          <w:p w:rsidR="000B4654" w:rsidRPr="001F4100" w:rsidRDefault="000B4654" w:rsidP="00D12705">
            <w:pPr>
              <w:pStyle w:val="NoSpacing"/>
              <w:jc w:val="center"/>
              <w:rPr>
                <w:i/>
                <w:kern w:val="1"/>
                <w:sz w:val="18"/>
                <w:szCs w:val="18"/>
              </w:rPr>
            </w:pPr>
            <w:r w:rsidRPr="001F4100">
              <w:rPr>
                <w:i/>
                <w:kern w:val="1"/>
                <w:sz w:val="18"/>
                <w:szCs w:val="18"/>
              </w:rPr>
              <w:t>(N = 169)</w:t>
            </w:r>
          </w:p>
        </w:tc>
        <w:tc>
          <w:tcPr>
            <w:tcW w:w="2173" w:type="dxa"/>
            <w:tcBorders>
              <w:top w:val="single" w:sz="4" w:space="0" w:color="auto"/>
              <w:left w:val="nil"/>
              <w:bottom w:val="single" w:sz="4" w:space="0" w:color="auto"/>
              <w:right w:val="nil"/>
            </w:tcBorders>
          </w:tcPr>
          <w:p w:rsidR="000B4654" w:rsidRPr="001F4100" w:rsidRDefault="000B4654" w:rsidP="00D12705">
            <w:pPr>
              <w:pStyle w:val="NoSpacing"/>
              <w:jc w:val="center"/>
              <w:rPr>
                <w:b/>
                <w:sz w:val="18"/>
                <w:szCs w:val="18"/>
              </w:rPr>
            </w:pPr>
            <w:r w:rsidRPr="001F4100">
              <w:rPr>
                <w:b/>
                <w:sz w:val="18"/>
                <w:szCs w:val="18"/>
              </w:rPr>
              <w:t>Immunotherapy</w:t>
            </w:r>
          </w:p>
          <w:p w:rsidR="000B4654" w:rsidRPr="001F4100" w:rsidRDefault="000B4654" w:rsidP="00D12705">
            <w:pPr>
              <w:pStyle w:val="NoSpacing"/>
              <w:jc w:val="center"/>
              <w:rPr>
                <w:b/>
                <w:sz w:val="18"/>
                <w:szCs w:val="18"/>
              </w:rPr>
            </w:pPr>
            <w:r w:rsidRPr="001F4100">
              <w:rPr>
                <w:b/>
                <w:sz w:val="18"/>
                <w:szCs w:val="18"/>
              </w:rPr>
              <w:t>Matched group</w:t>
            </w:r>
          </w:p>
          <w:p w:rsidR="000B4654" w:rsidRPr="001F4100" w:rsidRDefault="000B4654" w:rsidP="00D12705">
            <w:pPr>
              <w:pStyle w:val="NoSpacing"/>
              <w:jc w:val="center"/>
              <w:rPr>
                <w:i/>
                <w:sz w:val="18"/>
                <w:szCs w:val="18"/>
              </w:rPr>
            </w:pPr>
            <w:r w:rsidRPr="001F4100">
              <w:rPr>
                <w:i/>
                <w:sz w:val="18"/>
                <w:szCs w:val="18"/>
              </w:rPr>
              <w:t>(N = 169)</w:t>
            </w:r>
          </w:p>
        </w:tc>
      </w:tr>
      <w:tr w:rsidR="001F4100" w:rsidRPr="001F4100" w:rsidTr="00D12705">
        <w:tblPrEx>
          <w:tblBorders>
            <w:top w:val="none" w:sz="0" w:space="0" w:color="auto"/>
          </w:tblBorders>
        </w:tblPrEx>
        <w:trPr>
          <w:gridAfter w:val="1"/>
          <w:wAfter w:w="41" w:type="dxa"/>
          <w:trHeight w:val="20"/>
          <w:tblHeader/>
        </w:trPr>
        <w:tc>
          <w:tcPr>
            <w:tcW w:w="3051" w:type="dxa"/>
            <w:tcBorders>
              <w:top w:val="single" w:sz="4" w:space="0" w:color="auto"/>
              <w:left w:val="nil"/>
              <w:bottom w:val="nil"/>
              <w:right w:val="nil"/>
            </w:tcBorders>
            <w:tcMar>
              <w:top w:w="80" w:type="nil"/>
              <w:left w:w="80" w:type="nil"/>
              <w:bottom w:w="80" w:type="nil"/>
              <w:right w:w="80" w:type="nil"/>
            </w:tcMar>
          </w:tcPr>
          <w:p w:rsidR="000B4654" w:rsidRPr="001F4100" w:rsidRDefault="000B4654" w:rsidP="00D12705">
            <w:pPr>
              <w:pStyle w:val="NoSpacing"/>
              <w:rPr>
                <w:b/>
                <w:kern w:val="1"/>
                <w:sz w:val="18"/>
                <w:szCs w:val="18"/>
              </w:rPr>
            </w:pPr>
          </w:p>
        </w:tc>
        <w:tc>
          <w:tcPr>
            <w:tcW w:w="2173" w:type="dxa"/>
            <w:tcBorders>
              <w:top w:val="single" w:sz="4" w:space="0" w:color="auto"/>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single" w:sz="4" w:space="0" w:color="auto"/>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single" w:sz="4" w:space="0" w:color="auto"/>
              <w:left w:val="nil"/>
              <w:bottom w:val="nil"/>
              <w:right w:val="nil"/>
            </w:tcBorders>
          </w:tcPr>
          <w:p w:rsidR="000B4654" w:rsidRPr="001F4100" w:rsidRDefault="000B4654" w:rsidP="00D12705">
            <w:pPr>
              <w:pStyle w:val="NoSpacing"/>
              <w:jc w:val="right"/>
              <w:rPr>
                <w:kern w:val="1"/>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b/>
                <w:kern w:val="1"/>
                <w:sz w:val="18"/>
                <w:szCs w:val="18"/>
              </w:rPr>
            </w:pPr>
            <w:r w:rsidRPr="001F4100">
              <w:rPr>
                <w:b/>
                <w:kern w:val="1"/>
                <w:sz w:val="18"/>
                <w:szCs w:val="18"/>
              </w:rPr>
              <w:t>Patients characteristics</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r w:rsidRPr="001F4100">
              <w:rPr>
                <w:kern w:val="1"/>
                <w:sz w:val="18"/>
                <w:szCs w:val="18"/>
              </w:rPr>
              <w:t>Sex</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Male</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3556 (67.7)</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114 (67.7)</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116 (68.6)</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Female</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1699 (32.3)</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55 (32.5)</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53 (31.4)</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r w:rsidRPr="001F4100">
              <w:rPr>
                <w:kern w:val="1"/>
                <w:sz w:val="18"/>
                <w:szCs w:val="18"/>
              </w:rPr>
              <w:t xml:space="preserve">Age at metastatic diagnosis </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63 (56 – 69)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63 (58 – 69)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64 (57 – 70)</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b/>
                <w:kern w:val="1"/>
                <w:sz w:val="18"/>
                <w:szCs w:val="18"/>
              </w:rPr>
            </w:pPr>
            <w:r w:rsidRPr="001F4100">
              <w:rPr>
                <w:b/>
                <w:kern w:val="1"/>
                <w:sz w:val="18"/>
                <w:szCs w:val="18"/>
              </w:rPr>
              <w:t>Comorbidities</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r w:rsidRPr="001F4100">
              <w:rPr>
                <w:kern w:val="1"/>
                <w:sz w:val="18"/>
                <w:szCs w:val="18"/>
              </w:rPr>
              <w:t>Smoking status</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Active smoker</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1995 (38.0)</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68 (40.2)</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64 (37.9)</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Former smoker</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2751 (52.3)</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92 (54.4)</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95 (56.2)</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Non-smoker</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304 (5.8)</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9 (5.3)</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10 (5.9)</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r w:rsidRPr="001F4100">
              <w:rPr>
                <w:kern w:val="1"/>
                <w:sz w:val="18"/>
                <w:szCs w:val="18"/>
              </w:rPr>
              <w:t>Medical history</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COPD</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686 (13.1)</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31 (18.3)</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32 (18.9)</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Autoimmune disease</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111 (2.1)</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4 (2.4)</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3 (1.8)</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Diabetes mellitus</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627 (11.9)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13 (7.7)</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21 (12.4)</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Kidney failure</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83 (1.6)</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 (1.8)</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 (0.6)</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Cardiovascular disease</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1694 (32.2)</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55 (32.5)</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52 (30.8)</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Other cancer</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783 (14.9)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24 (14.2)</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29 (17.8)</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b/>
                <w:kern w:val="1"/>
                <w:sz w:val="18"/>
                <w:szCs w:val="18"/>
              </w:rPr>
            </w:pPr>
            <w:r w:rsidRPr="001F4100">
              <w:rPr>
                <w:b/>
                <w:kern w:val="1"/>
                <w:sz w:val="18"/>
                <w:szCs w:val="18"/>
              </w:rPr>
              <w:t>PS ECOG</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0</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1038 (19.8)</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42 (24.9)</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44 (26.0)</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1</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2114 (40.2)</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87 (51.5)</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85 (50.3)</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2</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964 (18.3)</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26 (15.4)</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28 (16.6)</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3</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342 (6.5)</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9 (5.3)</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9 (5.3)</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4</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51 (1.0)</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5 (3.0)</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3 (1.8)</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b/>
                <w:kern w:val="1"/>
                <w:sz w:val="18"/>
                <w:szCs w:val="18"/>
              </w:rPr>
            </w:pPr>
            <w:r w:rsidRPr="001F4100">
              <w:rPr>
                <w:b/>
                <w:kern w:val="1"/>
                <w:sz w:val="18"/>
                <w:szCs w:val="18"/>
              </w:rPr>
              <w:t xml:space="preserve">Tumor-related </w:t>
            </w:r>
            <w:proofErr w:type="spellStart"/>
            <w:r w:rsidRPr="001F4100">
              <w:rPr>
                <w:b/>
                <w:kern w:val="1"/>
                <w:sz w:val="18"/>
                <w:szCs w:val="18"/>
              </w:rPr>
              <w:t>informations</w:t>
            </w:r>
            <w:proofErr w:type="spellEnd"/>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r w:rsidRPr="001F4100">
              <w:rPr>
                <w:kern w:val="1"/>
                <w:sz w:val="18"/>
                <w:szCs w:val="18"/>
              </w:rPr>
              <w:t>Histological type</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sz w:val="18"/>
                <w:szCs w:val="18"/>
              </w:rPr>
            </w:pPr>
            <w:r w:rsidRPr="001F4100">
              <w:rPr>
                <w:sz w:val="18"/>
                <w:szCs w:val="18"/>
              </w:rPr>
              <w:t>Squamous</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879 (16.7)</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30 (17.8)</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38 (22.5)</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Non-squamous</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4376 (83.3)</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139 (82.2)</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131 (77.5)</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r w:rsidRPr="001F4100">
              <w:rPr>
                <w:kern w:val="1"/>
                <w:sz w:val="18"/>
                <w:szCs w:val="18"/>
              </w:rPr>
              <w:t xml:space="preserve">M </w:t>
            </w:r>
            <w:proofErr w:type="spellStart"/>
            <w:r w:rsidRPr="001F4100">
              <w:rPr>
                <w:kern w:val="1"/>
                <w:sz w:val="18"/>
                <w:szCs w:val="18"/>
              </w:rPr>
              <w:t>stadification</w:t>
            </w:r>
            <w:proofErr w:type="spellEnd"/>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proofErr w:type="spellStart"/>
            <w:r w:rsidRPr="001F4100">
              <w:rPr>
                <w:kern w:val="1"/>
                <w:sz w:val="18"/>
                <w:szCs w:val="18"/>
              </w:rPr>
              <w:t>Mx</w:t>
            </w:r>
            <w:proofErr w:type="spellEnd"/>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782 (14.9)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38 (22.5)</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29 (14.5)</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M1a</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309 (5.9)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4 (2.4)</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10 (5.9)</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M1b</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1407 (26.8)</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44 (26.0)</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43 (25.4)</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M1c</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2757 (52.5)</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83 (49.1)</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94 (55.6)</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rPr>
                <w:kern w:val="1"/>
                <w:sz w:val="18"/>
                <w:szCs w:val="18"/>
              </w:rPr>
            </w:pPr>
            <w:r w:rsidRPr="001F4100">
              <w:rPr>
                <w:kern w:val="1"/>
                <w:sz w:val="18"/>
                <w:szCs w:val="18"/>
              </w:rPr>
              <w:t xml:space="preserve">Metastasis </w:t>
            </w:r>
            <w:proofErr w:type="spellStart"/>
            <w:r w:rsidRPr="001F4100">
              <w:rPr>
                <w:kern w:val="1"/>
                <w:sz w:val="18"/>
                <w:szCs w:val="18"/>
              </w:rPr>
              <w:t>localisation</w:t>
            </w:r>
            <w:proofErr w:type="spellEnd"/>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p>
        </w:tc>
        <w:tc>
          <w:tcPr>
            <w:tcW w:w="2173" w:type="dxa"/>
            <w:tcBorders>
              <w:top w:val="nil"/>
              <w:left w:val="nil"/>
              <w:bottom w:val="nil"/>
              <w:right w:val="nil"/>
            </w:tcBorders>
          </w:tcPr>
          <w:p w:rsidR="000B4654" w:rsidRPr="001F4100" w:rsidRDefault="000B4654" w:rsidP="00D12705">
            <w:pPr>
              <w:pStyle w:val="NoSpacing"/>
              <w:jc w:val="right"/>
              <w:rPr>
                <w:sz w:val="18"/>
                <w:szCs w:val="18"/>
              </w:rPr>
            </w:pP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Bone</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2306 (43.9)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78 (46.2)</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71 (42.0)</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Liver</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875 (16.7)</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38 (22.5)</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30 (17.8)</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Brain and nervous system</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1786 (34.2)</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41 (24.3)</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40 (23.7)</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Metastatic nodes</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841 (16.0)</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29 (17.9)</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34 (20.1)</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Adrenal glands</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1362 (25.9)</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42 (24.9)</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56 (33.1)</w:t>
            </w:r>
          </w:p>
        </w:tc>
      </w:tr>
      <w:tr w:rsidR="001F4100" w:rsidRPr="001F4100" w:rsidTr="00D12705">
        <w:tblPrEx>
          <w:tblBorders>
            <w:top w:val="none" w:sz="0" w:space="0" w:color="auto"/>
          </w:tblBorders>
        </w:tblPrEx>
        <w:trPr>
          <w:gridAfter w:val="1"/>
          <w:wAfter w:w="41" w:type="dxa"/>
          <w:trHeight w:val="20"/>
        </w:trPr>
        <w:tc>
          <w:tcPr>
            <w:tcW w:w="3051" w:type="dxa"/>
            <w:tcBorders>
              <w:top w:val="nil"/>
              <w:left w:val="nil"/>
              <w:bottom w:val="nil"/>
              <w:right w:val="nil"/>
            </w:tcBorders>
            <w:tcMar>
              <w:top w:w="80" w:type="nil"/>
              <w:left w:w="80" w:type="nil"/>
              <w:bottom w:w="80" w:type="nil"/>
              <w:right w:w="80" w:type="nil"/>
            </w:tcMar>
          </w:tcPr>
          <w:p w:rsidR="000B4654" w:rsidRPr="001F4100" w:rsidRDefault="000B4654" w:rsidP="00D12705">
            <w:pPr>
              <w:pStyle w:val="NoSpacing"/>
              <w:ind w:left="708"/>
              <w:rPr>
                <w:kern w:val="1"/>
                <w:sz w:val="18"/>
                <w:szCs w:val="18"/>
              </w:rPr>
            </w:pPr>
            <w:r w:rsidRPr="001F4100">
              <w:rPr>
                <w:kern w:val="1"/>
                <w:sz w:val="18"/>
                <w:szCs w:val="18"/>
              </w:rPr>
              <w:t>Other</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1301 (24.8)</w:t>
            </w:r>
          </w:p>
        </w:tc>
        <w:tc>
          <w:tcPr>
            <w:tcW w:w="2173" w:type="dxa"/>
            <w:tcBorders>
              <w:top w:val="nil"/>
              <w:left w:val="nil"/>
              <w:bottom w:val="nil"/>
              <w:right w:val="nil"/>
            </w:tcBorders>
          </w:tcPr>
          <w:p w:rsidR="000B4654" w:rsidRPr="001F4100" w:rsidRDefault="000B4654" w:rsidP="00D12705">
            <w:pPr>
              <w:pStyle w:val="NoSpacing"/>
              <w:jc w:val="right"/>
              <w:rPr>
                <w:kern w:val="1"/>
                <w:sz w:val="18"/>
                <w:szCs w:val="18"/>
              </w:rPr>
            </w:pPr>
            <w:r w:rsidRPr="001F4100">
              <w:rPr>
                <w:kern w:val="1"/>
                <w:sz w:val="18"/>
                <w:szCs w:val="18"/>
              </w:rPr>
              <w:t>51 (30.2)</w:t>
            </w:r>
          </w:p>
        </w:tc>
        <w:tc>
          <w:tcPr>
            <w:tcW w:w="2173" w:type="dxa"/>
            <w:tcBorders>
              <w:top w:val="nil"/>
              <w:left w:val="nil"/>
              <w:bottom w:val="nil"/>
              <w:right w:val="nil"/>
            </w:tcBorders>
          </w:tcPr>
          <w:p w:rsidR="000B4654" w:rsidRPr="001F4100" w:rsidRDefault="000B4654" w:rsidP="00D12705">
            <w:pPr>
              <w:pStyle w:val="NoSpacing"/>
              <w:jc w:val="right"/>
              <w:rPr>
                <w:sz w:val="18"/>
                <w:szCs w:val="18"/>
              </w:rPr>
            </w:pPr>
            <w:r w:rsidRPr="001F4100">
              <w:rPr>
                <w:sz w:val="18"/>
                <w:szCs w:val="18"/>
              </w:rPr>
              <w:t>45 (26.6)</w:t>
            </w:r>
          </w:p>
        </w:tc>
      </w:tr>
    </w:tbl>
    <w:p w:rsidR="000B4654" w:rsidRPr="001F4100" w:rsidRDefault="000B4654" w:rsidP="000B4654">
      <w:pPr>
        <w:rPr>
          <w:rFonts w:cs="Arial"/>
          <w:szCs w:val="20"/>
        </w:rPr>
        <w:sectPr w:rsidR="000B4654" w:rsidRPr="001F4100" w:rsidSect="00BB7F22">
          <w:pgSz w:w="11906" w:h="16838"/>
          <w:pgMar w:top="1418" w:right="1191" w:bottom="1418" w:left="1191" w:header="709" w:footer="709" w:gutter="0"/>
          <w:cols w:space="708"/>
          <w:docGrid w:linePitch="360"/>
        </w:sectPr>
      </w:pPr>
    </w:p>
    <w:p w:rsidR="000B4654" w:rsidRPr="001F4100" w:rsidRDefault="000B4654" w:rsidP="000B4654">
      <w:pPr>
        <w:pStyle w:val="Caption"/>
        <w:keepNext/>
        <w:ind w:left="-567"/>
        <w:rPr>
          <w:rFonts w:cs="Arial"/>
          <w:color w:val="auto"/>
        </w:rPr>
      </w:pPr>
      <w:bookmarkStart w:id="0" w:name="_Ref89683356"/>
      <w:r w:rsidRPr="001F4100">
        <w:rPr>
          <w:rFonts w:cs="Arial"/>
          <w:color w:val="auto"/>
        </w:rPr>
        <w:t xml:space="preserve">Supplementary material </w:t>
      </w:r>
      <w:bookmarkEnd w:id="0"/>
      <w:r w:rsidRPr="001F4100">
        <w:rPr>
          <w:rFonts w:cs="Arial"/>
          <w:color w:val="auto"/>
        </w:rPr>
        <w:t xml:space="preserve">S3. Main characteristics and results of observational studies of immunotherapy for lung cancer in real-world </w:t>
      </w:r>
    </w:p>
    <w:tbl>
      <w:tblPr>
        <w:tblStyle w:val="TableGrid"/>
        <w:tblW w:w="15485" w:type="dxa"/>
        <w:tblInd w:w="-709"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3"/>
        <w:gridCol w:w="992"/>
        <w:gridCol w:w="1015"/>
        <w:gridCol w:w="1163"/>
        <w:gridCol w:w="1163"/>
        <w:gridCol w:w="1163"/>
        <w:gridCol w:w="1016"/>
        <w:gridCol w:w="1019"/>
        <w:gridCol w:w="1025"/>
        <w:gridCol w:w="1150"/>
        <w:gridCol w:w="1134"/>
        <w:gridCol w:w="1061"/>
        <w:gridCol w:w="1241"/>
      </w:tblGrid>
      <w:tr w:rsidR="001F4100" w:rsidRPr="001F4100" w:rsidTr="00D12705">
        <w:trPr>
          <w:trHeight w:val="141"/>
          <w:tblHeader/>
        </w:trPr>
        <w:tc>
          <w:tcPr>
            <w:tcW w:w="2343" w:type="dxa"/>
            <w:tcBorders>
              <w:top w:val="single" w:sz="4" w:space="0" w:color="auto"/>
              <w:left w:val="nil"/>
              <w:bottom w:val="nil"/>
              <w:right w:val="nil"/>
            </w:tcBorders>
          </w:tcPr>
          <w:p w:rsidR="000B4654" w:rsidRPr="001F4100" w:rsidRDefault="000B4654" w:rsidP="00D12705">
            <w:pPr>
              <w:pStyle w:val="NoSpacing"/>
              <w:rPr>
                <w:sz w:val="16"/>
                <w:szCs w:val="16"/>
                <w:lang w:eastAsia="en-US"/>
              </w:rPr>
            </w:pPr>
          </w:p>
        </w:tc>
        <w:tc>
          <w:tcPr>
            <w:tcW w:w="992" w:type="dxa"/>
            <w:tcBorders>
              <w:top w:val="single" w:sz="4" w:space="0" w:color="auto"/>
              <w:left w:val="nil"/>
              <w:bottom w:val="nil"/>
              <w:right w:val="nil"/>
            </w:tcBorders>
            <w:vAlign w:val="center"/>
            <w:hideMark/>
          </w:tcPr>
          <w:p w:rsidR="000B4654" w:rsidRPr="001F4100" w:rsidRDefault="000B4654" w:rsidP="00D12705">
            <w:pPr>
              <w:pStyle w:val="NoSpacing"/>
              <w:jc w:val="center"/>
              <w:rPr>
                <w:b/>
                <w:sz w:val="16"/>
                <w:szCs w:val="16"/>
              </w:rPr>
            </w:pPr>
            <w:proofErr w:type="spellStart"/>
            <w:r w:rsidRPr="001F4100">
              <w:rPr>
                <w:b/>
                <w:sz w:val="16"/>
                <w:szCs w:val="16"/>
              </w:rPr>
              <w:t>Amrane</w:t>
            </w:r>
            <w:proofErr w:type="spellEnd"/>
            <w:r w:rsidRPr="001F4100">
              <w:rPr>
                <w:b/>
                <w:sz w:val="16"/>
                <w:szCs w:val="16"/>
              </w:rPr>
              <w:t xml:space="preserve"> et al. </w:t>
            </w:r>
          </w:p>
          <w:p w:rsidR="000B4654" w:rsidRPr="001F4100" w:rsidRDefault="000B4654" w:rsidP="00D12705">
            <w:pPr>
              <w:pStyle w:val="NoSpacing"/>
              <w:jc w:val="center"/>
              <w:rPr>
                <w:b/>
                <w:sz w:val="16"/>
                <w:szCs w:val="16"/>
                <w:lang w:eastAsia="en-US"/>
              </w:rPr>
            </w:pPr>
            <w:r w:rsidRPr="001F4100">
              <w:rPr>
                <w:b/>
                <w:sz w:val="16"/>
                <w:szCs w:val="16"/>
              </w:rPr>
              <w:fldChar w:fldCharType="begin"/>
            </w:r>
            <w:r w:rsidRPr="001F4100">
              <w:rPr>
                <w:b/>
                <w:sz w:val="16"/>
                <w:szCs w:val="16"/>
                <w:lang w:eastAsia="en-US"/>
              </w:rPr>
              <w:instrText xml:space="preserve"> ADDIN ZOTERO_ITEM CSL_CITATION {"citationID":"w8QMgDoZ","properties":{"formattedCitation":"(32)","plainCitation":"(32)","noteIndex":0},"citationItems":[{"id":"u5V0bWnK/ArCUxdPV","uris":["http://zotero.org/users/6077951/items/5WR52ZHF"],"uri":["http://zotero.org/users/6077951/items/5WR52ZHF"],"itemData":{"id":"u5V0bWnK/ArCUxdPV","type":"article-journal","abstract":"BACKGROUND: The KEYNOTE-024 trial demonstrated that pembrolizumab, a PD-1 inhibitor, significantly improves progression-free survival (PFS) and overall survival (OS) in selected patients with previously untreated advanced non-small cell lung cancer (NSCLC) with a PD-L1 tumor proportion score (TPS) ≥50% and without EGFR/ALK aberrations. The main aim of this study was to report the efficacy and safety profile of pembrolizumab in real-life conditions.\nMETHOD: This was a French retrospective multicenter longitudinal study of 108 consecutive patients with advanced NSCLC, a PD-L1 TPS ≥50% and without EGFR/ALK aberrations who were treated by pembrolizumab, in first line. Patient data were obtained from medical files.\nRESULTS: The main characteristics of the cohort were: median age [range] 66.7 [37-87] years, 64.8% male, 23.1% with a performance status (PS) of 2, and 88.9% current or former smokers. Eighty-seven percent had stage IV NSCLC at diagnosis, 9.2% untreated brain metastases at inclusion,. With a median follow-up of 8.2 months, the median PFS was 10.1 months (95% CI, 8.8-11.4). The objective response rate was 57.3% (complete response 2.7%, partial response 54.6%). Disease control rate was 71.1%. At 6 months, the OS rate estimated was 86.2%. Treatment-related adverse events (AE) of grade 3 occurred in 8% of patients. There were no grade 4 or 5 AEs.\nCONCLUSION: In a real-life cohort of advanced NSCLC patients (including PS 2 and untreated brain metastases), with PD-L1 TPS ≥50%, pembrolizumab demonstrates similar PFS to the pivotal clinical trial.","container-title":"Cancer Medicine","DOI":"10.1002/cam4.2806","ISSN":"2045-7634","issue":"7","journalAbbreviation":"Cancer Med","language":"eng","note":"PMID: 32022459\nPMCID: PMC7131849","page":"2309-2316","source":"PubMed","title":"First-line pembrolizumab for non-small cell lung cancer patients with PD-L1 ≥50% in a multicenter real-life cohort: The PEMBREIZH study","title-short":"First-line pembrolizumab for non-small cell lung cancer patients with PD-L1 ≥50% in a multicenter real-life cohort","volume":"9","author":[{"family":"Amrane","given":"Karim"},{"family":"Geier","given":"Margaux"},{"family":"Corre","given":"Romain"},{"family":"Léna","given":"Hervé"},{"family":"Léveiller","given":"Guillaume"},{"family":"Gadby","given":"Florence"},{"family":"Lamy","given":"Régine"},{"family":"Bizec","given":"Jean-Louis"},{"family":"Goarant","given":"Eric"},{"family":"Robinet","given":"Gilles"},{"family":"Gouva","given":"Sylvie"},{"family":"Quere","given":"Gilles"},{"family":"Abgral","given":"Ronan"},{"family":"Schick","given":"Ulrike"},{"family":"Bernier","given":"Cyril"},{"family":"Chouaid","given":"Christos"},{"family":"Descourt","given":"Renaud"}],"issued":{"date-parts":[["2020"]]}}}],"schema":"https://github.com/citation-style-language/schema/raw/master/csl-citation.json"} </w:instrText>
            </w:r>
            <w:r w:rsidRPr="001F4100">
              <w:rPr>
                <w:b/>
                <w:sz w:val="16"/>
                <w:szCs w:val="16"/>
              </w:rPr>
              <w:fldChar w:fldCharType="separate"/>
            </w:r>
            <w:r w:rsidRPr="001F4100">
              <w:rPr>
                <w:b/>
                <w:noProof/>
                <w:sz w:val="16"/>
                <w:szCs w:val="16"/>
                <w:lang w:eastAsia="en-US"/>
              </w:rPr>
              <w:t>(32)</w:t>
            </w:r>
            <w:r w:rsidRPr="001F4100">
              <w:rPr>
                <w:b/>
                <w:sz w:val="16"/>
                <w:szCs w:val="16"/>
              </w:rPr>
              <w:fldChar w:fldCharType="end"/>
            </w:r>
          </w:p>
        </w:tc>
        <w:tc>
          <w:tcPr>
            <w:tcW w:w="1015" w:type="dxa"/>
            <w:tcBorders>
              <w:top w:val="single" w:sz="4" w:space="0" w:color="auto"/>
              <w:left w:val="nil"/>
              <w:bottom w:val="nil"/>
              <w:right w:val="nil"/>
            </w:tcBorders>
            <w:vAlign w:val="center"/>
            <w:hideMark/>
          </w:tcPr>
          <w:p w:rsidR="000B4654" w:rsidRPr="001F4100" w:rsidRDefault="000B4654" w:rsidP="00D12705">
            <w:pPr>
              <w:pStyle w:val="NoSpacing"/>
              <w:jc w:val="center"/>
              <w:rPr>
                <w:b/>
                <w:sz w:val="16"/>
                <w:szCs w:val="16"/>
              </w:rPr>
            </w:pPr>
            <w:r w:rsidRPr="001F4100">
              <w:rPr>
                <w:b/>
                <w:sz w:val="16"/>
                <w:szCs w:val="16"/>
              </w:rPr>
              <w:t>Song et al.</w:t>
            </w:r>
          </w:p>
          <w:p w:rsidR="000B4654" w:rsidRPr="001F4100" w:rsidRDefault="000B4654" w:rsidP="00D12705">
            <w:pPr>
              <w:pStyle w:val="NoSpacing"/>
              <w:jc w:val="center"/>
              <w:rPr>
                <w:b/>
                <w:sz w:val="16"/>
                <w:szCs w:val="16"/>
                <w:lang w:eastAsia="en-US"/>
              </w:rPr>
            </w:pPr>
            <w:r w:rsidRPr="001F4100">
              <w:rPr>
                <w:b/>
                <w:sz w:val="16"/>
                <w:szCs w:val="16"/>
              </w:rPr>
              <w:fldChar w:fldCharType="begin"/>
            </w:r>
            <w:r w:rsidRPr="001F4100">
              <w:rPr>
                <w:b/>
                <w:sz w:val="16"/>
                <w:szCs w:val="16"/>
                <w:lang w:eastAsia="en-US"/>
              </w:rPr>
              <w:instrText xml:space="preserve"> ADDIN ZOTERO_ITEM CSL_CITATION {"citationID":"MaUMmRts","properties":{"formattedCitation":"(33)","plainCitation":"(33)","noteIndex":0},"citationItems":[{"id":"u5V0bWnK/xSRHV1pu","uris":["http://zotero.org/users/6077951/items/IXE5S3FW"],"uri":["http://zotero.org/users/6077951/items/IXE5S3FW"],"itemData":{"id":"u5V0bWnK/xSRHV1pu","type":"article-journal","abstract":"To summarize the therapeutic effects of PD-1/PD-L1 inhibitors on patients with advanced non-small cell lung cancer (NSCLC) in a real-world setting, we attempted to identify potential molecular biomarkers or clinical factors that reflected the therapeutic effect. The medical records of patients with non-small cell lung cancer who were treated with PD-1/PD-L1 inhibitors were obtained from the outpatient department or inpatient department of Peking Union Medical College Hospital from August 1, 2015, to January 1, 2018. Our follow-up continued until May 1,2018. We chose overall survival (OS) as the primary observation endpoint and progression-free survival (PFS), objective response rate (ORR), disease control rate (DCR), and safety as the secondary observation endpoints. Efficacy was evaluated according to the Response Evaluation Criteria in Solid Tumors (RECIST) 1.1. The Kaplan-Meier method was used to generate survival curves, and we compared the influence of different factors on PFS and OS by the log-rank test. The median follow-up time was 11 months. At the end of the follow-up, 24 patients (61.5%) were still undergoing immunotherapy, and 7 patients (17.9%) had died. Twenty-six cases (66.7%) employed PD-1/PD-L1 inhibitors as first-line treatment, and 7 cases (17.9%) employed PD-1/PD-L1 inhibitors as second-line treatment. Only 6 cases (15.4%) employed PD-1/PD-L1 inhibitors as third-line treatment. Therapeutic effect evaluation: Complete response (CR): 1 case (2.6%). Partial response (PR): 10 cases (25.6%). Stable disease (SD): 16 cases (41.0%). Progressive disease (PD): 12 cases (30.8%). The ORR was 28.2%, and DCR was 69.2%. The median PFS was 25.5 months (95% CI 6.8–44.1 months), which failed to reach the median OS. PD-1/PD-L1 inhibitor treatment is more effective for advanced non-small cell lung cancer patients in a real-world setting than in clinical trials; PD-1/PD-L1 inhibitor treatment is more effective for people who are over 70 than for people who are under 70. Additionally, patients who are over 75 years old have a higher response rate, suggesting that elderly patients may receive more benefits from immunotherapy; Patients who have an epidermal growth factor receptor (EGFR) mutation (+) may benefit from immunotherapy after treatment with a tyrosine kinase inhibitor (TKI). It is essential to identify these potential patients from the entire patient pool; PD-1 may have a certain curative effect on brain metastases from NSCLC. Local radiotherapy may help to improve PD-1 intracranial efficacy.","container-title":"Scientific Reports","DOI":"10.1038/s41598-019-40748-7","ISSN":"2045-2322","issue":"1","language":"en","note":"number: 1\npublisher: Nature Publishing Group","page":"4278","source":"www.nature.com","title":"Real-world evidence and clinical observations of the treatment of advanced non-small cell lung cancer with PD-1/PD-L1 inhibitors","volume":"9","author":[{"family":"Song","given":"Peng"},{"family":"Zhang","given":"Jingcheng"},{"family":"Shang","given":"Congcong"},{"family":"Zhang","given":"Li"}],"issued":{"date-parts":[["2019",3,12]]}}}],"schema":"https://github.com/citation-style-language/schema/raw/master/csl-citation.json"} </w:instrText>
            </w:r>
            <w:r w:rsidRPr="001F4100">
              <w:rPr>
                <w:b/>
                <w:sz w:val="16"/>
                <w:szCs w:val="16"/>
              </w:rPr>
              <w:fldChar w:fldCharType="separate"/>
            </w:r>
            <w:r w:rsidRPr="001F4100">
              <w:rPr>
                <w:b/>
                <w:noProof/>
                <w:sz w:val="16"/>
                <w:szCs w:val="16"/>
                <w:lang w:eastAsia="en-US"/>
              </w:rPr>
              <w:t>(33)</w:t>
            </w:r>
            <w:r w:rsidRPr="001F4100">
              <w:rPr>
                <w:b/>
                <w:sz w:val="16"/>
                <w:szCs w:val="16"/>
              </w:rPr>
              <w:fldChar w:fldCharType="end"/>
            </w:r>
          </w:p>
        </w:tc>
        <w:tc>
          <w:tcPr>
            <w:tcW w:w="1163" w:type="dxa"/>
            <w:tcBorders>
              <w:top w:val="single" w:sz="4" w:space="0" w:color="auto"/>
              <w:left w:val="nil"/>
              <w:bottom w:val="nil"/>
              <w:right w:val="nil"/>
            </w:tcBorders>
            <w:vAlign w:val="center"/>
            <w:hideMark/>
          </w:tcPr>
          <w:p w:rsidR="000B4654" w:rsidRPr="001F4100" w:rsidRDefault="000B4654" w:rsidP="00D12705">
            <w:pPr>
              <w:pStyle w:val="NoSpacing"/>
              <w:jc w:val="center"/>
              <w:rPr>
                <w:b/>
                <w:sz w:val="16"/>
                <w:szCs w:val="16"/>
              </w:rPr>
            </w:pPr>
            <w:proofErr w:type="spellStart"/>
            <w:r w:rsidRPr="001F4100">
              <w:rPr>
                <w:b/>
                <w:sz w:val="16"/>
                <w:szCs w:val="16"/>
              </w:rPr>
              <w:t>Khozin</w:t>
            </w:r>
            <w:proofErr w:type="spellEnd"/>
            <w:r w:rsidRPr="001F4100">
              <w:rPr>
                <w:b/>
                <w:sz w:val="16"/>
                <w:szCs w:val="16"/>
              </w:rPr>
              <w:t xml:space="preserve"> et al.</w:t>
            </w:r>
          </w:p>
          <w:p w:rsidR="000B4654" w:rsidRPr="001F4100" w:rsidRDefault="000B4654" w:rsidP="00D12705">
            <w:pPr>
              <w:pStyle w:val="NoSpacing"/>
              <w:jc w:val="center"/>
              <w:rPr>
                <w:b/>
                <w:sz w:val="16"/>
                <w:szCs w:val="16"/>
                <w:lang w:eastAsia="en-US"/>
              </w:rPr>
            </w:pPr>
            <w:r w:rsidRPr="001F4100">
              <w:rPr>
                <w:b/>
                <w:sz w:val="16"/>
                <w:szCs w:val="16"/>
              </w:rPr>
              <w:fldChar w:fldCharType="begin"/>
            </w:r>
            <w:r w:rsidRPr="001F4100">
              <w:rPr>
                <w:b/>
                <w:sz w:val="16"/>
                <w:szCs w:val="16"/>
              </w:rPr>
              <w:instrText xml:space="preserve"> ADDIN ZOTERO_ITEM CSL_CITATION {"citationID":"rRFW9Rpz","properties":{"formattedCitation":"(12)","plainCitation":"(12)","noteIndex":0},"citationItems":[{"id":"u5V0bWnK/Y8MzYJM1","uris":["http://zotero.org/users/6077951/items/64DKG3AF"],"uri":["http://zotero.org/users/6077951/items/64DKG3AF"],"itemData":{"id":"u5V0bWnK/Y8MzYJM1","type":"article-journal","abstract":"BACKGROUND: Despite the rapid adoption of immunotherapies in advanced non-small cell lung cancer (advNSCLC), knowledge gaps remain about their real-world (rw) performance.\nMETHODS: This retrospective, observational, multicenter analysis used the Flatiron Health deidentified electronic health record-derived database of rw patients with advNSCLC who received treatment with PD-1 and/or PD-L1 (PD-[L]1) inhibitors before July 1, 2017 (N = 5257) and had ≥6 months of follow-up. The authors investigated PD-(L)1 line of treatment and PD-L1 testing rates and the relationship between overall survival (OS) and rw intermediate endpoints: progression-free survival (rwPFS), rw time to progression (rwTTP), rw time to next treatment (rwTTNT), and rw time to discontinuation (rwTTD).\nRESULTS: First-line PD-(L)1 inhibitor use increased from 0% (in the third quarter of 2014 [Q3 2014]) to 42% (Q2 2017) over the study period. PD-L1 testing also increased (from 3% in Q3 2015 to 70% in Q2 2017). The estimated median OS was 9.3 months (95% CI, 8.9-9.8 months), and the estimated rwPFS was 3.2 months (95% CI, 3.1-3.3 months). Longer OS and rwPFS were associated with ≥50% PD-L1 percentage staining results. Correlations (</w:instrText>
            </w:r>
            <w:r w:rsidRPr="001F4100">
              <w:rPr>
                <w:rFonts w:ascii="Cambria Math" w:hAnsi="Cambria Math" w:cs="Cambria Math"/>
                <w:b/>
                <w:sz w:val="16"/>
                <w:szCs w:val="16"/>
              </w:rPr>
              <w:instrText>⍴</w:instrText>
            </w:r>
            <w:r w:rsidRPr="001F4100">
              <w:rPr>
                <w:b/>
                <w:sz w:val="16"/>
                <w:szCs w:val="16"/>
              </w:rPr>
              <w:instrText xml:space="preserve">) between OS and intermediate endpoints were </w:instrText>
            </w:r>
            <w:r w:rsidRPr="001F4100">
              <w:rPr>
                <w:rFonts w:ascii="Cambria Math" w:hAnsi="Cambria Math" w:cs="Cambria Math"/>
                <w:b/>
                <w:sz w:val="16"/>
                <w:szCs w:val="16"/>
              </w:rPr>
              <w:instrText>⍴</w:instrText>
            </w:r>
            <w:r w:rsidRPr="001F4100">
              <w:rPr>
                <w:b/>
                <w:sz w:val="16"/>
                <w:szCs w:val="16"/>
              </w:rPr>
              <w:instrText xml:space="preserve"> = 0.75 (95% CI, 0.73-0.76) for rwPFS and </w:instrText>
            </w:r>
            <w:r w:rsidRPr="001F4100">
              <w:rPr>
                <w:rFonts w:ascii="Cambria Math" w:hAnsi="Cambria Math" w:cs="Cambria Math"/>
                <w:b/>
                <w:sz w:val="16"/>
                <w:szCs w:val="16"/>
              </w:rPr>
              <w:instrText>⍴</w:instrText>
            </w:r>
            <w:r w:rsidRPr="001F4100">
              <w:rPr>
                <w:b/>
                <w:sz w:val="16"/>
                <w:szCs w:val="16"/>
              </w:rPr>
              <w:instrText xml:space="preserve"> = 0.60 (95% CI, 0.57-0.63) for rwTTP, and, for treatment-based intermediate endpoints, correlations were </w:instrText>
            </w:r>
            <w:r w:rsidRPr="001F4100">
              <w:rPr>
                <w:rFonts w:ascii="Cambria Math" w:hAnsi="Cambria Math" w:cs="Cambria Math"/>
                <w:b/>
                <w:sz w:val="16"/>
                <w:szCs w:val="16"/>
              </w:rPr>
              <w:instrText>⍴</w:instrText>
            </w:r>
            <w:r w:rsidRPr="001F4100">
              <w:rPr>
                <w:b/>
                <w:sz w:val="16"/>
                <w:szCs w:val="16"/>
              </w:rPr>
              <w:instrText xml:space="preserve"> = 0.60 (95% CI, 0.56-0.64) for rwTTNT (N = 856) and </w:instrText>
            </w:r>
            <w:r w:rsidRPr="001F4100">
              <w:rPr>
                <w:rFonts w:ascii="Cambria Math" w:hAnsi="Cambria Math" w:cs="Cambria Math"/>
                <w:b/>
                <w:sz w:val="16"/>
                <w:szCs w:val="16"/>
              </w:rPr>
              <w:instrText>⍴</w:instrText>
            </w:r>
            <w:r w:rsidRPr="001F4100">
              <w:rPr>
                <w:b/>
                <w:sz w:val="16"/>
                <w:szCs w:val="16"/>
              </w:rPr>
              <w:instrText xml:space="preserve"> = 0.81 (95% CI, 0.80-0.82) for rwTTD.\nCONCLUSIONS: The use of first-line PD-(L)1 inhibitors and PD-L1 testing has substantially increased, with better outcomes for patients who have ≥50% PD-L1 percentage staining. Intermediate rw tumor-dynamics estimates were moderately correlated with OS in patients with advNSCLC who received immunotherapy, highlighting the need for optimizing and standardizing rw endpoints to enhance the understanding of patient outcomes outside clinical trials.","container-title":"Cancer","DOI":"10.1002/cncr.32383","ISSN":"1097-0142","issue":"22","journalAbbreviation":"Cancer","language":"eng","note":"PMID: 31381142\nPMCID: PMC6899461","page":"4019-4032","source":"PubMed","title":"Real-world progression, treatment, and survival outcomes during rapid adoption of immunotherapy for advanced non-small cell lung cancer","volume":"125","author":[{"family":"Khozin","given":"Sean"},{"family":"Miksad","given":"Rebecca A."},{"family":"Adami","given":"Johan"},{"family":"Boyd","given":"Mariel"},{"family":"Brown","given":"Nicholas R."},{"family":"Gossai","given":"Anala"},{"family":"Kaganman","given":"Irene"},{"family":"Kuk","given":"Deborah"},{"family":"Rockland","given":"Jillian M."},{"family":"Pazdur","given":"Richard"},{"family":"Torres","given":"Aracelis Z."},{"family":"Zhi","given":"Jizu"},{"family":"Abernethy","given":"Amy P."}],"issued":{"date-parts":[["2019",11,15]]}}}],"schema":"https://github.com/citation-style-language/schema/raw/master/csl-citation.json"} </w:instrText>
            </w:r>
            <w:r w:rsidRPr="001F4100">
              <w:rPr>
                <w:b/>
                <w:sz w:val="16"/>
                <w:szCs w:val="16"/>
              </w:rPr>
              <w:fldChar w:fldCharType="separate"/>
            </w:r>
            <w:r w:rsidRPr="001F4100">
              <w:rPr>
                <w:b/>
                <w:noProof/>
                <w:sz w:val="16"/>
                <w:szCs w:val="16"/>
              </w:rPr>
              <w:t>(12)</w:t>
            </w:r>
            <w:r w:rsidRPr="001F4100">
              <w:rPr>
                <w:b/>
                <w:sz w:val="16"/>
                <w:szCs w:val="16"/>
              </w:rPr>
              <w:fldChar w:fldCharType="end"/>
            </w:r>
            <w:r w:rsidRPr="001F4100">
              <w:rPr>
                <w:b/>
                <w:sz w:val="16"/>
                <w:szCs w:val="16"/>
              </w:rPr>
              <w:t xml:space="preserve"> </w:t>
            </w:r>
          </w:p>
        </w:tc>
        <w:tc>
          <w:tcPr>
            <w:tcW w:w="1163" w:type="dxa"/>
            <w:tcBorders>
              <w:top w:val="single" w:sz="4" w:space="0" w:color="auto"/>
              <w:left w:val="nil"/>
              <w:bottom w:val="nil"/>
              <w:right w:val="nil"/>
            </w:tcBorders>
            <w:vAlign w:val="center"/>
            <w:hideMark/>
          </w:tcPr>
          <w:p w:rsidR="000B4654" w:rsidRPr="001F4100" w:rsidRDefault="000B4654" w:rsidP="00D12705">
            <w:pPr>
              <w:pStyle w:val="NoSpacing"/>
              <w:jc w:val="center"/>
              <w:rPr>
                <w:b/>
                <w:sz w:val="16"/>
                <w:szCs w:val="16"/>
              </w:rPr>
            </w:pPr>
            <w:proofErr w:type="spellStart"/>
            <w:r w:rsidRPr="001F4100">
              <w:rPr>
                <w:b/>
                <w:sz w:val="16"/>
                <w:szCs w:val="16"/>
              </w:rPr>
              <w:t>Khozin</w:t>
            </w:r>
            <w:proofErr w:type="spellEnd"/>
            <w:r w:rsidRPr="001F4100">
              <w:rPr>
                <w:b/>
                <w:sz w:val="16"/>
                <w:szCs w:val="16"/>
              </w:rPr>
              <w:t xml:space="preserve"> et al. </w:t>
            </w:r>
          </w:p>
          <w:p w:rsidR="000B4654" w:rsidRPr="001F4100" w:rsidRDefault="000B4654" w:rsidP="00D12705">
            <w:pPr>
              <w:pStyle w:val="NoSpacing"/>
              <w:jc w:val="center"/>
              <w:rPr>
                <w:b/>
                <w:sz w:val="16"/>
                <w:szCs w:val="16"/>
                <w:lang w:eastAsia="en-US"/>
              </w:rPr>
            </w:pPr>
            <w:r w:rsidRPr="001F4100">
              <w:rPr>
                <w:b/>
                <w:sz w:val="16"/>
                <w:szCs w:val="16"/>
              </w:rPr>
              <w:fldChar w:fldCharType="begin"/>
            </w:r>
            <w:r w:rsidRPr="001F4100">
              <w:rPr>
                <w:b/>
                <w:sz w:val="16"/>
                <w:szCs w:val="16"/>
                <w:lang w:eastAsia="en-US"/>
              </w:rPr>
              <w:instrText xml:space="preserve"> ADDIN ZOTERO_ITEM CSL_CITATION {"citationID":"zkoYMwAQ","properties":{"formattedCitation":"(31)","plainCitation":"(31)","noteIndex":0},"citationItems":[{"id":"u5V0bWnK/dfcViCW3","uris":["http://zotero.org/users/6077951/items/PTGY83UK"],"uri":["http://zotero.org/users/6077951/items/PTGY83UK"],"itemData":{"id":"u5V0bWnK/dfcViCW3","type":"article-journal","abstract":"BACKGROUND: Evidence from cancer clinical trials has strong internal validity but can be difficult to generalize to real-world patient populations. Here we analyzed real-world outcomes of patients with metastatic non-small cell lung cancer (mNSCLC) treated with programmed cell death protein 1 (PD-1) inhibitors in the first year following U.S. regulatory approval.\nMATERIALS AND METHODS: This retrospective study leveraged electronic health record (EHR) data collected during routine patient care in community cancer care clinics. The cohort included patients with mNSCLC who had received nivolumab or pembrolizumab for metastatic disease (n = 1,344) with &gt;1 EHR-documented visit from January 1, 2011, to March 31, 2016. Patients with a &gt; 90-day gap between advanced disease diagnosis and first EHR structured data entry were excluded.\nRESULTS: Estimated median overall survival (OS) was 8.0 months (95% confidence interval 7.4-9.0 months). Estimated median OS was 4.7 months (3.4-6.6) for patients with anaplastic lymphoma kinase rearrangement- and epidermal growth factor receptor mutation-positive tumors, and 8.6 months (7.7-10.6) for patients without such mutations. Age at PD-1 inhibitor initiation or line of therapy did not impact OS.\nCONCLUSION: This analysis suggests OS in real-world patients may be shorter than in conventional clinical trial patient cohorts, potentially due to narrow trial eligibility criteria. The lack of difference in OS by line of therapy or age at immunotherapy initiation suggests sustained benefit of PD-1 inhibitors in multitreated patients with mNSCLC and that age is not a predictor of outcome. Further studies are underway in patients with comorbidities, organ dysfunction, and multiple prior therapies.\nIMPLICATIONS FOR PRACTICE: This study evaluated data derived from electronic health records of patients with metastatic non-small cell lung cancer treated with programmed cell death protein 1 (PD-1) inhibitors in the year following regulatory approval. This real-world cohort had shorter overall survival (OS) indexed to PD-1 inhibitor initiation than reported in clinical trials. Late-line treatment did not influence OS, and patients aged &gt;75 at immunotherapy initiation did not have worse outcomes than younger patients. As new therapies enter clinical practice, real-world data can complement clinical trial evidence providing information on generalizability and helping inform clinical treatment decisions.","container-title":"The Oncologist","DOI":"10.1634/theoncologist.2018-0307","ISSN":"1549-490X","issue":"5","journalAbbreviation":"Oncologist","language":"eng","note":"PMID: 30591549\nPMCID: PMC6516117","page":"648-656","source":"PubMed","title":"Real-World Outcomes of Patients with Metastatic Non-Small Cell Lung Cancer Treated with Programmed Cell Death Protein 1 Inhibitors in the Year Following U.S. Regulatory Approval","volume":"24","author":[{"family":"Khozin","given":"Sean"},{"family":"Carson","given":"Kenneth R."},{"family":"Zhi","given":"Jizu"},{"family":"Tucker","given":"Melisa"},{"family":"Lee","given":"Shannon E."},{"family":"Light","given":"David E."},{"family":"Curtis","given":"Melissa D."},{"family":"Bralic","given":"Marta"},{"family":"Kaganman","given":"Irene"},{"family":"Gossai","given":"Anala"},{"family":"Hofmeister","given":"Philip"},{"family":"Torres","given":"Aracelis Z."},{"family":"Miksad","given":"Rebecca A."},{"family":"Blumenthal","given":"Gideon Michael"},{"family":"Pazdur","given":"Richard"},{"family":"Abernethy","given":"Amy P."}],"issued":{"date-parts":[["2019"]]}}}],"schema":"https://github.com/citation-style-language/schema/raw/master/csl-citation.json"} </w:instrText>
            </w:r>
            <w:r w:rsidRPr="001F4100">
              <w:rPr>
                <w:b/>
                <w:sz w:val="16"/>
                <w:szCs w:val="16"/>
              </w:rPr>
              <w:fldChar w:fldCharType="separate"/>
            </w:r>
            <w:r w:rsidRPr="001F4100">
              <w:rPr>
                <w:b/>
                <w:noProof/>
                <w:sz w:val="16"/>
                <w:szCs w:val="16"/>
                <w:lang w:eastAsia="en-US"/>
              </w:rPr>
              <w:t>(31)</w:t>
            </w:r>
            <w:r w:rsidRPr="001F4100">
              <w:rPr>
                <w:b/>
                <w:sz w:val="16"/>
                <w:szCs w:val="16"/>
              </w:rPr>
              <w:fldChar w:fldCharType="end"/>
            </w:r>
          </w:p>
        </w:tc>
        <w:tc>
          <w:tcPr>
            <w:tcW w:w="1163" w:type="dxa"/>
            <w:tcBorders>
              <w:top w:val="single" w:sz="4" w:space="0" w:color="auto"/>
              <w:left w:val="nil"/>
              <w:bottom w:val="nil"/>
              <w:right w:val="nil"/>
            </w:tcBorders>
            <w:vAlign w:val="center"/>
            <w:hideMark/>
          </w:tcPr>
          <w:p w:rsidR="000B4654" w:rsidRPr="001F4100" w:rsidRDefault="000B4654" w:rsidP="00D12705">
            <w:pPr>
              <w:pStyle w:val="NoSpacing"/>
              <w:jc w:val="center"/>
              <w:rPr>
                <w:b/>
                <w:sz w:val="16"/>
                <w:szCs w:val="16"/>
              </w:rPr>
            </w:pPr>
            <w:r w:rsidRPr="001F4100">
              <w:rPr>
                <w:b/>
                <w:sz w:val="16"/>
                <w:szCs w:val="16"/>
              </w:rPr>
              <w:t xml:space="preserve">Tamiya et al. </w:t>
            </w:r>
          </w:p>
          <w:p w:rsidR="000B4654" w:rsidRPr="001F4100" w:rsidRDefault="000B4654" w:rsidP="00D12705">
            <w:pPr>
              <w:pStyle w:val="NoSpacing"/>
              <w:jc w:val="center"/>
              <w:rPr>
                <w:b/>
                <w:sz w:val="16"/>
                <w:szCs w:val="16"/>
                <w:lang w:eastAsia="en-US"/>
              </w:rPr>
            </w:pPr>
            <w:r w:rsidRPr="001F4100">
              <w:rPr>
                <w:b/>
                <w:sz w:val="16"/>
                <w:szCs w:val="16"/>
              </w:rPr>
              <w:fldChar w:fldCharType="begin"/>
            </w:r>
            <w:r w:rsidRPr="001F4100">
              <w:rPr>
                <w:b/>
                <w:sz w:val="16"/>
                <w:szCs w:val="16"/>
              </w:rPr>
              <w:instrText xml:space="preserve"> ADDIN ZOTERO_ITEM CSL_CITATION {"citationID":"yysMlOqQ","properties":{"formattedCitation":"(34)","plainCitation":"(34)","noteIndex":0},"citationItems":[{"id":"u5V0bWnK/GdwLI4Xt","uris":["http://zotero.org/users/6077951/items/CVWDL85S"],"uri":["http://zotero.org/users/6077951/items/CVWDL85S"],"itemData":{"id":"u5V0bWnK/GdwLI4Xt","type":"article-journal","abstract":"Objectives As first line therapy, pembrolizumab provides longer progression free survival (PFS) and overall survival (OS) than platinum doublets in programmed death ligand 1 (PD-L1)-positive non-small cell lung cancer (NSCLC) with tumor propensity scores (TPS) ≥50%. However, clinical trials do not represent real-world patients. Materials and Methods This multicenter retrospective study conducted across 11 medical centers in Japan analyzed clinical data from patients receiving first-line pembrolizumab for NSCLC between February 1, 2017 and April 30, 2018. The efficacy, safety, and suitability of pembrolizumab monotherapy were evaluated. Results The median age of the 213 enrolled patients was 71 (range: 39-91) years. Among them, 176 (82.6%) were male, 20 (9.4%) were never smokers (median Brinkman index: 900), 172 (80.8%) had an ECOG PS of 0-1, 55 (25.8%) had squamous-cell carcinoma (SQ). PD-L1 TPS were 50-74%, 75-89%, and 90-100% in 97 (45.5%), 47 (22.1%), and 69 (32.4%) patients, respectively. Adverse events (AEs) of grades ≥3 were observed in 39 (18.3%) patients. Pneumonitis was the most common severe AE, occurring in 10 patients (4.7%) including 1 with grade 4 toxicity; no severe AE-related deaths occurred. The overall response rate, median PFS, and median OS was 51.2%, 8.3 months, and 17.8 months, respectively. On multivariate analysis, ECOG PS (0-1 vs. ≥2: HR: 1.69, 95.0% CI: 1.05-2.72; p = 0.03138), CRP/Alb (&lt;0.3 vs. ≥0.3: HR: 1.92, 95.0% CI: 1.28-2.87; p = 0.00153), steroid usage (not usage vs. usage: HR: 2.94, 95.0% CI: 1.45-5.95; p = 0.00267), and PD-L1 TPS (50-89% vs. 90-100%: HR: 0.65, 95.0% CI: 0.43-1.00; p = 0.04984) were significantly and independently correlated with PFS of pembrolizumab. Conclusion The results confirm the efficacy and safety of pembrolizumab in real-world patients. Poor PS and steroid usage at the time of commencing pembrolizumab treatment indicate poor outcomes. First-line pembrolizumab particularly benefits patients with PD-L1 TPS ≥90% or low inflammatory states (CRP/ALB&lt;0.3).","container-title":"Investigational New Drugs","DOI":"10.1007/s10637-019-00843-y","ISSN":"1573-0646","issue":"6","journalAbbreviation":"Invest New Drugs","language":"eng","note":"PMID: 31392549","page":"1266-1273","source":"PubMed","title":"Efficacy and safety of pembrolizumab as first-line therapy in advanced non-small cell lung cancer with at least 50% PD-L1 positivity: a multicenter retrospective cohort study (HOPE-001)","title-short":"Efficacy and safety of pembrolizumab as first-line therapy in advanced non-small cell lung cancer with at least 50% PD-L1 positivity","volume":"37","author":[{"family":"Tamiya","given":"Motohiro"},{"family":"Tamiya","given":"Akihiro"},{"family":"Hosoya","given":"Kazutaka"},{"family":"Taniguchi","given":"Yoshihiko"},{"family":"Yokoyama","given":"Toshihide"},{"family":"Fukuda","given":"Yasushi"},{"family":"Hirano","given":"Katsuya"},{"family":"Matsumoto","given":"Hirotaka"},{"family":"Kominami","given":"Ryota"},{"family":"Suzuki","given":"Hidekazu"},{"family":"Hirashima","given":"Tomonori"},{"family":"Uchida","given":"Junji"},{"family":"Morita","given":"Mitsunori"},{"family":"Kanazu","given":"Masaki"},{"family":"Sawa","given":"Nobuhiko"},{"family":"Kinoshita","given":"Yoshinori"},{"family":"Hara","given":"Satoshi"},{"family":"Kumagai","given":"Toru"},{"family":"Fujimoto","given":"Daichi"}],"issued":{"date-parts":[["2019"]]}}}],"schema":"https://github.com/citation-style-language/schema/raw/master/csl-citation.json"} </w:instrText>
            </w:r>
            <w:r w:rsidRPr="001F4100">
              <w:rPr>
                <w:b/>
                <w:sz w:val="16"/>
                <w:szCs w:val="16"/>
              </w:rPr>
              <w:fldChar w:fldCharType="separate"/>
            </w:r>
            <w:r w:rsidRPr="001F4100">
              <w:rPr>
                <w:b/>
                <w:noProof/>
                <w:sz w:val="16"/>
                <w:szCs w:val="16"/>
              </w:rPr>
              <w:t>(34)</w:t>
            </w:r>
            <w:r w:rsidRPr="001F4100">
              <w:rPr>
                <w:b/>
                <w:sz w:val="16"/>
                <w:szCs w:val="16"/>
              </w:rPr>
              <w:fldChar w:fldCharType="end"/>
            </w:r>
          </w:p>
        </w:tc>
        <w:tc>
          <w:tcPr>
            <w:tcW w:w="1016" w:type="dxa"/>
            <w:tcBorders>
              <w:top w:val="single" w:sz="4" w:space="0" w:color="auto"/>
              <w:left w:val="nil"/>
              <w:bottom w:val="nil"/>
              <w:right w:val="nil"/>
            </w:tcBorders>
            <w:vAlign w:val="center"/>
            <w:hideMark/>
          </w:tcPr>
          <w:p w:rsidR="000B4654" w:rsidRPr="001F4100" w:rsidRDefault="000B4654" w:rsidP="00D12705">
            <w:pPr>
              <w:pStyle w:val="NoSpacing"/>
              <w:jc w:val="center"/>
              <w:rPr>
                <w:b/>
                <w:sz w:val="16"/>
                <w:szCs w:val="16"/>
              </w:rPr>
            </w:pPr>
            <w:proofErr w:type="spellStart"/>
            <w:r w:rsidRPr="001F4100">
              <w:rPr>
                <w:b/>
                <w:sz w:val="16"/>
                <w:szCs w:val="16"/>
              </w:rPr>
              <w:t>Ksienski</w:t>
            </w:r>
            <w:proofErr w:type="spellEnd"/>
            <w:r w:rsidRPr="001F4100">
              <w:rPr>
                <w:b/>
                <w:sz w:val="16"/>
                <w:szCs w:val="16"/>
              </w:rPr>
              <w:t xml:space="preserve"> et al.</w:t>
            </w:r>
          </w:p>
          <w:p w:rsidR="000B4654" w:rsidRPr="001F4100" w:rsidRDefault="000B4654" w:rsidP="00D12705">
            <w:pPr>
              <w:pStyle w:val="NoSpacing"/>
              <w:jc w:val="center"/>
              <w:rPr>
                <w:b/>
                <w:sz w:val="16"/>
                <w:szCs w:val="16"/>
                <w:lang w:eastAsia="en-US"/>
              </w:rPr>
            </w:pPr>
            <w:r w:rsidRPr="001F4100">
              <w:rPr>
                <w:b/>
                <w:sz w:val="16"/>
                <w:szCs w:val="16"/>
              </w:rPr>
              <w:fldChar w:fldCharType="begin"/>
            </w:r>
            <w:r w:rsidRPr="001F4100">
              <w:rPr>
                <w:b/>
                <w:sz w:val="16"/>
                <w:szCs w:val="16"/>
              </w:rPr>
              <w:instrText xml:space="preserve"> ADDIN ZOTERO_ITEM CSL_CITATION {"citationID":"zLW5j44g","properties":{"formattedCitation":"(35)","plainCitation":"(35)","noteIndex":0},"citationItems":[{"id":"u5V0bWnK/crUudez4","uris":["http://zotero.org/users/6077951/items/42C33GNJ"],"uri":["http://zotero.org/users/6077951/items/42C33GNJ"],"itemData":{"id":"u5V0bWnK/crUudez4","type":"article-journal","abstract":"Objectives\nWhile pembrolizumab improves overall survival (OS) in a subset of advanced nonsmall cell lung cancer (aNSCLC) patients (pts) in clinical trials, individuals with poor Eastern Cooperative Oncology Group performance status (ECOG PS) were excluded. Furthermore, some studies have identified a potential link between improved pt outcomes and development of immune related adverse events (irAE.) In a large provincial cohort, we studied the efficacy and safety of pembrolizumab for poor ECOG PS pts and whether irAE correlate with improved OS.\nMaterials and methods\naNSCLC pts treated with pembrolizumab between 06/2015 and 08/2018 at BC Cancer were retrospectively identified. Kaplan-Meier curves of OS from initiation of pembrolizumab were plotted. 3-, 6-, and 9- month landmark Kaplan-Meier analysis was performed and log-rank tests used to determine an association of irAE subtypes with OS. Multivariable logistic regression identified variables associated with grade ≥3 irAE within 3 months of pembrolizumab initiation.\nResults\nOf 190 pts, 74.2% were treatment naïve and 92.6% had PD-L1 expression ≥ 50%. Median OS in the 1st line and ≥2nd line settings were 24.3 months (95% CI, 9.7-not reached, NR) and 13.4 months (95% CI, 8.1-NR), respectively. Pts with ECOG PS 2/3 had lower median OS than if ECOG PS 0/1 (5.8 months vs. 16.7 months, p &lt; 0.0001). In multivariable analysis, the odds of grade ≥ 3 irAE within 3 months was 6.3 fold higher if ECOG PS 2/3 versus 0/1 (p = 0.05). Development of pneumonitis at the 9 month landmark weakly correlated with decreased OS (p = 0.09).\nConclusion\nIn the studied cohort, ECOG PS 2/3 pts had a significantly lower OS and greater odds of experiencing high-grade irAE than if ECOG PS 0/1. Development of irAE did not result in improved OS. Randomized trials to determine benefit of pembrolizumab for poor ECOG PS pts are needed.","container-title":"Lung Cancer","DOI":"10.1016/j.lungcan.2019.05.005","ISSN":"0169-5002","journalAbbreviation":"Lung Cancer","language":"en","page":"110-116","source":"ScienceDirect","title":"Pembrolizumab for advanced nonsmall cell lung cancer: Efficacy and safety in everyday clinical practice","title-short":"Pembrolizumab for advanced nonsmall cell lung cancer","volume":"133","author":[{"family":"Ksienski","given":"Doran"},{"family":"Wai","given":"Elaine S."},{"family":"Croteau","given":"Nicole"},{"family":"Freeman","given":"Ashley T."},{"family":"Chan","given":"Angela"},{"family":"Fiorino","given":"Leathia"},{"family":"Brooks","given":"Edward G."},{"family":"Poonja","given":"Zia"},{"family":"Fenton","given":"David"},{"family":"Geller","given":"Georgia"},{"family":"Irons","given":"Sarah"},{"family":"Lesperance","given":"Mary"}],"issued":{"date-parts":[["2019",7,1]]}}}],"schema":"https://github.com/citation-style-language/schema/raw/master/csl-citation.json"} </w:instrText>
            </w:r>
            <w:r w:rsidRPr="001F4100">
              <w:rPr>
                <w:b/>
                <w:sz w:val="16"/>
                <w:szCs w:val="16"/>
              </w:rPr>
              <w:fldChar w:fldCharType="separate"/>
            </w:r>
            <w:r w:rsidRPr="001F4100">
              <w:rPr>
                <w:b/>
                <w:noProof/>
                <w:sz w:val="16"/>
                <w:szCs w:val="16"/>
              </w:rPr>
              <w:t>(35)</w:t>
            </w:r>
            <w:r w:rsidRPr="001F4100">
              <w:rPr>
                <w:b/>
                <w:sz w:val="16"/>
                <w:szCs w:val="16"/>
              </w:rPr>
              <w:fldChar w:fldCharType="end"/>
            </w:r>
            <w:r w:rsidRPr="001F4100">
              <w:rPr>
                <w:b/>
                <w:sz w:val="16"/>
                <w:szCs w:val="16"/>
              </w:rPr>
              <w:t xml:space="preserve"> </w:t>
            </w:r>
          </w:p>
        </w:tc>
        <w:tc>
          <w:tcPr>
            <w:tcW w:w="2044" w:type="dxa"/>
            <w:gridSpan w:val="2"/>
            <w:tcBorders>
              <w:top w:val="single" w:sz="4" w:space="0" w:color="auto"/>
              <w:left w:val="nil"/>
              <w:bottom w:val="nil"/>
              <w:right w:val="nil"/>
            </w:tcBorders>
            <w:vAlign w:val="center"/>
            <w:hideMark/>
          </w:tcPr>
          <w:p w:rsidR="000B4654" w:rsidRPr="001F4100" w:rsidRDefault="000B4654" w:rsidP="00D12705">
            <w:pPr>
              <w:pStyle w:val="NoSpacing"/>
              <w:jc w:val="center"/>
              <w:rPr>
                <w:b/>
                <w:sz w:val="16"/>
                <w:szCs w:val="16"/>
              </w:rPr>
            </w:pPr>
            <w:proofErr w:type="spellStart"/>
            <w:r w:rsidRPr="001F4100">
              <w:rPr>
                <w:b/>
                <w:sz w:val="16"/>
                <w:szCs w:val="16"/>
              </w:rPr>
              <w:t>Velcheti</w:t>
            </w:r>
            <w:proofErr w:type="spellEnd"/>
            <w:r w:rsidRPr="001F4100">
              <w:rPr>
                <w:b/>
                <w:sz w:val="16"/>
                <w:szCs w:val="16"/>
              </w:rPr>
              <w:t xml:space="preserve"> et al. </w:t>
            </w:r>
          </w:p>
          <w:p w:rsidR="000B4654" w:rsidRPr="001F4100" w:rsidRDefault="000B4654" w:rsidP="00D12705">
            <w:pPr>
              <w:pStyle w:val="NoSpacing"/>
              <w:jc w:val="center"/>
              <w:rPr>
                <w:b/>
                <w:sz w:val="16"/>
                <w:szCs w:val="16"/>
                <w:lang w:eastAsia="en-US"/>
              </w:rPr>
            </w:pPr>
            <w:r w:rsidRPr="001F4100">
              <w:rPr>
                <w:b/>
                <w:sz w:val="16"/>
                <w:szCs w:val="16"/>
              </w:rPr>
              <w:fldChar w:fldCharType="begin"/>
            </w:r>
            <w:r w:rsidRPr="001F4100">
              <w:rPr>
                <w:b/>
                <w:sz w:val="16"/>
                <w:szCs w:val="16"/>
                <w:lang w:eastAsia="en-US"/>
              </w:rPr>
              <w:instrText xml:space="preserve"> ADDIN ZOTERO_ITEM CSL_CITATION {"citationID":"hqBj07E3","properties":{"formattedCitation":"(36)","plainCitation":"(36)","noteIndex":0},"citationItems":[{"id":"u5V0bWnK/Ih5QydJX","uris":["http://zotero.org/users/6077951/items/5MKYR74K"],"uri":["http://zotero.org/users/6077951/items/5MKYR74K"],"itemData":{"id":"u5V0bWnK/Ih5QydJX","type":"article-journal","abstract":"Aim: To determine real-world outcomes with first-line pembrolizumab monotherapy for metastatic non-small-cell lung cancer with PD-L1 tumor expression ≥50%. Methods: This retrospective study included adults with ECOG 0-1 initiating first-line pembrolizumab monotherapy on/after 24 October 2016 (EHR cohort) or from 1 December 2016 through 30 November 2017 (spotlight cohort) with ≥6-month follow-up. We estimated Kaplan-Meier overall survival (OS, both cohorts), and, for spotlight, real-world progression-free survival (rwPFS) by Kaplan-Meier and real-world tumor response (rwTR). Results: For 423 patients in the EHR cohort and 188 in spotlight, median OS was 18.9 months (95% CI: 14.9-25.5) and 19.1 months (12.6-not reached), respectively. For spotlight, median rwPFS was 6.8 months (5.3-8.1); rwTR of complete/partial response was 48% (41-56%). Conclusion: Observed OS, rwPFS and rwTR were consistent with clinical trial findings.","container-title":"Immunotherapy","DOI":"10.2217/imt-2019-0177","ISSN":"1750-7448","issue":"18","journalAbbreviation":"Immunotherapy","language":"eng","note":"PMID: 31774363","page":"1541-1554","source":"PubMed","title":"Outcomes of first-line pembrolizumab monotherapy for PD-L1-positive (TPS ≥50%) metastatic NSCLC at US oncology practices","volume":"11","author":[{"family":"Velcheti","given":"Vamsidhar"},{"family":"Chandwani","given":"Sheenu"},{"family":"Chen","given":"Xin"},{"family":"Pietanza","given":"M. Catherine"},{"family":"Piperdi","given":"Bilal"},{"family":"Burke","given":"Thomas"}],"issued":{"date-parts":[["2019"]]}}}],"schema":"https://github.com/citation-style-language/schema/raw/master/csl-citation.json"} </w:instrText>
            </w:r>
            <w:r w:rsidRPr="001F4100">
              <w:rPr>
                <w:b/>
                <w:sz w:val="16"/>
                <w:szCs w:val="16"/>
              </w:rPr>
              <w:fldChar w:fldCharType="separate"/>
            </w:r>
            <w:r w:rsidRPr="001F4100">
              <w:rPr>
                <w:b/>
                <w:noProof/>
                <w:sz w:val="16"/>
                <w:szCs w:val="16"/>
                <w:lang w:eastAsia="en-US"/>
              </w:rPr>
              <w:t>(36)</w:t>
            </w:r>
            <w:r w:rsidRPr="001F4100">
              <w:rPr>
                <w:b/>
                <w:sz w:val="16"/>
                <w:szCs w:val="16"/>
              </w:rPr>
              <w:fldChar w:fldCharType="end"/>
            </w:r>
          </w:p>
        </w:tc>
        <w:tc>
          <w:tcPr>
            <w:tcW w:w="1150" w:type="dxa"/>
            <w:tcBorders>
              <w:top w:val="single" w:sz="4" w:space="0" w:color="auto"/>
              <w:left w:val="nil"/>
              <w:bottom w:val="nil"/>
              <w:right w:val="nil"/>
            </w:tcBorders>
          </w:tcPr>
          <w:p w:rsidR="000B4654" w:rsidRPr="001F4100" w:rsidRDefault="000B4654" w:rsidP="00D12705">
            <w:pPr>
              <w:pStyle w:val="NoSpacing"/>
              <w:jc w:val="center"/>
              <w:rPr>
                <w:b/>
                <w:sz w:val="16"/>
                <w:szCs w:val="16"/>
              </w:rPr>
            </w:pPr>
            <w:proofErr w:type="spellStart"/>
            <w:r w:rsidRPr="001F4100">
              <w:rPr>
                <w:b/>
                <w:sz w:val="16"/>
                <w:szCs w:val="16"/>
              </w:rPr>
              <w:t>Cortellini</w:t>
            </w:r>
            <w:proofErr w:type="spellEnd"/>
            <w:r w:rsidRPr="001F4100">
              <w:rPr>
                <w:b/>
                <w:sz w:val="16"/>
                <w:szCs w:val="16"/>
              </w:rPr>
              <w:t xml:space="preserve"> et al.</w:t>
            </w:r>
          </w:p>
          <w:p w:rsidR="000B4654" w:rsidRPr="001F4100" w:rsidRDefault="000B4654" w:rsidP="00D12705">
            <w:pPr>
              <w:pStyle w:val="NoSpacing"/>
              <w:jc w:val="center"/>
              <w:rPr>
                <w:b/>
                <w:sz w:val="16"/>
                <w:szCs w:val="16"/>
              </w:rPr>
            </w:pPr>
            <w:r w:rsidRPr="001F4100">
              <w:rPr>
                <w:b/>
                <w:sz w:val="16"/>
                <w:szCs w:val="16"/>
              </w:rPr>
              <w:fldChar w:fldCharType="begin"/>
            </w:r>
            <w:r w:rsidRPr="001F4100">
              <w:rPr>
                <w:b/>
                <w:sz w:val="16"/>
                <w:szCs w:val="16"/>
              </w:rPr>
              <w:instrText xml:space="preserve"> ADDIN ZOTERO_ITEM CSL_CITATION {"citationID":"m0ZA16nd","properties":{"formattedCitation":"(37)","plainCitation":"(37)","noteIndex":0},"citationItems":[{"id":2448,"uris":["http://zotero.org/users/6482868/items/EXFA7YUL"],"uri":["http://zotero.org/users/6482868/items/EXFA7YUL"],"itemData":{"id":2448,"type":"article-journal","abstract":"Single-agent pembrolizumab represents the standard first-line option for metastatic non-small-cell lung cancer (NSCLC) patients with a PD-L1 (programmed death-ligand 1) expression of ≥ 50%.","container-title":"Cancer Immunology, Immunotherapy","DOI":"10.1007/s00262-020-02613-9","ISSN":"1432-0851","issue":"11","journalAbbreviation":"Cancer Immunol Immunother","language":"en","page":"2209-2221","source":"Springer Link","title":"Clinicopathologic correlates of first-line pembrolizumab effectiveness in patients with advanced NSCLC and a PD-L1 expression of ≥ 50%","volume":"69","author":[{"family":"Cortellini","given":"Alessio"},{"family":"Tiseo","given":"Marcello"},{"family":"Banna","given":"Giuseppe L."},{"family":"Cappuzzo","given":"Federico"},{"family":"Aerts","given":"Joachim G. J. V."},{"family":"Barbieri","given":"Fausto"},{"family":"Giusti","given":"Raffaele"},{"family":"Bria","given":"Emilio"},{"family":"Cortinovis","given":"Diego"},{"family":"Grossi","given":"Francesco"},{"family":"Migliorino","given":"Maria R."},{"family":"Galetta","given":"Domenico"},{"family":"Passiglia","given":"Francesco"},{"family":"Santini","given":"Daniele"},{"family":"Berardi","given":"Rossana"},{"family":"Morabito","given":"Alessandro"},{"family":"Genova","given":"Carlo"},{"family":"Mazzoni","given":"Francesca"},{"family":"Di Noia","given":"Vincenzo"},{"family":"Signorelli","given":"Diego"},{"family":"Tuzi","given":"Alessandro"},{"family":"Gelibter","given":"Alain"},{"family":"Marchetti","given":"Paolo"},{"family":"Macerelli","given":"Marianna"},{"family":"Rastelli","given":"Francesca"},{"family":"Chiari","given":"Rita"},{"family":"Rocco","given":"Danilo"},{"family":"Gori","given":"Stefania"},{"family":"De Tursi","given":"Michele"},{"family":"Mansueto","given":"Giovanni"},{"family":"Zoratto","given":"Federica"},{"family":"Santoni","given":"Matteo"},{"family":"Tudini","given":"Marianna"},{"family":"Rijavec","given":"Erika"},{"family":"Filetti","given":"Marco"},{"family":"Catino","given":"Annamaria"},{"family":"Pizzutilo","given":"Pamela"},{"family":"Sala","given":"Luca"},{"family":"Citarella","given":"Fabrizio"},{"family":"Marco","given":"Russano"},{"family":"Torniai","given":"Mariangela"},{"family":"Cantini","given":"Luca"},{"family":"Targato","given":"Giada"},{"family":"Sforza","given":"Vincenzo"},{"family":"Nigro","given":"Olga"},{"family":"Ferrara","given":"Miriam G."},{"family":"D’Argento","given":"Ettore"},{"family":"Buti","given":"Sebastiano"},{"family":"Bordi","given":"Paola"},{"family":"Antonuzzo","given":"Lorenzo"},{"family":"Scodes","given":"Simona"},{"family":"Landi","given":"Lorenza"},{"family":"Guaitoli","given":"Giorgia"},{"family":"Baldessari","given":"Cinzia"},{"family":"Della Gravara","given":"Luigi"},{"family":"Dal Bello","given":"Maria Giovanna"},{"family":"Belderbos","given":"Robert A."},{"family":"Bironzo","given":"Paolo"},{"family":"Carnio","given":"Simona"},{"family":"Ricciardi","given":"Serena"},{"family":"Grieco","given":"Alessio"},{"family":"De Toma","given":"Alessandro"},{"family":"Proto","given":"Claudia"},{"family":"Friedlaender","given":"Alex"},{"family":"Cantale","given":"Ornella"},{"family":"Ricciuti","given":"Biagio"},{"family":"Addeo","given":"Alfredo"},{"family":"Metro","given":"Giulio"},{"family":"Ficorella","given":"Corrado"},{"family":"Porzio","given":"Giampiero"}],"issued":{"date-parts":[["2020",11,1]]}}}],"schema":"https://github.com/citation-style-language/schema/raw/master/csl-citation.json"} </w:instrText>
            </w:r>
            <w:r w:rsidRPr="001F4100">
              <w:rPr>
                <w:b/>
                <w:sz w:val="16"/>
                <w:szCs w:val="16"/>
              </w:rPr>
              <w:fldChar w:fldCharType="separate"/>
            </w:r>
            <w:r w:rsidRPr="001F4100">
              <w:rPr>
                <w:b/>
                <w:noProof/>
                <w:sz w:val="16"/>
                <w:szCs w:val="16"/>
              </w:rPr>
              <w:t>(37)</w:t>
            </w:r>
            <w:r w:rsidRPr="001F4100">
              <w:rPr>
                <w:b/>
                <w:sz w:val="16"/>
                <w:szCs w:val="16"/>
              </w:rPr>
              <w:fldChar w:fldCharType="end"/>
            </w:r>
          </w:p>
        </w:tc>
        <w:tc>
          <w:tcPr>
            <w:tcW w:w="1134" w:type="dxa"/>
            <w:tcBorders>
              <w:top w:val="single" w:sz="4" w:space="0" w:color="auto"/>
              <w:left w:val="nil"/>
              <w:bottom w:val="nil"/>
              <w:right w:val="nil"/>
            </w:tcBorders>
          </w:tcPr>
          <w:p w:rsidR="000B4654" w:rsidRPr="001F4100" w:rsidRDefault="000B4654" w:rsidP="00D12705">
            <w:pPr>
              <w:pStyle w:val="NoSpacing"/>
              <w:jc w:val="center"/>
              <w:rPr>
                <w:b/>
                <w:sz w:val="16"/>
                <w:szCs w:val="16"/>
              </w:rPr>
            </w:pPr>
            <w:proofErr w:type="spellStart"/>
            <w:r w:rsidRPr="001F4100">
              <w:rPr>
                <w:b/>
                <w:sz w:val="16"/>
                <w:szCs w:val="16"/>
              </w:rPr>
              <w:t>Facchinetti</w:t>
            </w:r>
            <w:proofErr w:type="spellEnd"/>
            <w:r w:rsidRPr="001F4100">
              <w:rPr>
                <w:b/>
                <w:sz w:val="16"/>
                <w:szCs w:val="16"/>
              </w:rPr>
              <w:t xml:space="preserve"> et al.</w:t>
            </w:r>
          </w:p>
          <w:p w:rsidR="000B4654" w:rsidRPr="001F4100" w:rsidRDefault="000B4654" w:rsidP="00D12705">
            <w:pPr>
              <w:pStyle w:val="NoSpacing"/>
              <w:jc w:val="center"/>
              <w:rPr>
                <w:b/>
                <w:sz w:val="16"/>
                <w:szCs w:val="16"/>
              </w:rPr>
            </w:pPr>
            <w:r w:rsidRPr="001F4100">
              <w:rPr>
                <w:b/>
                <w:sz w:val="16"/>
                <w:szCs w:val="16"/>
              </w:rPr>
              <w:fldChar w:fldCharType="begin"/>
            </w:r>
            <w:r w:rsidRPr="001F4100">
              <w:rPr>
                <w:b/>
                <w:sz w:val="16"/>
                <w:szCs w:val="16"/>
              </w:rPr>
              <w:instrText xml:space="preserve"> ADDIN ZOTERO_ITEM CSL_CITATION {"citationID":"By3udJ2j","properties":{"formattedCitation":"(38)","plainCitation":"(38)","noteIndex":0},"citationItems":[{"id":2450,"uris":["http://zotero.org/users/6482868/items/YYZ9V7VX"],"uri":["http://zotero.org/users/6482868/items/YYZ9V7VX"],"itemData":{"id":2450,"type":"article-journal","abstract":"Background: Immune checkpoint inhibitors (ICIs) have become the standard of care for the first-line treatment of advanced non-small cell lung cancer patients (NSCLC), either as single agents or combined with chemotherapy. The evidence sustaining their role for poor performance status (ECOG PS ≥2) patients is limited.\nMethods: We search PubMed and the proceedings of international oncology meetings to perform a systematic review to assess the outcomes poor PS NSCLC patients who received ICIs as first-line treatment. A meta-analysis included retrospective studies focusing on pembrolizumab monotherapy in PD-L1 ≥50% NSCLC. We reported the global objective response rate (ORR), disease control rate (DCR) and landmark progression-free and overall survival (PFS and OS, respectively) in ECOG PS ≥2 and 0-1 patients, respectively.\nResults: Forty-one studies were included in the systematic review. Thirty-two retrospective studies focused on pembrolizumab monotherapy in PD-L1 ≥50% cases. In total, 1,030 out of 5,357 (19%) of patients across 30 studies presented with a PS ≥2 at pembrolizumab initiation. In 18 studies with detailed clinical information, worse outcomes in poor PS compared to good PS patients were documented. The meta-analysis revealed that ORR and DCR within the PS ≥2 patient population were 30.9% and 41.5% respectively (55.2% and 71.5% in PS 0-1 patients). The rates of PFS (at 3, 6, 12 and 18 months) and OS (at 6, 12, 18 and 24 months) were approximately double in the good PS compared to the poor PS group of patients. In the three prospective trials where of ICIs in PS 2 populations, the diverse strictness in PS definition likely contributed to the differential outcomes observed. Six retrospective studies dealt with chemo-immunotherapy combinations.\nConclusions: Still with limited prospective evidence sustaining the role of immunotherapy in previously untreated NSCLC with poor PS, 19% of patients in retrospective series dealing with pembrolizumab in PD-L1 ≥50% tumors had an ECOG PS ≥2. Clinical effort encompassing the definition of poor PS, of the factors conditioning it, and the development of dedicated treatment strategies is required to improve the outcomes in this patient population.","container-title":"Translational Lung Cancer Research","DOI":"10.21037/tlcr-21-15","ISSN":"2218-6751","issue":"6","journalAbbreviation":"Transl Lung Cancer Res","language":"eng","note":"PMID: 34295688\nPMCID: PMC8264315","page":"2917-2936","source":"PubMed","title":"First-line immunotherapy in non-small cell lung cancer patients with poor performance status: a systematic review and meta-analysis","title-short":"First-line immunotherapy in non-small cell lung cancer patients with poor performance status","volume":"10","author":[{"family":"Facchinetti","given":"Francesco"},{"family":"Di Maio","given":"Massimo"},{"family":"Perrone","given":"Fabiana"},{"family":"Tiseo","given":"Marcello"}],"issued":{"date-parts":[["2021",6]]}}}],"schema":"https://github.com/citation-style-language/schema/raw/master/csl-citation.json"} </w:instrText>
            </w:r>
            <w:r w:rsidRPr="001F4100">
              <w:rPr>
                <w:b/>
                <w:sz w:val="16"/>
                <w:szCs w:val="16"/>
              </w:rPr>
              <w:fldChar w:fldCharType="separate"/>
            </w:r>
            <w:r w:rsidRPr="001F4100">
              <w:rPr>
                <w:b/>
                <w:noProof/>
                <w:sz w:val="16"/>
                <w:szCs w:val="16"/>
              </w:rPr>
              <w:t>(38)</w:t>
            </w:r>
            <w:r w:rsidRPr="001F4100">
              <w:rPr>
                <w:b/>
                <w:sz w:val="16"/>
                <w:szCs w:val="16"/>
              </w:rPr>
              <w:fldChar w:fldCharType="end"/>
            </w:r>
          </w:p>
        </w:tc>
        <w:tc>
          <w:tcPr>
            <w:tcW w:w="1061" w:type="dxa"/>
            <w:tcBorders>
              <w:top w:val="single" w:sz="4" w:space="0" w:color="auto"/>
              <w:left w:val="nil"/>
              <w:bottom w:val="nil"/>
              <w:right w:val="nil"/>
            </w:tcBorders>
          </w:tcPr>
          <w:p w:rsidR="000B4654" w:rsidRPr="001F4100" w:rsidRDefault="000B4654" w:rsidP="00D12705">
            <w:pPr>
              <w:pStyle w:val="NoSpacing"/>
              <w:jc w:val="center"/>
              <w:rPr>
                <w:b/>
                <w:sz w:val="16"/>
                <w:szCs w:val="16"/>
              </w:rPr>
            </w:pPr>
            <w:r w:rsidRPr="001F4100">
              <w:rPr>
                <w:b/>
                <w:sz w:val="16"/>
                <w:szCs w:val="16"/>
              </w:rPr>
              <w:t>Frost et al.</w:t>
            </w:r>
          </w:p>
          <w:p w:rsidR="000B4654" w:rsidRPr="001F4100" w:rsidRDefault="000B4654" w:rsidP="00D12705">
            <w:pPr>
              <w:pStyle w:val="NoSpacing"/>
              <w:jc w:val="center"/>
              <w:rPr>
                <w:b/>
                <w:sz w:val="16"/>
                <w:szCs w:val="16"/>
              </w:rPr>
            </w:pPr>
            <w:r w:rsidRPr="001F4100">
              <w:rPr>
                <w:b/>
                <w:sz w:val="16"/>
                <w:szCs w:val="16"/>
              </w:rPr>
              <w:fldChar w:fldCharType="begin"/>
            </w:r>
            <w:r w:rsidRPr="001F4100">
              <w:rPr>
                <w:b/>
                <w:sz w:val="16"/>
                <w:szCs w:val="16"/>
              </w:rPr>
              <w:instrText xml:space="preserve"> ADDIN ZOTERO_ITEM CSL_CITATION {"citationID":"hbjoHmYL","properties":{"formattedCitation":"(39)","plainCitation":"(39)","noteIndex":0},"citationItems":[{"id":2453,"uris":["http://zotero.org/users/6482868/items/L5VRKKZ3"],"uri":["http://zotero.org/users/6482868/items/L5VRKKZ3"],"itemData":{"id":2453,"type":"article-journal","abstract":"INTRODUCTION: Pembrolizumab is a highly effective standard of care in PD-L1 overexpressing (≥ 50%) non-small-cell lung cancer. However, a substantial share of patients from everyday clinical practice is treated without clear evidence from clinical trials.\nPATIENTS AND METHODS: We performed a retrospective multicentric study including all consecutive patients from 6 certified lung cancer centers in Berlin, Germany, having received pembrolizumab as first-line palliative therapy from January 1 until December 31, 2017. Aims were to validate published clinical trials with a special focus on efficacy and outcome in patients with reduced performance status (PS), brain metastases, and steroids.\nRESULTS: A total of 153 patients were included (median age 69 years, 58% men, 69% adenocarcinoma). Rates for PS ≥ 2, brain metastases, and steroids were 24.8%, 20.9%, and 24.2%, respectively. Median objective response rate, progression-free and overall survival were 48.5%, 8.2 and 22.0 months for all patients and 52.4%, 8.8 and 29.2 months in patients fulfilling the inclusion criteria for the KEYNOTE-024 trial. Patients with a comorbidity-defined PS ≥ 2, symptomatic brain metastases requiring upfront radiotherapy, or baseline steroids had significantly reduced survival. In contrast, durable responses occurred with a tumor-related PS ≥ 2 or asymptomatic brain metastases. Grade 3/4 and 5 immune-related adverse events affected 13.7% and 2.0% of patients.\nCONCLUSION: Real-world and clinical trial efficacy with upfront pembrolizumab correspond well. Pembrolizumab may sufficiently control asymptomatic brain metastases and may improve a cancer-related reduced PS. However, the frail share of patients with a comorbidity-defined PS ≥ 2, symptomatic brain metastases, or baseline steroids derives no relevant benefit.","container-title":"Clinical Lung Cancer","DOI":"10.1016/j.cllc.2021.02.001","ISSN":"1938-0690","issue":"5","journalAbbreviation":"Clin Lung Cancer","language":"eng","note":"PMID: 33648877","page":"411-422","source":"PubMed","title":"Pembrolizumab as First-Line Palliative Therapy in PD-L1 Overexpressing (≥ 50%) NSCLC: Real-world Results with Special Focus on PS ≥ 2, Brain Metastases, and Steroids","title-short":"Pembrolizumab as First-Line Palliative Therapy in PD-L1 Overexpressing (≥ 50%) NSCLC","volume":"22","author":[{"family":"Frost","given":"Nikolaj"},{"family":"Kollmeier","given":"Jens"},{"family":"Misch","given":"Daniel"},{"family":"Vollbrecht","given":"Claudia"},{"family":"Grah","given":"Christian"},{"family":"Matthes","given":"Burkhard"},{"family":"Pultermann","given":"Dennis"},{"family":"Olive","given":"Elisabeth"},{"family":"Raspe","given":"Matthias"},{"family":"Ochsenreither","given":"Sebastian"},{"family":"Laffert","given":"Maximilian","non-dropping-particle":"von"},{"family":"Suttorp","given":"Norbert"},{"family":"Witzenrath","given":"Martin"},{"family":"Grohé","given":"Christian"}],"issued":{"date-parts":[["2021",9]]}}}],"schema":"https://github.com/citation-style-language/schema/raw/master/csl-citation.json"} </w:instrText>
            </w:r>
            <w:r w:rsidRPr="001F4100">
              <w:rPr>
                <w:b/>
                <w:sz w:val="16"/>
                <w:szCs w:val="16"/>
              </w:rPr>
              <w:fldChar w:fldCharType="separate"/>
            </w:r>
            <w:r w:rsidRPr="001F4100">
              <w:rPr>
                <w:b/>
                <w:noProof/>
                <w:sz w:val="16"/>
                <w:szCs w:val="16"/>
              </w:rPr>
              <w:t>(39)</w:t>
            </w:r>
            <w:r w:rsidRPr="001F4100">
              <w:rPr>
                <w:b/>
                <w:sz w:val="16"/>
                <w:szCs w:val="16"/>
              </w:rPr>
              <w:fldChar w:fldCharType="end"/>
            </w:r>
          </w:p>
        </w:tc>
        <w:tc>
          <w:tcPr>
            <w:tcW w:w="1241" w:type="dxa"/>
            <w:tcBorders>
              <w:top w:val="single" w:sz="4" w:space="0" w:color="auto"/>
              <w:left w:val="nil"/>
              <w:bottom w:val="nil"/>
              <w:right w:val="nil"/>
            </w:tcBorders>
          </w:tcPr>
          <w:p w:rsidR="000B4654" w:rsidRPr="001F4100" w:rsidRDefault="000B4654" w:rsidP="00D12705">
            <w:pPr>
              <w:pStyle w:val="NoSpacing"/>
              <w:jc w:val="center"/>
              <w:rPr>
                <w:b/>
                <w:sz w:val="16"/>
                <w:szCs w:val="16"/>
              </w:rPr>
            </w:pPr>
            <w:proofErr w:type="spellStart"/>
            <w:r w:rsidRPr="001F4100">
              <w:rPr>
                <w:b/>
                <w:sz w:val="16"/>
                <w:szCs w:val="16"/>
              </w:rPr>
              <w:t>Mountzios</w:t>
            </w:r>
            <w:proofErr w:type="spellEnd"/>
            <w:r w:rsidRPr="001F4100">
              <w:rPr>
                <w:b/>
                <w:sz w:val="16"/>
                <w:szCs w:val="16"/>
              </w:rPr>
              <w:t xml:space="preserve"> et al.</w:t>
            </w:r>
          </w:p>
          <w:p w:rsidR="000B4654" w:rsidRPr="001F4100" w:rsidRDefault="000B4654" w:rsidP="00D12705">
            <w:pPr>
              <w:pStyle w:val="NoSpacing"/>
              <w:jc w:val="center"/>
              <w:rPr>
                <w:b/>
                <w:sz w:val="16"/>
                <w:szCs w:val="16"/>
              </w:rPr>
            </w:pPr>
            <w:r w:rsidRPr="001F4100">
              <w:rPr>
                <w:b/>
                <w:sz w:val="16"/>
                <w:szCs w:val="16"/>
              </w:rPr>
              <w:fldChar w:fldCharType="begin"/>
            </w:r>
            <w:r w:rsidRPr="001F4100">
              <w:rPr>
                <w:b/>
                <w:sz w:val="16"/>
                <w:szCs w:val="16"/>
              </w:rPr>
              <w:instrText xml:space="preserve"> ADDIN ZOTERO_ITEM CSL_CITATION {"citationID":"YwGo7GfF","properties":{"formattedCitation":"(40)","plainCitation":"(40)","noteIndex":0},"citationItems":[{"id":2455,"uris":["http://zotero.org/users/6482868/items/RGCXBDLW"],"uri":["http://zotero.org/users/6482868/items/RGCXBDLW"],"itemData":{"id":2455,"type":"article-journal","abstract":"BACKGROUND: Real-world data have suggested a detrimental effect of steroid use in patients with advanced non-small-cell lung cancer (NSCLC) receiving immunotherapy. However, previous studies included heterogeneous cohorts of patients receiving different lines of treatment with several immuno-oncology agents and various combinations of chemotherapy and immuno-oncology agents.\nPATIENTS AND METHODS: A comprehensive clinicopathologic database of patients with NSCLC and programmed cell death ligand 1 &gt;50% treated with frontline pembrolizumab monotherapy was constructed in 14 centers in Italy, Spain, Greece, and Switzerland. A multivariate analysis adjusting for the established prognostic factors was performed using a Cox regression model.\nRESULTS: For the 265 eligible patients, the median age at diagnosis was 67 years, 66% were male, 90% were current or former smokers, 18% had had an Eastern Cooperative Oncology Group performance status of 2 or 3. Of the NSCLC subtypes, 64% were adenocarcinoma and 25% were squamous cell. Of the patients, 18% had had brain metastases at diagnosis and 24% had received steroids before or during pembrolizumab treatment. The median time to progression was 4.4 months with and 13.7 months without steroid use (hazard ratio [HR], 2.55; 95% confidence interval [CI], 1.69-3.85; log-rank P &lt; .001). The median survival was 22.5 months for the whole cohort, 7.7 months for the steroid group, and not reached for the non-steroid group (HR, 3.64; 95% CI, 2.34-5.68; log-rank P &lt; .001). On multivariate analysis accounting for all established prognostic variables, steroid use was still independently associated with a high risk of progression (HR, 1.864; 95% CI, 1.179-2.949; P = .008) and death (HR, 2.292; 95% CI, 1.441-3.644; P &lt; .001) CONCLUSIONS: In patients with advanced NSCLC and programmed cell death ligand 1 expression &gt; 50% receiving frontline pembrolizumab monotherapy, any use of steroids before or during treatment was associated with an 86% increase in the risk of progression and a 2.3-fold increase in the risk of death, even accounting for palliative indication-related bias, including the presence of central nervous system metastasis. The use of steroids for palliative indications should be restricted to absolutely necessary for patients receiving immuno-oncology monotherapy.","container-title":"Clinical Lung Cancer","DOI":"10.1016/j.cllc.2020.09.017","ISSN":"1938-0690","issue":"2","journalAbbreviation":"Clin Lung Cancer","language":"eng","note":"PMID: 33162330","page":"e180-e192","source":"PubMed","title":"Steroid Use Independently Predicts for Poor Outcomes in Patients With Advanced NSCLC and High PD-L1 Expression Receiving First-Line Pembrolizumab Monotherapy","volume":"22","author":[{"family":"Mountzios","given":"Giannis"},{"family":"Toma","given":"Alessandro","non-dropping-particle":"de"},{"family":"Economopoulou","given":"Panagiota"},{"family":"Friedlaender","given":"Alex"},{"family":"Banini","given":"Marco"},{"family":"Lo Russo","given":"Giuseppe"},{"family":"Baxevanos","given":"Panagiotis"},{"family":"Roila","given":"Fausto"},{"family":"Banna","given":"Giuseppe Luigi"},{"family":"Christopoulou","given":"Athina"},{"family":"Jimenez","given":"Beatriz"},{"family":"Collazo-Lorduy","given":"Ana"},{"family":"Linardou","given":"Helena"},{"family":"Calles","given":"Antonio"},{"family":"Galetta","given":"Domenico"},{"family":"Addeo","given":"Alfredo"},{"family":"Camerini","given":"Andrea"},{"family":"Pizzutilo","given":"Pamela"},{"family":"Kosmidis","given":"Paris"},{"family":"Garassino","given":"Marina Chiara"},{"family":"Proto","given":"Claudia"},{"family":"Signorelli","given":"Diego"},{"family":"Metro","given":"Giulio"}],"issued":{"date-parts":[["2021",3]]}}}],"schema":"https://github.com/citation-style-language/schema/raw/master/csl-citation.json"} </w:instrText>
            </w:r>
            <w:r w:rsidRPr="001F4100">
              <w:rPr>
                <w:b/>
                <w:sz w:val="16"/>
                <w:szCs w:val="16"/>
              </w:rPr>
              <w:fldChar w:fldCharType="separate"/>
            </w:r>
            <w:r w:rsidRPr="001F4100">
              <w:rPr>
                <w:b/>
                <w:noProof/>
                <w:sz w:val="16"/>
                <w:szCs w:val="16"/>
              </w:rPr>
              <w:t>(40)</w:t>
            </w:r>
            <w:r w:rsidRPr="001F4100">
              <w:rPr>
                <w:b/>
                <w:sz w:val="16"/>
                <w:szCs w:val="16"/>
              </w:rPr>
              <w:fldChar w:fldCharType="end"/>
            </w:r>
          </w:p>
        </w:tc>
      </w:tr>
      <w:tr w:rsidR="001F4100" w:rsidRPr="001F4100" w:rsidTr="00D12705">
        <w:trPr>
          <w:trHeight w:val="141"/>
          <w:tblHeader/>
        </w:trPr>
        <w:tc>
          <w:tcPr>
            <w:tcW w:w="2343" w:type="dxa"/>
            <w:tcBorders>
              <w:top w:val="nil"/>
              <w:left w:val="nil"/>
              <w:bottom w:val="single" w:sz="4" w:space="0" w:color="auto"/>
              <w:right w:val="nil"/>
            </w:tcBorders>
          </w:tcPr>
          <w:p w:rsidR="000B4654" w:rsidRPr="001F4100" w:rsidRDefault="000B4654" w:rsidP="00D12705">
            <w:pPr>
              <w:pStyle w:val="NoSpacing"/>
              <w:rPr>
                <w:sz w:val="16"/>
                <w:szCs w:val="16"/>
                <w:lang w:eastAsia="en-US"/>
              </w:rPr>
            </w:pPr>
          </w:p>
        </w:tc>
        <w:tc>
          <w:tcPr>
            <w:tcW w:w="992" w:type="dxa"/>
            <w:tcBorders>
              <w:top w:val="nil"/>
              <w:left w:val="nil"/>
              <w:bottom w:val="single" w:sz="4" w:space="0" w:color="auto"/>
              <w:right w:val="nil"/>
            </w:tcBorders>
            <w:vAlign w:val="center"/>
          </w:tcPr>
          <w:p w:rsidR="000B4654" w:rsidRPr="001F4100" w:rsidRDefault="000B4654" w:rsidP="00D12705">
            <w:pPr>
              <w:pStyle w:val="NoSpacing"/>
              <w:rPr>
                <w:b/>
                <w:sz w:val="16"/>
                <w:szCs w:val="16"/>
                <w:lang w:eastAsia="en-US"/>
              </w:rPr>
            </w:pPr>
          </w:p>
        </w:tc>
        <w:tc>
          <w:tcPr>
            <w:tcW w:w="1015" w:type="dxa"/>
            <w:tcBorders>
              <w:top w:val="nil"/>
              <w:left w:val="nil"/>
              <w:bottom w:val="single" w:sz="4" w:space="0" w:color="auto"/>
              <w:right w:val="nil"/>
            </w:tcBorders>
            <w:vAlign w:val="center"/>
          </w:tcPr>
          <w:p w:rsidR="000B4654" w:rsidRPr="001F4100" w:rsidRDefault="000B4654" w:rsidP="00D12705">
            <w:pPr>
              <w:pStyle w:val="NoSpacing"/>
              <w:rPr>
                <w:b/>
                <w:sz w:val="16"/>
                <w:szCs w:val="16"/>
                <w:lang w:eastAsia="en-US"/>
              </w:rPr>
            </w:pPr>
          </w:p>
        </w:tc>
        <w:tc>
          <w:tcPr>
            <w:tcW w:w="1163" w:type="dxa"/>
            <w:tcBorders>
              <w:top w:val="nil"/>
              <w:left w:val="nil"/>
              <w:bottom w:val="single" w:sz="4" w:space="0" w:color="auto"/>
              <w:right w:val="nil"/>
            </w:tcBorders>
            <w:vAlign w:val="center"/>
          </w:tcPr>
          <w:p w:rsidR="000B4654" w:rsidRPr="001F4100" w:rsidRDefault="000B4654" w:rsidP="00D12705">
            <w:pPr>
              <w:pStyle w:val="NoSpacing"/>
              <w:rPr>
                <w:b/>
                <w:sz w:val="16"/>
                <w:szCs w:val="16"/>
                <w:lang w:eastAsia="en-US"/>
              </w:rPr>
            </w:pPr>
          </w:p>
        </w:tc>
        <w:tc>
          <w:tcPr>
            <w:tcW w:w="1163" w:type="dxa"/>
            <w:tcBorders>
              <w:top w:val="nil"/>
              <w:left w:val="nil"/>
              <w:bottom w:val="single" w:sz="4" w:space="0" w:color="auto"/>
              <w:right w:val="nil"/>
            </w:tcBorders>
            <w:vAlign w:val="center"/>
          </w:tcPr>
          <w:p w:rsidR="000B4654" w:rsidRPr="001F4100" w:rsidRDefault="000B4654" w:rsidP="00D12705">
            <w:pPr>
              <w:pStyle w:val="NoSpacing"/>
              <w:rPr>
                <w:b/>
                <w:sz w:val="16"/>
                <w:szCs w:val="16"/>
                <w:lang w:eastAsia="en-US"/>
              </w:rPr>
            </w:pPr>
          </w:p>
        </w:tc>
        <w:tc>
          <w:tcPr>
            <w:tcW w:w="1163" w:type="dxa"/>
            <w:tcBorders>
              <w:top w:val="nil"/>
              <w:left w:val="nil"/>
              <w:bottom w:val="single" w:sz="4" w:space="0" w:color="auto"/>
              <w:right w:val="nil"/>
            </w:tcBorders>
            <w:vAlign w:val="center"/>
          </w:tcPr>
          <w:p w:rsidR="000B4654" w:rsidRPr="001F4100" w:rsidRDefault="000B4654" w:rsidP="00D12705">
            <w:pPr>
              <w:pStyle w:val="NoSpacing"/>
              <w:rPr>
                <w:b/>
                <w:sz w:val="16"/>
                <w:szCs w:val="16"/>
                <w:lang w:eastAsia="en-US"/>
              </w:rPr>
            </w:pPr>
          </w:p>
        </w:tc>
        <w:tc>
          <w:tcPr>
            <w:tcW w:w="1016" w:type="dxa"/>
            <w:tcBorders>
              <w:top w:val="nil"/>
              <w:left w:val="nil"/>
              <w:bottom w:val="single" w:sz="4" w:space="0" w:color="auto"/>
              <w:right w:val="nil"/>
            </w:tcBorders>
            <w:vAlign w:val="center"/>
          </w:tcPr>
          <w:p w:rsidR="000B4654" w:rsidRPr="001F4100" w:rsidRDefault="000B4654" w:rsidP="00D12705">
            <w:pPr>
              <w:pStyle w:val="NoSpacing"/>
              <w:rPr>
                <w:b/>
                <w:sz w:val="16"/>
                <w:szCs w:val="16"/>
                <w:lang w:eastAsia="en-US"/>
              </w:rPr>
            </w:pPr>
          </w:p>
        </w:tc>
        <w:tc>
          <w:tcPr>
            <w:tcW w:w="1019" w:type="dxa"/>
            <w:tcBorders>
              <w:top w:val="nil"/>
              <w:left w:val="nil"/>
              <w:bottom w:val="single" w:sz="4" w:space="0" w:color="auto"/>
              <w:right w:val="nil"/>
            </w:tcBorders>
            <w:vAlign w:val="center"/>
            <w:hideMark/>
          </w:tcPr>
          <w:p w:rsidR="000B4654" w:rsidRPr="001F4100" w:rsidRDefault="000B4654" w:rsidP="00D12705">
            <w:pPr>
              <w:pStyle w:val="NoSpacing"/>
              <w:rPr>
                <w:b/>
                <w:sz w:val="16"/>
                <w:szCs w:val="16"/>
                <w:lang w:eastAsia="en-US"/>
              </w:rPr>
            </w:pPr>
            <w:r w:rsidRPr="001F4100">
              <w:rPr>
                <w:b/>
                <w:sz w:val="16"/>
                <w:szCs w:val="16"/>
              </w:rPr>
              <w:t>EHR Cohort</w:t>
            </w:r>
          </w:p>
        </w:tc>
        <w:tc>
          <w:tcPr>
            <w:tcW w:w="1025" w:type="dxa"/>
            <w:tcBorders>
              <w:top w:val="nil"/>
              <w:left w:val="nil"/>
              <w:bottom w:val="single" w:sz="4" w:space="0" w:color="auto"/>
              <w:right w:val="nil"/>
            </w:tcBorders>
            <w:vAlign w:val="center"/>
            <w:hideMark/>
          </w:tcPr>
          <w:p w:rsidR="000B4654" w:rsidRPr="001F4100" w:rsidRDefault="000B4654" w:rsidP="00D12705">
            <w:pPr>
              <w:pStyle w:val="NoSpacing"/>
              <w:rPr>
                <w:b/>
                <w:sz w:val="16"/>
                <w:szCs w:val="16"/>
                <w:lang w:eastAsia="en-US"/>
              </w:rPr>
            </w:pPr>
            <w:r w:rsidRPr="001F4100">
              <w:rPr>
                <w:b/>
                <w:sz w:val="16"/>
                <w:szCs w:val="16"/>
              </w:rPr>
              <w:t>Spotlight cohort</w:t>
            </w:r>
          </w:p>
        </w:tc>
        <w:tc>
          <w:tcPr>
            <w:tcW w:w="1150" w:type="dxa"/>
            <w:tcBorders>
              <w:top w:val="nil"/>
              <w:left w:val="nil"/>
              <w:bottom w:val="single" w:sz="4" w:space="0" w:color="auto"/>
              <w:right w:val="nil"/>
            </w:tcBorders>
          </w:tcPr>
          <w:p w:rsidR="000B4654" w:rsidRPr="001F4100" w:rsidRDefault="000B4654" w:rsidP="00D12705">
            <w:pPr>
              <w:pStyle w:val="NoSpacing"/>
              <w:rPr>
                <w:b/>
                <w:sz w:val="16"/>
                <w:szCs w:val="16"/>
              </w:rPr>
            </w:pPr>
          </w:p>
        </w:tc>
        <w:tc>
          <w:tcPr>
            <w:tcW w:w="1134" w:type="dxa"/>
            <w:tcBorders>
              <w:top w:val="nil"/>
              <w:left w:val="nil"/>
              <w:bottom w:val="single" w:sz="4" w:space="0" w:color="auto"/>
              <w:right w:val="nil"/>
            </w:tcBorders>
          </w:tcPr>
          <w:p w:rsidR="000B4654" w:rsidRPr="001F4100" w:rsidRDefault="000B4654" w:rsidP="00D12705">
            <w:pPr>
              <w:pStyle w:val="NoSpacing"/>
              <w:rPr>
                <w:b/>
                <w:sz w:val="16"/>
                <w:szCs w:val="16"/>
              </w:rPr>
            </w:pPr>
          </w:p>
        </w:tc>
        <w:tc>
          <w:tcPr>
            <w:tcW w:w="1061" w:type="dxa"/>
            <w:tcBorders>
              <w:top w:val="nil"/>
              <w:left w:val="nil"/>
              <w:bottom w:val="single" w:sz="4" w:space="0" w:color="auto"/>
              <w:right w:val="nil"/>
            </w:tcBorders>
          </w:tcPr>
          <w:p w:rsidR="000B4654" w:rsidRPr="001F4100" w:rsidRDefault="000B4654" w:rsidP="00D12705">
            <w:pPr>
              <w:pStyle w:val="NoSpacing"/>
              <w:rPr>
                <w:b/>
                <w:sz w:val="16"/>
                <w:szCs w:val="16"/>
              </w:rPr>
            </w:pPr>
          </w:p>
        </w:tc>
        <w:tc>
          <w:tcPr>
            <w:tcW w:w="1241" w:type="dxa"/>
            <w:tcBorders>
              <w:top w:val="nil"/>
              <w:left w:val="nil"/>
              <w:bottom w:val="single" w:sz="4" w:space="0" w:color="auto"/>
              <w:right w:val="nil"/>
            </w:tcBorders>
          </w:tcPr>
          <w:p w:rsidR="000B4654" w:rsidRPr="001F4100" w:rsidRDefault="000B4654" w:rsidP="00D12705">
            <w:pPr>
              <w:pStyle w:val="NoSpacing"/>
              <w:rPr>
                <w:b/>
                <w:sz w:val="16"/>
                <w:szCs w:val="16"/>
              </w:rPr>
            </w:pPr>
          </w:p>
        </w:tc>
      </w:tr>
      <w:tr w:rsidR="001F4100" w:rsidRPr="001F4100" w:rsidTr="00D12705">
        <w:trPr>
          <w:trHeight w:val="141"/>
          <w:tblHeader/>
        </w:trPr>
        <w:tc>
          <w:tcPr>
            <w:tcW w:w="2343" w:type="dxa"/>
            <w:tcBorders>
              <w:top w:val="single" w:sz="4" w:space="0" w:color="auto"/>
              <w:left w:val="nil"/>
              <w:bottom w:val="nil"/>
              <w:right w:val="nil"/>
            </w:tcBorders>
          </w:tcPr>
          <w:p w:rsidR="000B4654" w:rsidRPr="001F4100" w:rsidRDefault="000B4654" w:rsidP="00D12705">
            <w:pPr>
              <w:pStyle w:val="NoSpacing"/>
              <w:rPr>
                <w:sz w:val="16"/>
                <w:szCs w:val="16"/>
                <w:lang w:eastAsia="en-US"/>
              </w:rPr>
            </w:pPr>
          </w:p>
        </w:tc>
        <w:tc>
          <w:tcPr>
            <w:tcW w:w="992"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single" w:sz="4" w:space="0" w:color="auto"/>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single" w:sz="4" w:space="0" w:color="auto"/>
              <w:left w:val="nil"/>
              <w:bottom w:val="nil"/>
              <w:right w:val="nil"/>
            </w:tcBorders>
          </w:tcPr>
          <w:p w:rsidR="000B4654" w:rsidRPr="001F4100" w:rsidRDefault="000B4654" w:rsidP="00D12705">
            <w:pPr>
              <w:pStyle w:val="NoSpacing"/>
              <w:jc w:val="right"/>
              <w:rPr>
                <w:sz w:val="16"/>
                <w:szCs w:val="16"/>
              </w:rPr>
            </w:pPr>
          </w:p>
        </w:tc>
        <w:tc>
          <w:tcPr>
            <w:tcW w:w="1134" w:type="dxa"/>
            <w:tcBorders>
              <w:top w:val="single" w:sz="4" w:space="0" w:color="auto"/>
              <w:left w:val="nil"/>
              <w:bottom w:val="nil"/>
              <w:right w:val="nil"/>
            </w:tcBorders>
          </w:tcPr>
          <w:p w:rsidR="000B4654" w:rsidRPr="001F4100" w:rsidRDefault="000B4654" w:rsidP="00D12705">
            <w:pPr>
              <w:pStyle w:val="NoSpacing"/>
              <w:jc w:val="right"/>
              <w:rPr>
                <w:sz w:val="16"/>
                <w:szCs w:val="16"/>
              </w:rPr>
            </w:pPr>
          </w:p>
        </w:tc>
        <w:tc>
          <w:tcPr>
            <w:tcW w:w="1061" w:type="dxa"/>
            <w:tcBorders>
              <w:top w:val="single" w:sz="4" w:space="0" w:color="auto"/>
              <w:left w:val="nil"/>
              <w:bottom w:val="nil"/>
              <w:right w:val="nil"/>
            </w:tcBorders>
          </w:tcPr>
          <w:p w:rsidR="000B4654" w:rsidRPr="001F4100" w:rsidRDefault="000B4654" w:rsidP="00D12705">
            <w:pPr>
              <w:pStyle w:val="NoSpacing"/>
              <w:jc w:val="right"/>
              <w:rPr>
                <w:sz w:val="16"/>
                <w:szCs w:val="16"/>
              </w:rPr>
            </w:pPr>
          </w:p>
        </w:tc>
        <w:tc>
          <w:tcPr>
            <w:tcW w:w="1241" w:type="dxa"/>
            <w:tcBorders>
              <w:top w:val="single" w:sz="4" w:space="0" w:color="auto"/>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sz w:val="16"/>
                <w:szCs w:val="16"/>
                <w:lang w:eastAsia="en-US"/>
              </w:rPr>
            </w:pPr>
            <w:r w:rsidRPr="001F4100">
              <w:rPr>
                <w:b/>
                <w:sz w:val="16"/>
                <w:szCs w:val="16"/>
              </w:rPr>
              <w:t>Number</w:t>
            </w:r>
            <w:r w:rsidRPr="001F4100">
              <w:rPr>
                <w:sz w:val="16"/>
                <w:szCs w:val="16"/>
              </w:rPr>
              <w:t xml:space="preserve"> of subjects</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108</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39</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5,257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1,344</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213</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190</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423</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188</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1,026</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265</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sz w:val="16"/>
                <w:szCs w:val="16"/>
                <w:lang w:eastAsia="en-US"/>
              </w:rPr>
            </w:pPr>
            <w:r w:rsidRPr="001F4100">
              <w:rPr>
                <w:b/>
                <w:sz w:val="16"/>
                <w:szCs w:val="16"/>
              </w:rPr>
              <w:t>Sex</w:t>
            </w:r>
            <w:r w:rsidRPr="001F4100">
              <w:rPr>
                <w:sz w:val="16"/>
                <w:szCs w:val="16"/>
              </w:rPr>
              <w:t>, n (%)</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Male</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70 (64.8)</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28 (71.8)</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2,819 (53.6)</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747 (55.6)</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176 (82.6)</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97 (51.1)</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228 (53.9)</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90 (47.9)</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674 (65.6)</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108 (71.0)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90 (58.8)</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174 (65.7)</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Female</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38 (35.2)</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11 (28.2)</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2,437 (46.4)</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597 (44.4)</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37 (17.4)</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93 (48.9)</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195 (46.1)</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98 (52.1)</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353 (34.4)</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45 (29.0)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63 (41.2)</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91 (34.3)</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sz w:val="16"/>
                <w:szCs w:val="16"/>
                <w:lang w:eastAsia="en-US"/>
              </w:rPr>
            </w:pPr>
            <w:r w:rsidRPr="001F4100">
              <w:rPr>
                <w:b/>
                <w:sz w:val="16"/>
                <w:szCs w:val="16"/>
              </w:rPr>
              <w:t>Age</w:t>
            </w:r>
            <w:r w:rsidRPr="001F4100">
              <w:rPr>
                <w:sz w:val="16"/>
                <w:szCs w:val="16"/>
              </w:rPr>
              <w:t xml:space="preserve"> (median and range)</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67 (37-87)</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62 (34-83)</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69 (62-76)</w:t>
            </w:r>
            <w:r w:rsidRPr="001F4100">
              <w:rPr>
                <w:sz w:val="16"/>
                <w:szCs w:val="16"/>
                <w:vertAlign w:val="superscript"/>
              </w:rPr>
              <w:t>b</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69 (61-75)</w:t>
            </w:r>
            <w:r w:rsidRPr="001F4100">
              <w:rPr>
                <w:sz w:val="16"/>
                <w:szCs w:val="16"/>
                <w:vertAlign w:val="superscript"/>
              </w:rPr>
              <w:t xml:space="preserve"> b</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71 (39-91)</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70 (41-91)</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72 (45-84)</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72 (46-84)</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70.2 (28-92)</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70 (38-85)</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69 (40-86)</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66.7</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b/>
                <w:sz w:val="16"/>
                <w:szCs w:val="16"/>
                <w:lang w:eastAsia="en-US"/>
              </w:rPr>
            </w:pPr>
            <w:r w:rsidRPr="001F4100">
              <w:rPr>
                <w:b/>
                <w:sz w:val="16"/>
                <w:szCs w:val="16"/>
              </w:rPr>
              <w:t>Histological Subtypes</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Non-squamous</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28 (25.9)</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18 (46.1)</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3,510 (66.8)</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872 (64.9)</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129 (60.6)</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148 (77.9)</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302 (71.4)</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129 (68.6)</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778 (75.8)</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118 (77)</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106 (69.3)</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170 (64.2)</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Squamous</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80 (74.1)</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 (48.7)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1,535 (33.2)</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427 (31.8)</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55 (25.8)</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 (22.1)</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99 (23.4)</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46 (24.5)</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248 (24.2)</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24 (16.0)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32.9 (20.9)</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66 (24.9)</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proofErr w:type="spellStart"/>
            <w:r w:rsidRPr="001F4100">
              <w:rPr>
                <w:sz w:val="16"/>
                <w:szCs w:val="16"/>
              </w:rPr>
              <w:t>Adenosquamous</w:t>
            </w:r>
            <w:proofErr w:type="spellEnd"/>
            <w:r w:rsidRPr="001F4100">
              <w:rPr>
                <w:sz w:val="16"/>
                <w:szCs w:val="16"/>
              </w:rPr>
              <w:t xml:space="preserve"> carcinoma</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 (5.1)</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r w:rsidRPr="001F4100">
              <w:rPr>
                <w:sz w:val="16"/>
                <w:szCs w:val="16"/>
                <w:lang w:eastAsia="en-US"/>
              </w:rPr>
              <w:t>-</w:t>
            </w: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r w:rsidRPr="001F4100">
              <w:rPr>
                <w:sz w:val="16"/>
                <w:szCs w:val="16"/>
                <w:lang w:eastAsia="en-US"/>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 (2.3)</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proofErr w:type="spellStart"/>
            <w:r w:rsidRPr="001F4100">
              <w:rPr>
                <w:sz w:val="16"/>
                <w:szCs w:val="16"/>
              </w:rPr>
              <w:t>Unprecised</w:t>
            </w:r>
            <w:proofErr w:type="spellEnd"/>
            <w:r w:rsidRPr="001F4100">
              <w:rPr>
                <w:sz w:val="16"/>
                <w:szCs w:val="16"/>
              </w:rPr>
              <w:t>/other</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45 (4.3)</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29 (13.6)</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22 (5.2)</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13 (6.9)</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11 (7.0)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 (9.9)</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23 (8.6)</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b/>
                <w:sz w:val="16"/>
                <w:szCs w:val="16"/>
                <w:lang w:eastAsia="en-US"/>
              </w:rPr>
            </w:pPr>
            <w:r w:rsidRPr="001F4100">
              <w:rPr>
                <w:b/>
                <w:sz w:val="16"/>
                <w:szCs w:val="16"/>
              </w:rPr>
              <w:t>ECOG PS</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0</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 (15.8)</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 (43.6)</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 (&lt;0.1)</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50 (23.5)</w:t>
            </w:r>
          </w:p>
        </w:tc>
        <w:tc>
          <w:tcPr>
            <w:tcW w:w="1016"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125 (65.8)</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148 (35.0)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80 (42.6)</w:t>
            </w:r>
          </w:p>
        </w:tc>
        <w:tc>
          <w:tcPr>
            <w:tcW w:w="1150" w:type="dxa"/>
            <w:vMerge w:val="restart"/>
            <w:tcBorders>
              <w:top w:val="nil"/>
              <w:left w:val="nil"/>
              <w:right w:val="nil"/>
            </w:tcBorders>
            <w:vAlign w:val="center"/>
          </w:tcPr>
          <w:p w:rsidR="000B4654" w:rsidRPr="001F4100" w:rsidRDefault="000B4654" w:rsidP="00D12705">
            <w:pPr>
              <w:pStyle w:val="NoSpacing"/>
              <w:jc w:val="right"/>
              <w:rPr>
                <w:sz w:val="16"/>
                <w:szCs w:val="16"/>
              </w:rPr>
            </w:pPr>
            <w:r w:rsidRPr="001F4100">
              <w:rPr>
                <w:sz w:val="16"/>
                <w:szCs w:val="16"/>
              </w:rPr>
              <w:t>847 (82.6)</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115 (75.2)</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84 (31.9)</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1</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53 (49.1)</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 (48.7)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385 (7.3)</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122 (57.3)</w:t>
            </w:r>
          </w:p>
        </w:tc>
        <w:tc>
          <w:tcPr>
            <w:tcW w:w="1016" w:type="dxa"/>
            <w:vMerge/>
            <w:tcBorders>
              <w:top w:val="nil"/>
              <w:left w:val="nil"/>
              <w:bottom w:val="nil"/>
              <w:right w:val="nil"/>
            </w:tcBorders>
            <w:vAlign w:val="center"/>
            <w:hideMark/>
          </w:tcPr>
          <w:p w:rsidR="000B4654" w:rsidRPr="001F4100" w:rsidRDefault="000B4654" w:rsidP="00D12705">
            <w:pPr>
              <w:jc w:val="right"/>
              <w:rPr>
                <w:rFonts w:cs="Arial"/>
                <w:sz w:val="16"/>
                <w:szCs w:val="16"/>
                <w:lang w:val="en-US" w:eastAsia="en-US"/>
              </w:rPr>
            </w:pP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275 (65.0)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108 (57.4)</w:t>
            </w:r>
          </w:p>
        </w:tc>
        <w:tc>
          <w:tcPr>
            <w:tcW w:w="1150" w:type="dxa"/>
            <w:vMerge/>
            <w:tcBorders>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vMerge/>
            <w:tcBorders>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132 (50.2)</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2</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25 (23.1)</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 (7.7)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338 (6.4)</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32 (15.0)</w:t>
            </w:r>
          </w:p>
        </w:tc>
        <w:tc>
          <w:tcPr>
            <w:tcW w:w="1016"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65 (34.2)</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175 (17.0)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 (100)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32 (20.9)</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45 (17.1)</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3</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 (4.2)</w:t>
            </w:r>
          </w:p>
        </w:tc>
        <w:tc>
          <w:tcPr>
            <w:tcW w:w="1016"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4 (0.4)</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 (3.9)</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 (0.8)</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4</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 (0.4)</w:t>
            </w:r>
          </w:p>
        </w:tc>
        <w:tc>
          <w:tcPr>
            <w:tcW w:w="1016"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Unknown</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13 (12.0)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b/>
                <w:sz w:val="16"/>
                <w:szCs w:val="16"/>
                <w:lang w:eastAsia="en-US"/>
              </w:rPr>
            </w:pPr>
            <w:r w:rsidRPr="001F4100">
              <w:rPr>
                <w:b/>
                <w:sz w:val="16"/>
                <w:szCs w:val="16"/>
              </w:rPr>
              <w:t>Smoking status</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Current</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34 (31.5)</w:t>
            </w:r>
          </w:p>
        </w:tc>
        <w:tc>
          <w:tcPr>
            <w:tcW w:w="1015"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27 (69.2)</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4,679 (89.0)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193 (90.6)</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67 (35.3)</w:t>
            </w:r>
          </w:p>
        </w:tc>
        <w:tc>
          <w:tcPr>
            <w:tcW w:w="1019"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390 (92.2)</w:t>
            </w:r>
          </w:p>
        </w:tc>
        <w:tc>
          <w:tcPr>
            <w:tcW w:w="1025"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171(91.0)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348 (33.9)</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51 (33.3)</w:t>
            </w:r>
          </w:p>
        </w:tc>
        <w:tc>
          <w:tcPr>
            <w:tcW w:w="1061"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125 (92.6)</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93 (35.1)</w:t>
            </w:r>
          </w:p>
        </w:tc>
      </w:tr>
      <w:tr w:rsidR="001F4100" w:rsidRPr="001F4100" w:rsidTr="00D12705">
        <w:trPr>
          <w:trHeight w:val="8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Former</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62 (57.4)</w:t>
            </w:r>
          </w:p>
        </w:tc>
        <w:tc>
          <w:tcPr>
            <w:tcW w:w="1015"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109 (57.4)</w:t>
            </w:r>
          </w:p>
        </w:tc>
        <w:tc>
          <w:tcPr>
            <w:tcW w:w="1019"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25"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50" w:type="dxa"/>
            <w:tcBorders>
              <w:top w:val="nil"/>
              <w:left w:val="nil"/>
              <w:bottom w:val="nil"/>
              <w:right w:val="nil"/>
            </w:tcBorders>
          </w:tcPr>
          <w:p w:rsidR="000B4654" w:rsidRPr="001F4100" w:rsidRDefault="000B4654" w:rsidP="00D12705">
            <w:pPr>
              <w:jc w:val="right"/>
              <w:rPr>
                <w:rFonts w:cs="Arial"/>
                <w:sz w:val="16"/>
                <w:szCs w:val="16"/>
                <w:lang w:val="en-US"/>
              </w:rPr>
            </w:pPr>
            <w:r w:rsidRPr="001F4100">
              <w:rPr>
                <w:rFonts w:cs="Arial"/>
                <w:sz w:val="16"/>
                <w:szCs w:val="16"/>
                <w:lang w:val="en-US"/>
              </w:rPr>
              <w:t>572 (55.8)</w:t>
            </w:r>
          </w:p>
        </w:tc>
        <w:tc>
          <w:tcPr>
            <w:tcW w:w="1134" w:type="dxa"/>
            <w:tcBorders>
              <w:top w:val="nil"/>
              <w:left w:val="nil"/>
              <w:bottom w:val="nil"/>
              <w:right w:val="nil"/>
            </w:tcBorders>
          </w:tcPr>
          <w:p w:rsidR="000B4654" w:rsidRPr="001F4100" w:rsidRDefault="000B4654" w:rsidP="00D12705">
            <w:pPr>
              <w:jc w:val="right"/>
              <w:rPr>
                <w:rFonts w:cs="Arial"/>
                <w:sz w:val="16"/>
                <w:szCs w:val="16"/>
                <w:lang w:val="en-US"/>
              </w:rPr>
            </w:pPr>
            <w:r w:rsidRPr="001F4100">
              <w:rPr>
                <w:rFonts w:cs="Arial"/>
                <w:sz w:val="16"/>
                <w:szCs w:val="16"/>
                <w:lang w:val="en-US"/>
              </w:rPr>
              <w:t>74 (48)</w:t>
            </w:r>
          </w:p>
        </w:tc>
        <w:tc>
          <w:tcPr>
            <w:tcW w:w="1061" w:type="dxa"/>
            <w:vMerge/>
            <w:tcBorders>
              <w:left w:val="nil"/>
              <w:bottom w:val="nil"/>
              <w:right w:val="nil"/>
            </w:tcBorders>
          </w:tcPr>
          <w:p w:rsidR="000B4654" w:rsidRPr="001F4100" w:rsidRDefault="000B4654" w:rsidP="00D12705">
            <w:pPr>
              <w:rPr>
                <w:rFonts w:cs="Arial"/>
                <w:sz w:val="16"/>
                <w:szCs w:val="16"/>
                <w:lang w:val="en-US"/>
              </w:rPr>
            </w:pPr>
          </w:p>
        </w:tc>
        <w:tc>
          <w:tcPr>
            <w:tcW w:w="1241" w:type="dxa"/>
            <w:tcBorders>
              <w:top w:val="nil"/>
              <w:left w:val="nil"/>
              <w:bottom w:val="nil"/>
              <w:right w:val="nil"/>
            </w:tcBorders>
          </w:tcPr>
          <w:p w:rsidR="000B4654" w:rsidRPr="001F4100" w:rsidRDefault="000B4654" w:rsidP="00D12705">
            <w:pPr>
              <w:jc w:val="right"/>
              <w:rPr>
                <w:rFonts w:cs="Arial"/>
                <w:sz w:val="16"/>
                <w:szCs w:val="16"/>
                <w:lang w:val="en-US"/>
              </w:rPr>
            </w:pPr>
            <w:r w:rsidRPr="001F4100">
              <w:rPr>
                <w:rFonts w:cs="Arial"/>
                <w:sz w:val="16"/>
                <w:szCs w:val="16"/>
                <w:lang w:val="en-US"/>
              </w:rPr>
              <w:t>145 (54.7)</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Never</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 (3.7)</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12 (30.7)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553 (11.0)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20 (9.4)</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 (7.4)</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33 (7.8)</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 (9.0)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106 (10.3)</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16 (11.0)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 (7.4)</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23 (8.7)</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b/>
                <w:sz w:val="16"/>
                <w:szCs w:val="16"/>
                <w:lang w:eastAsia="en-US"/>
              </w:rPr>
            </w:pPr>
            <w:r w:rsidRPr="001F4100">
              <w:rPr>
                <w:b/>
                <w:sz w:val="16"/>
                <w:szCs w:val="16"/>
              </w:rPr>
              <w:t xml:space="preserve">TNM Stage </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0</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 (&lt;0.1)</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I</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385 (7.3)</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81 (6.0)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 (1.1)</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II</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338 (6.4)</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85 (6.3)</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6 (2.3)</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IIIB</w:t>
            </w:r>
          </w:p>
        </w:tc>
        <w:tc>
          <w:tcPr>
            <w:tcW w:w="992"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 (13.0)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 (7.7)</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1,217 (23.2)</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270 (20.1)</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38 (17.8)</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134"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9 (6)</w:t>
            </w:r>
          </w:p>
        </w:tc>
        <w:tc>
          <w:tcPr>
            <w:tcW w:w="1061"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29 (19.0)</w:t>
            </w:r>
          </w:p>
        </w:tc>
        <w:tc>
          <w:tcPr>
            <w:tcW w:w="1241"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31 (11.7)</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IIIC</w:t>
            </w:r>
          </w:p>
        </w:tc>
        <w:tc>
          <w:tcPr>
            <w:tcW w:w="992"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 (20.5)</w:t>
            </w: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134" w:type="dxa"/>
            <w:vMerge/>
            <w:tcBorders>
              <w:left w:val="nil"/>
              <w:bottom w:val="nil"/>
              <w:right w:val="nil"/>
            </w:tcBorders>
          </w:tcPr>
          <w:p w:rsidR="000B4654" w:rsidRPr="001F4100" w:rsidRDefault="000B4654" w:rsidP="00D12705">
            <w:pPr>
              <w:pStyle w:val="NoSpacing"/>
              <w:jc w:val="right"/>
              <w:rPr>
                <w:sz w:val="16"/>
                <w:szCs w:val="16"/>
              </w:rPr>
            </w:pPr>
          </w:p>
        </w:tc>
        <w:tc>
          <w:tcPr>
            <w:tcW w:w="1061" w:type="dxa"/>
            <w:vMerge/>
            <w:tcBorders>
              <w:left w:val="nil"/>
              <w:bottom w:val="nil"/>
              <w:right w:val="nil"/>
            </w:tcBorders>
          </w:tcPr>
          <w:p w:rsidR="000B4654" w:rsidRPr="001F4100" w:rsidRDefault="000B4654" w:rsidP="00D12705">
            <w:pPr>
              <w:pStyle w:val="NoSpacing"/>
              <w:jc w:val="right"/>
              <w:rPr>
                <w:sz w:val="16"/>
                <w:szCs w:val="16"/>
              </w:rPr>
            </w:pPr>
          </w:p>
        </w:tc>
        <w:tc>
          <w:tcPr>
            <w:tcW w:w="1241" w:type="dxa"/>
            <w:vMerge/>
            <w:tcBorders>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IVA</w:t>
            </w:r>
          </w:p>
        </w:tc>
        <w:tc>
          <w:tcPr>
            <w:tcW w:w="992"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94 (87.0)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18 (46.2)</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3,159 (60.1)</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863 (64.2)</w:t>
            </w:r>
          </w:p>
        </w:tc>
        <w:tc>
          <w:tcPr>
            <w:tcW w:w="1163"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144 (67.6)</w:t>
            </w:r>
          </w:p>
        </w:tc>
        <w:tc>
          <w:tcPr>
            <w:tcW w:w="1016"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142 (74.7)</w:t>
            </w:r>
          </w:p>
        </w:tc>
        <w:tc>
          <w:tcPr>
            <w:tcW w:w="1019"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423 (100.0)</w:t>
            </w:r>
          </w:p>
        </w:tc>
        <w:tc>
          <w:tcPr>
            <w:tcW w:w="1025" w:type="dxa"/>
            <w:vMerge w:val="restart"/>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159 (84.6)</w:t>
            </w:r>
          </w:p>
        </w:tc>
        <w:tc>
          <w:tcPr>
            <w:tcW w:w="1150"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1026 (100.0)</w:t>
            </w:r>
          </w:p>
        </w:tc>
        <w:tc>
          <w:tcPr>
            <w:tcW w:w="1134"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144 (94)</w:t>
            </w:r>
          </w:p>
        </w:tc>
        <w:tc>
          <w:tcPr>
            <w:tcW w:w="1061"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124 (81.0)</w:t>
            </w:r>
          </w:p>
        </w:tc>
        <w:tc>
          <w:tcPr>
            <w:tcW w:w="1241" w:type="dxa"/>
            <w:vMerge w:val="restart"/>
            <w:tcBorders>
              <w:top w:val="nil"/>
              <w:left w:val="nil"/>
              <w:right w:val="nil"/>
            </w:tcBorders>
          </w:tcPr>
          <w:p w:rsidR="000B4654" w:rsidRPr="001F4100" w:rsidRDefault="000B4654" w:rsidP="00D12705">
            <w:pPr>
              <w:pStyle w:val="NoSpacing"/>
              <w:jc w:val="right"/>
              <w:rPr>
                <w:sz w:val="16"/>
                <w:szCs w:val="16"/>
              </w:rPr>
            </w:pPr>
            <w:r w:rsidRPr="001F4100">
              <w:rPr>
                <w:sz w:val="16"/>
                <w:szCs w:val="16"/>
              </w:rPr>
              <w:t>224 (84.8)</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IVB</w:t>
            </w:r>
          </w:p>
        </w:tc>
        <w:tc>
          <w:tcPr>
            <w:tcW w:w="992"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 (25.6)</w:t>
            </w: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63"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6"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19"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025" w:type="dxa"/>
            <w:vMerge/>
            <w:tcBorders>
              <w:top w:val="nil"/>
              <w:left w:val="nil"/>
              <w:bottom w:val="nil"/>
              <w:right w:val="nil"/>
            </w:tcBorders>
            <w:vAlign w:val="center"/>
            <w:hideMark/>
          </w:tcPr>
          <w:p w:rsidR="000B4654" w:rsidRPr="001F4100" w:rsidRDefault="000B4654" w:rsidP="00D12705">
            <w:pPr>
              <w:rPr>
                <w:rFonts w:cs="Arial"/>
                <w:sz w:val="16"/>
                <w:szCs w:val="16"/>
                <w:lang w:val="en-US" w:eastAsia="en-US"/>
              </w:rPr>
            </w:pPr>
          </w:p>
        </w:tc>
        <w:tc>
          <w:tcPr>
            <w:tcW w:w="1150" w:type="dxa"/>
            <w:vMerge/>
            <w:tcBorders>
              <w:left w:val="nil"/>
              <w:bottom w:val="nil"/>
              <w:right w:val="nil"/>
            </w:tcBorders>
          </w:tcPr>
          <w:p w:rsidR="000B4654" w:rsidRPr="001F4100" w:rsidRDefault="000B4654" w:rsidP="00D12705">
            <w:pPr>
              <w:rPr>
                <w:rFonts w:cs="Arial"/>
                <w:sz w:val="16"/>
                <w:szCs w:val="16"/>
                <w:lang w:val="en-US"/>
              </w:rPr>
            </w:pPr>
          </w:p>
        </w:tc>
        <w:tc>
          <w:tcPr>
            <w:tcW w:w="1134" w:type="dxa"/>
            <w:vMerge/>
            <w:tcBorders>
              <w:left w:val="nil"/>
              <w:bottom w:val="nil"/>
              <w:right w:val="nil"/>
            </w:tcBorders>
          </w:tcPr>
          <w:p w:rsidR="000B4654" w:rsidRPr="001F4100" w:rsidRDefault="000B4654" w:rsidP="00D12705">
            <w:pPr>
              <w:rPr>
                <w:rFonts w:cs="Arial"/>
                <w:sz w:val="16"/>
                <w:szCs w:val="16"/>
                <w:lang w:val="en-US"/>
              </w:rPr>
            </w:pPr>
          </w:p>
        </w:tc>
        <w:tc>
          <w:tcPr>
            <w:tcW w:w="1061" w:type="dxa"/>
            <w:vMerge/>
            <w:tcBorders>
              <w:left w:val="nil"/>
              <w:bottom w:val="nil"/>
              <w:right w:val="nil"/>
            </w:tcBorders>
          </w:tcPr>
          <w:p w:rsidR="000B4654" w:rsidRPr="001F4100" w:rsidRDefault="000B4654" w:rsidP="00D12705">
            <w:pPr>
              <w:rPr>
                <w:rFonts w:cs="Arial"/>
                <w:sz w:val="16"/>
                <w:szCs w:val="16"/>
                <w:lang w:val="en-US"/>
              </w:rPr>
            </w:pPr>
          </w:p>
        </w:tc>
        <w:tc>
          <w:tcPr>
            <w:tcW w:w="1241" w:type="dxa"/>
            <w:vMerge/>
            <w:tcBorders>
              <w:left w:val="nil"/>
              <w:bottom w:val="nil"/>
              <w:right w:val="nil"/>
            </w:tcBorders>
          </w:tcPr>
          <w:p w:rsidR="000B4654" w:rsidRPr="001F4100" w:rsidRDefault="000B4654" w:rsidP="00D12705">
            <w:pPr>
              <w:rPr>
                <w:rFonts w:cs="Arial"/>
                <w:sz w:val="16"/>
                <w:szCs w:val="16"/>
                <w:lang w:val="en-US"/>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jc w:val="left"/>
              <w:rPr>
                <w:b/>
                <w:sz w:val="16"/>
                <w:szCs w:val="16"/>
                <w:lang w:eastAsia="en-US"/>
              </w:rPr>
            </w:pPr>
            <w:r w:rsidRPr="001F4100">
              <w:rPr>
                <w:b/>
                <w:sz w:val="16"/>
                <w:szCs w:val="16"/>
              </w:rPr>
              <w:t>Line of therapy (immunotherapy)</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First line</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108 (100.0)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26 (66.7)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1,329 (25.3)</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227 (16.9)</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213 (100.0)</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141 (74.2)</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423 (100.0)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159 (100.0)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1026 (100.0)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 (100.0)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 (100.0)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265 (100.0)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&gt;1</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13 (13.3)</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3,927 (74.7)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1117 (83.1)</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49 (25.8)</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b/>
                <w:sz w:val="16"/>
                <w:szCs w:val="16"/>
                <w:lang w:eastAsia="en-US"/>
              </w:rPr>
            </w:pPr>
            <w:r w:rsidRPr="001F4100">
              <w:rPr>
                <w:b/>
                <w:sz w:val="16"/>
                <w:szCs w:val="16"/>
              </w:rPr>
              <w:t>PD-L1 status</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Positive</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108 (100.0)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16 (41.0)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1219 (23.2)</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55 (49.1)</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213 (100.0)</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190 (100.0)</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423 (100.0)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188 (100.0)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1026 (100.0)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 (100.0)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 (100.0)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265 (100.0)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 xml:space="preserve">&lt;1% </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312 (20.8)</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1-49%</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285 (19.0)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14 (7.4)</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&gt;50%</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108 (100.0)</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622 (41.4)</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213 (100.0)</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176 (92.6)</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423 (100.0)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188 (100.0)</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1026 (100.0)</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 (100.0)</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153 (100.0)</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265 (100.0)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 xml:space="preserve">   50-74%</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97 (45.5)</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71 (46)</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104 (68,0)</w:t>
            </w:r>
            <w:r w:rsidRPr="001F4100">
              <w:rPr>
                <w:sz w:val="16"/>
                <w:szCs w:val="16"/>
                <w:vertAlign w:val="superscript"/>
              </w:rPr>
              <w:t xml:space="preserve"> c</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 xml:space="preserve">   75-90%</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47 (22.1)</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29 (19)</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24 (15.3)</w:t>
            </w:r>
            <w:r w:rsidRPr="001F4100">
              <w:rPr>
                <w:sz w:val="16"/>
                <w:szCs w:val="16"/>
                <w:vertAlign w:val="superscript"/>
              </w:rPr>
              <w:t xml:space="preserve"> d</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 xml:space="preserve">   90-100%</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69 (32.4)</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186 (44.0)</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74 (39.3)</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23 (15)</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25 (16.3)</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0</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Negative/unknown</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23 (59.0)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37 (33.0)</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Unknown/missing</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283 (18.8)</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20 (17.9)</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b/>
                <w:sz w:val="16"/>
                <w:szCs w:val="16"/>
                <w:lang w:eastAsia="en-US"/>
              </w:rPr>
            </w:pPr>
            <w:r w:rsidRPr="001F4100">
              <w:rPr>
                <w:b/>
                <w:sz w:val="16"/>
                <w:szCs w:val="16"/>
              </w:rPr>
              <w:t>Metastasis</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Brain metastasis</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 (17.6)</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26 (13.7)</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48 (11.3)</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23 (12.2)</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181 (17.6)</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32 (20.9)</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47 (17.7)</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ind w:left="708"/>
              <w:rPr>
                <w:sz w:val="16"/>
                <w:szCs w:val="16"/>
                <w:lang w:eastAsia="en-US"/>
              </w:rPr>
            </w:pPr>
            <w:r w:rsidRPr="001F4100">
              <w:rPr>
                <w:sz w:val="16"/>
                <w:szCs w:val="16"/>
              </w:rPr>
              <w:t>Liver metastasis</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28 (13.1)</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 (8.9)</w:t>
            </w: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158 (15.4)</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15 (9.8)</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35 (13.2)</w:t>
            </w: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b/>
                <w:sz w:val="16"/>
                <w:szCs w:val="16"/>
                <w:lang w:eastAsia="en-US"/>
              </w:rPr>
            </w:pPr>
            <w:r w:rsidRPr="001F4100">
              <w:rPr>
                <w:b/>
                <w:sz w:val="16"/>
                <w:szCs w:val="16"/>
              </w:rPr>
              <w:t>Outcomes as first-line</w:t>
            </w:r>
          </w:p>
        </w:tc>
        <w:tc>
          <w:tcPr>
            <w:tcW w:w="992"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63"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6"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19"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025" w:type="dxa"/>
            <w:tcBorders>
              <w:top w:val="nil"/>
              <w:left w:val="nil"/>
              <w:bottom w:val="nil"/>
              <w:right w:val="nil"/>
            </w:tcBorders>
            <w:vAlign w:val="center"/>
          </w:tcPr>
          <w:p w:rsidR="000B4654" w:rsidRPr="001F4100" w:rsidRDefault="000B4654" w:rsidP="00D12705">
            <w:pPr>
              <w:pStyle w:val="NoSpacing"/>
              <w:jc w:val="right"/>
              <w:rPr>
                <w:sz w:val="16"/>
                <w:szCs w:val="16"/>
                <w:lang w:eastAsia="en-US"/>
              </w:rPr>
            </w:pPr>
          </w:p>
        </w:tc>
        <w:tc>
          <w:tcPr>
            <w:tcW w:w="1150" w:type="dxa"/>
            <w:tcBorders>
              <w:top w:val="nil"/>
              <w:left w:val="nil"/>
              <w:bottom w:val="nil"/>
              <w:right w:val="nil"/>
            </w:tcBorders>
          </w:tcPr>
          <w:p w:rsidR="000B4654" w:rsidRPr="001F4100" w:rsidRDefault="000B4654" w:rsidP="00D12705">
            <w:pPr>
              <w:pStyle w:val="NoSpacing"/>
              <w:jc w:val="right"/>
              <w:rPr>
                <w:sz w:val="16"/>
                <w:szCs w:val="16"/>
              </w:rPr>
            </w:pPr>
          </w:p>
        </w:tc>
        <w:tc>
          <w:tcPr>
            <w:tcW w:w="1134" w:type="dxa"/>
            <w:tcBorders>
              <w:top w:val="nil"/>
              <w:left w:val="nil"/>
              <w:bottom w:val="nil"/>
              <w:right w:val="nil"/>
            </w:tcBorders>
          </w:tcPr>
          <w:p w:rsidR="000B4654" w:rsidRPr="001F4100" w:rsidRDefault="000B4654" w:rsidP="00D12705">
            <w:pPr>
              <w:pStyle w:val="NoSpacing"/>
              <w:jc w:val="right"/>
              <w:rPr>
                <w:sz w:val="16"/>
                <w:szCs w:val="16"/>
              </w:rPr>
            </w:pPr>
          </w:p>
        </w:tc>
        <w:tc>
          <w:tcPr>
            <w:tcW w:w="1061" w:type="dxa"/>
            <w:tcBorders>
              <w:top w:val="nil"/>
              <w:left w:val="nil"/>
              <w:bottom w:val="nil"/>
              <w:right w:val="nil"/>
            </w:tcBorders>
          </w:tcPr>
          <w:p w:rsidR="000B4654" w:rsidRPr="001F4100" w:rsidRDefault="000B4654" w:rsidP="00D12705">
            <w:pPr>
              <w:pStyle w:val="NoSpacing"/>
              <w:jc w:val="right"/>
              <w:rPr>
                <w:sz w:val="16"/>
                <w:szCs w:val="16"/>
              </w:rPr>
            </w:pPr>
          </w:p>
        </w:tc>
        <w:tc>
          <w:tcPr>
            <w:tcW w:w="1241" w:type="dxa"/>
            <w:tcBorders>
              <w:top w:val="nil"/>
              <w:left w:val="nil"/>
              <w:bottom w:val="nil"/>
              <w:right w:val="nil"/>
            </w:tcBorders>
          </w:tcPr>
          <w:p w:rsidR="000B4654" w:rsidRPr="001F4100" w:rsidRDefault="000B4654" w:rsidP="00D12705">
            <w:pPr>
              <w:pStyle w:val="NoSpacing"/>
              <w:jc w:val="right"/>
              <w:rPr>
                <w:sz w:val="16"/>
                <w:szCs w:val="16"/>
              </w:rPr>
            </w:pPr>
          </w:p>
        </w:tc>
      </w:tr>
      <w:tr w:rsidR="001F4100" w:rsidRPr="001F4100" w:rsidTr="00D12705">
        <w:trPr>
          <w:trHeight w:val="141"/>
        </w:trPr>
        <w:tc>
          <w:tcPr>
            <w:tcW w:w="2343" w:type="dxa"/>
            <w:tcBorders>
              <w:top w:val="nil"/>
              <w:left w:val="nil"/>
              <w:bottom w:val="nil"/>
              <w:right w:val="nil"/>
            </w:tcBorders>
            <w:hideMark/>
          </w:tcPr>
          <w:p w:rsidR="000B4654" w:rsidRPr="001F4100" w:rsidRDefault="000B4654" w:rsidP="00D12705">
            <w:pPr>
              <w:pStyle w:val="NoSpacing"/>
              <w:rPr>
                <w:sz w:val="16"/>
                <w:szCs w:val="16"/>
                <w:lang w:eastAsia="en-US"/>
              </w:rPr>
            </w:pPr>
            <w:r w:rsidRPr="001F4100">
              <w:rPr>
                <w:b/>
                <w:sz w:val="16"/>
                <w:szCs w:val="16"/>
              </w:rPr>
              <w:t>OS</w:t>
            </w:r>
            <w:r w:rsidRPr="001F4100">
              <w:rPr>
                <w:sz w:val="16"/>
                <w:szCs w:val="16"/>
              </w:rPr>
              <w:t>, months (95% CI)</w:t>
            </w:r>
          </w:p>
        </w:tc>
        <w:tc>
          <w:tcPr>
            <w:tcW w:w="992"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15.2 (13.9-NR)</w:t>
            </w:r>
          </w:p>
        </w:tc>
        <w:tc>
          <w:tcPr>
            <w:tcW w:w="101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Not reached</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10.75 (9.61-11.7)</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8.3 (7.4-10.6)</w:t>
            </w:r>
          </w:p>
        </w:tc>
        <w:tc>
          <w:tcPr>
            <w:tcW w:w="1163"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17.8 (17.8- NR)</w:t>
            </w:r>
          </w:p>
        </w:tc>
        <w:tc>
          <w:tcPr>
            <w:tcW w:w="1016"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24.3 (9.7- NR)</w:t>
            </w:r>
          </w:p>
        </w:tc>
        <w:tc>
          <w:tcPr>
            <w:tcW w:w="1019"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18.9 (14.9-25.5)</w:t>
            </w:r>
          </w:p>
        </w:tc>
        <w:tc>
          <w:tcPr>
            <w:tcW w:w="1025" w:type="dxa"/>
            <w:tcBorders>
              <w:top w:val="nil"/>
              <w:left w:val="nil"/>
              <w:bottom w:val="nil"/>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19.1 (12.6 – NR)</w:t>
            </w:r>
          </w:p>
        </w:tc>
        <w:tc>
          <w:tcPr>
            <w:tcW w:w="1150"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17.2 (15.3 -22.3)</w:t>
            </w:r>
          </w:p>
        </w:tc>
        <w:tc>
          <w:tcPr>
            <w:tcW w:w="1134"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3.0 (2.4 – 3.5)</w:t>
            </w:r>
          </w:p>
        </w:tc>
        <w:tc>
          <w:tcPr>
            <w:tcW w:w="106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22.0 (15.4 – 28.6)</w:t>
            </w:r>
          </w:p>
        </w:tc>
        <w:tc>
          <w:tcPr>
            <w:tcW w:w="1241" w:type="dxa"/>
            <w:tcBorders>
              <w:top w:val="nil"/>
              <w:left w:val="nil"/>
              <w:bottom w:val="nil"/>
              <w:right w:val="nil"/>
            </w:tcBorders>
          </w:tcPr>
          <w:p w:rsidR="000B4654" w:rsidRPr="001F4100" w:rsidRDefault="000B4654" w:rsidP="00D12705">
            <w:pPr>
              <w:pStyle w:val="NoSpacing"/>
              <w:jc w:val="right"/>
              <w:rPr>
                <w:sz w:val="16"/>
                <w:szCs w:val="16"/>
              </w:rPr>
            </w:pPr>
            <w:r w:rsidRPr="001F4100">
              <w:rPr>
                <w:sz w:val="16"/>
                <w:szCs w:val="16"/>
              </w:rPr>
              <w:t>22.5</w:t>
            </w:r>
          </w:p>
        </w:tc>
      </w:tr>
      <w:tr w:rsidR="001F4100" w:rsidRPr="001F4100" w:rsidTr="00D12705">
        <w:trPr>
          <w:trHeight w:val="141"/>
        </w:trPr>
        <w:tc>
          <w:tcPr>
            <w:tcW w:w="2343" w:type="dxa"/>
            <w:tcBorders>
              <w:top w:val="nil"/>
              <w:left w:val="nil"/>
              <w:bottom w:val="single" w:sz="4" w:space="0" w:color="auto"/>
              <w:right w:val="nil"/>
            </w:tcBorders>
            <w:hideMark/>
          </w:tcPr>
          <w:p w:rsidR="000B4654" w:rsidRPr="001F4100" w:rsidRDefault="000B4654" w:rsidP="00D12705">
            <w:pPr>
              <w:pStyle w:val="NoSpacing"/>
              <w:rPr>
                <w:sz w:val="16"/>
                <w:szCs w:val="16"/>
                <w:lang w:eastAsia="en-US"/>
              </w:rPr>
            </w:pPr>
            <w:r w:rsidRPr="001F4100">
              <w:rPr>
                <w:b/>
                <w:sz w:val="16"/>
                <w:szCs w:val="16"/>
              </w:rPr>
              <w:t>PFS</w:t>
            </w:r>
            <w:r w:rsidRPr="001F4100">
              <w:rPr>
                <w:sz w:val="16"/>
                <w:szCs w:val="16"/>
              </w:rPr>
              <w:t>, months (95% CI)</w:t>
            </w:r>
          </w:p>
        </w:tc>
        <w:tc>
          <w:tcPr>
            <w:tcW w:w="992"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10.1 (8.8-11.4)</w:t>
            </w:r>
          </w:p>
        </w:tc>
        <w:tc>
          <w:tcPr>
            <w:tcW w:w="1015"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 xml:space="preserve">25.5 (6.8-44.1) </w:t>
            </w:r>
            <w:r w:rsidRPr="001F4100">
              <w:rPr>
                <w:sz w:val="16"/>
                <w:szCs w:val="16"/>
                <w:vertAlign w:val="superscript"/>
              </w:rPr>
              <w:t>a</w:t>
            </w:r>
          </w:p>
        </w:tc>
        <w:tc>
          <w:tcPr>
            <w:tcW w:w="1163"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4.2</w:t>
            </w:r>
            <w:bookmarkStart w:id="1" w:name="_GoBack"/>
            <w:bookmarkEnd w:id="1"/>
            <w:r w:rsidRPr="001F4100">
              <w:rPr>
                <w:sz w:val="16"/>
                <w:szCs w:val="16"/>
              </w:rPr>
              <w:t>6 (3.8-4.79)</w:t>
            </w:r>
          </w:p>
        </w:tc>
        <w:tc>
          <w:tcPr>
            <w:tcW w:w="1163"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163"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8.3 (6.0-10.7)</w:t>
            </w:r>
          </w:p>
        </w:tc>
        <w:tc>
          <w:tcPr>
            <w:tcW w:w="1016"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19"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w:t>
            </w:r>
          </w:p>
        </w:tc>
        <w:tc>
          <w:tcPr>
            <w:tcW w:w="1025" w:type="dxa"/>
            <w:tcBorders>
              <w:top w:val="nil"/>
              <w:left w:val="nil"/>
              <w:bottom w:val="single" w:sz="4" w:space="0" w:color="auto"/>
              <w:right w:val="nil"/>
            </w:tcBorders>
            <w:vAlign w:val="center"/>
            <w:hideMark/>
          </w:tcPr>
          <w:p w:rsidR="000B4654" w:rsidRPr="001F4100" w:rsidRDefault="000B4654" w:rsidP="00D12705">
            <w:pPr>
              <w:pStyle w:val="NoSpacing"/>
              <w:jc w:val="right"/>
              <w:rPr>
                <w:sz w:val="16"/>
                <w:szCs w:val="16"/>
                <w:lang w:eastAsia="en-US"/>
              </w:rPr>
            </w:pPr>
            <w:r w:rsidRPr="001F4100">
              <w:rPr>
                <w:sz w:val="16"/>
                <w:szCs w:val="16"/>
              </w:rPr>
              <w:t>6.8 (5.3-8.1)</w:t>
            </w:r>
          </w:p>
        </w:tc>
        <w:tc>
          <w:tcPr>
            <w:tcW w:w="1150" w:type="dxa"/>
            <w:tcBorders>
              <w:top w:val="nil"/>
              <w:left w:val="nil"/>
              <w:bottom w:val="single" w:sz="4" w:space="0" w:color="auto"/>
              <w:right w:val="nil"/>
            </w:tcBorders>
          </w:tcPr>
          <w:p w:rsidR="000B4654" w:rsidRPr="001F4100" w:rsidRDefault="000B4654" w:rsidP="00D12705">
            <w:pPr>
              <w:pStyle w:val="NoSpacing"/>
              <w:jc w:val="right"/>
              <w:rPr>
                <w:sz w:val="16"/>
                <w:szCs w:val="16"/>
              </w:rPr>
            </w:pPr>
            <w:r w:rsidRPr="001F4100">
              <w:rPr>
                <w:sz w:val="16"/>
                <w:szCs w:val="16"/>
              </w:rPr>
              <w:t>7.9 (6.9-9.5)</w:t>
            </w:r>
          </w:p>
        </w:tc>
        <w:tc>
          <w:tcPr>
            <w:tcW w:w="1134" w:type="dxa"/>
            <w:tcBorders>
              <w:top w:val="nil"/>
              <w:left w:val="nil"/>
              <w:bottom w:val="single" w:sz="4" w:space="0" w:color="auto"/>
              <w:right w:val="nil"/>
            </w:tcBorders>
          </w:tcPr>
          <w:p w:rsidR="000B4654" w:rsidRPr="001F4100" w:rsidRDefault="000B4654" w:rsidP="00D12705">
            <w:pPr>
              <w:pStyle w:val="NoSpacing"/>
              <w:jc w:val="right"/>
              <w:rPr>
                <w:sz w:val="16"/>
                <w:szCs w:val="16"/>
              </w:rPr>
            </w:pPr>
            <w:r w:rsidRPr="001F4100">
              <w:rPr>
                <w:sz w:val="16"/>
                <w:szCs w:val="16"/>
              </w:rPr>
              <w:t>2.4 (1.6-2.5)</w:t>
            </w:r>
          </w:p>
        </w:tc>
        <w:tc>
          <w:tcPr>
            <w:tcW w:w="1061" w:type="dxa"/>
            <w:tcBorders>
              <w:top w:val="nil"/>
              <w:left w:val="nil"/>
              <w:bottom w:val="single" w:sz="4" w:space="0" w:color="auto"/>
              <w:right w:val="nil"/>
            </w:tcBorders>
          </w:tcPr>
          <w:p w:rsidR="000B4654" w:rsidRPr="001F4100" w:rsidRDefault="000B4654" w:rsidP="00D12705">
            <w:pPr>
              <w:pStyle w:val="NoSpacing"/>
              <w:jc w:val="right"/>
              <w:rPr>
                <w:sz w:val="16"/>
                <w:szCs w:val="16"/>
              </w:rPr>
            </w:pPr>
            <w:r w:rsidRPr="001F4100">
              <w:rPr>
                <w:sz w:val="16"/>
                <w:szCs w:val="16"/>
              </w:rPr>
              <w:t>8.2 (5.1 -11.4)</w:t>
            </w:r>
          </w:p>
        </w:tc>
        <w:tc>
          <w:tcPr>
            <w:tcW w:w="1241" w:type="dxa"/>
            <w:tcBorders>
              <w:top w:val="nil"/>
              <w:left w:val="nil"/>
              <w:bottom w:val="single" w:sz="4" w:space="0" w:color="auto"/>
              <w:right w:val="nil"/>
            </w:tcBorders>
          </w:tcPr>
          <w:p w:rsidR="000B4654" w:rsidRPr="001F4100" w:rsidRDefault="000B4654" w:rsidP="00D12705">
            <w:pPr>
              <w:pStyle w:val="NoSpacing"/>
              <w:jc w:val="right"/>
              <w:rPr>
                <w:sz w:val="16"/>
                <w:szCs w:val="16"/>
              </w:rPr>
            </w:pPr>
            <w:r w:rsidRPr="001F4100">
              <w:rPr>
                <w:sz w:val="16"/>
                <w:szCs w:val="16"/>
              </w:rPr>
              <w:t>10.4</w:t>
            </w:r>
          </w:p>
        </w:tc>
      </w:tr>
      <w:tr w:rsidR="001F4100" w:rsidRPr="001F4100" w:rsidTr="00D12705">
        <w:trPr>
          <w:trHeight w:val="141"/>
        </w:trPr>
        <w:tc>
          <w:tcPr>
            <w:tcW w:w="10899" w:type="dxa"/>
            <w:gridSpan w:val="9"/>
            <w:tcBorders>
              <w:top w:val="single" w:sz="4" w:space="0" w:color="auto"/>
              <w:left w:val="nil"/>
              <w:bottom w:val="nil"/>
              <w:right w:val="nil"/>
            </w:tcBorders>
            <w:hideMark/>
          </w:tcPr>
          <w:p w:rsidR="000B4654" w:rsidRPr="001F4100" w:rsidRDefault="000B4654" w:rsidP="00D12705">
            <w:pPr>
              <w:pStyle w:val="NoSpacing"/>
              <w:jc w:val="left"/>
              <w:rPr>
                <w:sz w:val="16"/>
                <w:szCs w:val="16"/>
              </w:rPr>
            </w:pPr>
            <w:proofErr w:type="spellStart"/>
            <w:r w:rsidRPr="001F4100">
              <w:rPr>
                <w:sz w:val="16"/>
                <w:szCs w:val="16"/>
                <w:vertAlign w:val="superscript"/>
              </w:rPr>
              <w:t>a</w:t>
            </w:r>
            <w:proofErr w:type="spellEnd"/>
            <w:r w:rsidRPr="001F4100">
              <w:rPr>
                <w:sz w:val="16"/>
                <w:szCs w:val="16"/>
              </w:rPr>
              <w:t xml:space="preserve"> For all the population (not only as first line)</w:t>
            </w:r>
          </w:p>
          <w:p w:rsidR="000B4654" w:rsidRPr="001F4100" w:rsidRDefault="000B4654" w:rsidP="00D12705">
            <w:pPr>
              <w:pStyle w:val="NoSpacing"/>
              <w:jc w:val="left"/>
              <w:rPr>
                <w:sz w:val="16"/>
                <w:szCs w:val="16"/>
              </w:rPr>
            </w:pPr>
            <w:r w:rsidRPr="001F4100">
              <w:rPr>
                <w:sz w:val="16"/>
                <w:szCs w:val="16"/>
                <w:vertAlign w:val="superscript"/>
              </w:rPr>
              <w:t>b</w:t>
            </w:r>
            <w:r w:rsidRPr="001F4100">
              <w:rPr>
                <w:sz w:val="16"/>
                <w:szCs w:val="16"/>
              </w:rPr>
              <w:t xml:space="preserve"> Inter-quartile range</w:t>
            </w:r>
          </w:p>
          <w:p w:rsidR="000B4654" w:rsidRPr="001F4100" w:rsidRDefault="000B4654" w:rsidP="00D12705">
            <w:pPr>
              <w:pStyle w:val="NoSpacing"/>
              <w:jc w:val="left"/>
              <w:rPr>
                <w:sz w:val="16"/>
                <w:szCs w:val="16"/>
              </w:rPr>
            </w:pPr>
            <w:r w:rsidRPr="001F4100">
              <w:rPr>
                <w:sz w:val="16"/>
                <w:szCs w:val="16"/>
                <w:vertAlign w:val="superscript"/>
              </w:rPr>
              <w:t>c</w:t>
            </w:r>
            <w:r w:rsidRPr="001F4100">
              <w:rPr>
                <w:sz w:val="16"/>
                <w:szCs w:val="16"/>
              </w:rPr>
              <w:t xml:space="preserve"> PD-L1 expression 50-79%</w:t>
            </w:r>
          </w:p>
          <w:p w:rsidR="000B4654" w:rsidRPr="001F4100" w:rsidRDefault="000B4654" w:rsidP="00D12705">
            <w:pPr>
              <w:pStyle w:val="NoSpacing"/>
              <w:jc w:val="left"/>
              <w:rPr>
                <w:sz w:val="16"/>
                <w:szCs w:val="16"/>
              </w:rPr>
            </w:pPr>
            <w:r w:rsidRPr="001F4100">
              <w:rPr>
                <w:sz w:val="16"/>
                <w:szCs w:val="16"/>
                <w:vertAlign w:val="superscript"/>
              </w:rPr>
              <w:t>d</w:t>
            </w:r>
            <w:r w:rsidRPr="001F4100">
              <w:rPr>
                <w:sz w:val="16"/>
                <w:szCs w:val="16"/>
              </w:rPr>
              <w:t xml:space="preserve"> PD-L1 expression 80-89%</w:t>
            </w:r>
          </w:p>
          <w:p w:rsidR="000B4654" w:rsidRPr="001F4100" w:rsidRDefault="000B4654" w:rsidP="00D12705">
            <w:pPr>
              <w:pStyle w:val="NoSpacing"/>
              <w:jc w:val="left"/>
              <w:rPr>
                <w:sz w:val="16"/>
                <w:szCs w:val="16"/>
                <w:lang w:eastAsia="en-US"/>
              </w:rPr>
            </w:pPr>
            <w:r w:rsidRPr="001F4100">
              <w:rPr>
                <w:sz w:val="16"/>
                <w:szCs w:val="16"/>
              </w:rPr>
              <w:t>ECOG PS : Eastern Cooperative Oncology Group Performance Status</w:t>
            </w:r>
          </w:p>
        </w:tc>
        <w:tc>
          <w:tcPr>
            <w:tcW w:w="1150" w:type="dxa"/>
            <w:tcBorders>
              <w:top w:val="single" w:sz="4" w:space="0" w:color="auto"/>
              <w:left w:val="nil"/>
              <w:bottom w:val="nil"/>
              <w:right w:val="nil"/>
            </w:tcBorders>
          </w:tcPr>
          <w:p w:rsidR="000B4654" w:rsidRPr="001F4100" w:rsidRDefault="000B4654" w:rsidP="00D12705">
            <w:pPr>
              <w:pStyle w:val="NoSpacing"/>
              <w:jc w:val="left"/>
              <w:rPr>
                <w:sz w:val="16"/>
                <w:szCs w:val="16"/>
              </w:rPr>
            </w:pPr>
          </w:p>
        </w:tc>
        <w:tc>
          <w:tcPr>
            <w:tcW w:w="1134" w:type="dxa"/>
            <w:tcBorders>
              <w:top w:val="single" w:sz="4" w:space="0" w:color="auto"/>
              <w:left w:val="nil"/>
              <w:bottom w:val="nil"/>
              <w:right w:val="nil"/>
            </w:tcBorders>
          </w:tcPr>
          <w:p w:rsidR="000B4654" w:rsidRPr="001F4100" w:rsidRDefault="000B4654" w:rsidP="00D12705">
            <w:pPr>
              <w:pStyle w:val="NoSpacing"/>
              <w:jc w:val="left"/>
              <w:rPr>
                <w:sz w:val="16"/>
                <w:szCs w:val="16"/>
              </w:rPr>
            </w:pPr>
          </w:p>
        </w:tc>
        <w:tc>
          <w:tcPr>
            <w:tcW w:w="1061" w:type="dxa"/>
            <w:tcBorders>
              <w:top w:val="single" w:sz="4" w:space="0" w:color="auto"/>
              <w:left w:val="nil"/>
              <w:bottom w:val="nil"/>
              <w:right w:val="nil"/>
            </w:tcBorders>
          </w:tcPr>
          <w:p w:rsidR="000B4654" w:rsidRPr="001F4100" w:rsidRDefault="000B4654" w:rsidP="00D12705">
            <w:pPr>
              <w:pStyle w:val="NoSpacing"/>
              <w:jc w:val="left"/>
              <w:rPr>
                <w:sz w:val="16"/>
                <w:szCs w:val="16"/>
              </w:rPr>
            </w:pPr>
          </w:p>
        </w:tc>
        <w:tc>
          <w:tcPr>
            <w:tcW w:w="1241" w:type="dxa"/>
            <w:tcBorders>
              <w:top w:val="single" w:sz="4" w:space="0" w:color="auto"/>
              <w:left w:val="nil"/>
              <w:bottom w:val="nil"/>
              <w:right w:val="nil"/>
            </w:tcBorders>
          </w:tcPr>
          <w:p w:rsidR="000B4654" w:rsidRPr="001F4100" w:rsidRDefault="000B4654" w:rsidP="00D12705">
            <w:pPr>
              <w:pStyle w:val="NoSpacing"/>
              <w:jc w:val="left"/>
              <w:rPr>
                <w:sz w:val="16"/>
                <w:szCs w:val="16"/>
              </w:rPr>
            </w:pPr>
          </w:p>
        </w:tc>
      </w:tr>
    </w:tbl>
    <w:p w:rsidR="000B4654" w:rsidRPr="001F4100" w:rsidRDefault="000B4654" w:rsidP="000B4654">
      <w:pPr>
        <w:rPr>
          <w:rFonts w:cs="Arial"/>
          <w:lang w:val="en-US"/>
        </w:rPr>
      </w:pPr>
    </w:p>
    <w:p w:rsidR="007D10C7" w:rsidRPr="001F4100" w:rsidRDefault="007D10C7" w:rsidP="000B4654"/>
    <w:sectPr w:rsidR="007D10C7" w:rsidRPr="001F4100" w:rsidSect="001F4100">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1219C"/>
    <w:multiLevelType w:val="multilevel"/>
    <w:tmpl w:val="2898A7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4541DA0"/>
    <w:multiLevelType w:val="hybridMultilevel"/>
    <w:tmpl w:val="F5684C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47743AF"/>
    <w:multiLevelType w:val="hybridMultilevel"/>
    <w:tmpl w:val="B62E7C2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5094122"/>
    <w:multiLevelType w:val="hybridMultilevel"/>
    <w:tmpl w:val="FAE02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1C1E4B"/>
    <w:multiLevelType w:val="multilevel"/>
    <w:tmpl w:val="7A6860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48D795F"/>
    <w:multiLevelType w:val="hybridMultilevel"/>
    <w:tmpl w:val="FF7CC390"/>
    <w:lvl w:ilvl="0" w:tplc="13E24112">
      <w:start w:val="1"/>
      <w:numFmt w:val="decimal"/>
      <w:lvlText w:val="(%1)"/>
      <w:lvlJc w:val="left"/>
      <w:pPr>
        <w:ind w:left="757" w:hanging="360"/>
      </w:pPr>
      <w:rPr>
        <w:rFonts w:ascii="Arial" w:hAnsi="Arial" w:cs="Arial"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63CDF"/>
    <w:multiLevelType w:val="hybridMultilevel"/>
    <w:tmpl w:val="1106665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EB51E01"/>
    <w:multiLevelType w:val="hybridMultilevel"/>
    <w:tmpl w:val="8388588C"/>
    <w:lvl w:ilvl="0" w:tplc="72DA7ED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06E2BDE"/>
    <w:multiLevelType w:val="hybridMultilevel"/>
    <w:tmpl w:val="D8D4D61A"/>
    <w:lvl w:ilvl="0" w:tplc="13E24112">
      <w:start w:val="1"/>
      <w:numFmt w:val="decimal"/>
      <w:lvlText w:val="(%1)"/>
      <w:lvlJc w:val="left"/>
      <w:pPr>
        <w:ind w:left="720" w:hanging="323"/>
      </w:pPr>
      <w:rPr>
        <w:rFonts w:ascii="Arial" w:hAnsi="Arial" w:cs="Arial"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9649CC"/>
    <w:multiLevelType w:val="hybridMultilevel"/>
    <w:tmpl w:val="FF7CC390"/>
    <w:lvl w:ilvl="0" w:tplc="13E24112">
      <w:start w:val="1"/>
      <w:numFmt w:val="decimal"/>
      <w:lvlText w:val="(%1)"/>
      <w:lvlJc w:val="left"/>
      <w:pPr>
        <w:ind w:left="757" w:hanging="360"/>
      </w:pPr>
      <w:rPr>
        <w:rFonts w:ascii="Arial" w:hAnsi="Arial" w:cs="Arial"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75B14D0"/>
    <w:multiLevelType w:val="multilevel"/>
    <w:tmpl w:val="4A18FF8A"/>
    <w:lvl w:ilvl="0">
      <w:start w:val="1"/>
      <w:numFmt w:val="decimal"/>
      <w:lvlText w:val="%1."/>
      <w:lvlJc w:val="left"/>
      <w:pPr>
        <w:ind w:left="360" w:hanging="360"/>
      </w:pPr>
      <w:rPr>
        <w:rFonts w:ascii="Arial" w:hAnsi="Arial"/>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0"/>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2"/>
  </w:num>
  <w:num w:numId="8">
    <w:abstractNumId w:val="8"/>
  </w:num>
  <w:num w:numId="9">
    <w:abstractNumId w:val="7"/>
  </w:num>
  <w:num w:numId="10">
    <w:abstractNumId w:val="6"/>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0C7"/>
    <w:rsid w:val="000B4654"/>
    <w:rsid w:val="001611D5"/>
    <w:rsid w:val="001F4100"/>
    <w:rsid w:val="00356550"/>
    <w:rsid w:val="0057230B"/>
    <w:rsid w:val="00596FF5"/>
    <w:rsid w:val="005C03E7"/>
    <w:rsid w:val="006D2FC2"/>
    <w:rsid w:val="007D10C7"/>
    <w:rsid w:val="00950823"/>
    <w:rsid w:val="009D3BC6"/>
    <w:rsid w:val="00A2177C"/>
    <w:rsid w:val="00AE5168"/>
    <w:rsid w:val="00B12E63"/>
    <w:rsid w:val="00B53AA4"/>
    <w:rsid w:val="00B73E9F"/>
    <w:rsid w:val="00CC26CF"/>
    <w:rsid w:val="00CC7934"/>
    <w:rsid w:val="00CD718B"/>
    <w:rsid w:val="00D453B1"/>
    <w:rsid w:val="00D612F2"/>
    <w:rsid w:val="00D95A7D"/>
    <w:rsid w:val="00E13DFD"/>
    <w:rsid w:val="00E66840"/>
    <w:rsid w:val="00ED65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65596-6643-2743-B809-36AEDDC5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0C7"/>
    <w:pPr>
      <w:spacing w:after="200" w:line="480" w:lineRule="auto"/>
      <w:jc w:val="both"/>
    </w:pPr>
    <w:rPr>
      <w:rFonts w:ascii="Arial" w:hAnsi="Arial"/>
      <w:sz w:val="20"/>
      <w:szCs w:val="22"/>
    </w:rPr>
  </w:style>
  <w:style w:type="paragraph" w:styleId="Heading1">
    <w:name w:val="heading 1"/>
    <w:basedOn w:val="Normal"/>
    <w:next w:val="Normal"/>
    <w:link w:val="Heading1Char"/>
    <w:uiPriority w:val="9"/>
    <w:qFormat/>
    <w:rsid w:val="000B4654"/>
    <w:pPr>
      <w:keepNext/>
      <w:keepLines/>
      <w:autoSpaceDE w:val="0"/>
      <w:autoSpaceDN w:val="0"/>
      <w:adjustRightInd w:val="0"/>
      <w:spacing w:before="240" w:after="240" w:line="360" w:lineRule="auto"/>
      <w:ind w:left="360" w:hanging="360"/>
      <w:outlineLvl w:val="0"/>
    </w:pPr>
    <w:rPr>
      <w:rFonts w:eastAsiaTheme="majorEastAsia"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0B4654"/>
    <w:pPr>
      <w:keepNext/>
      <w:keepLines/>
      <w:autoSpaceDE w:val="0"/>
      <w:autoSpaceDN w:val="0"/>
      <w:adjustRightInd w:val="0"/>
      <w:spacing w:before="280" w:after="240" w:line="360" w:lineRule="auto"/>
      <w:ind w:left="792" w:hanging="432"/>
      <w:outlineLvl w:val="1"/>
    </w:pPr>
    <w:rPr>
      <w:rFonts w:eastAsiaTheme="majorEastAsia" w:cstheme="majorBidi"/>
      <w:color w:val="2E74B5" w:themeColor="accent1" w:themeShade="BF"/>
      <w:sz w:val="26"/>
      <w:szCs w:val="26"/>
      <w:lang w:val="en-US"/>
    </w:rPr>
  </w:style>
  <w:style w:type="paragraph" w:styleId="Heading3">
    <w:name w:val="heading 3"/>
    <w:aliases w:val="Titre 2 vrai"/>
    <w:basedOn w:val="Normal"/>
    <w:next w:val="Normal"/>
    <w:link w:val="Heading3Char"/>
    <w:autoRedefine/>
    <w:uiPriority w:val="9"/>
    <w:unhideWhenUsed/>
    <w:qFormat/>
    <w:rsid w:val="00AE5168"/>
    <w:pPr>
      <w:keepNext/>
      <w:keepLines/>
      <w:numPr>
        <w:ilvl w:val="2"/>
        <w:numId w:val="2"/>
      </w:numPr>
      <w:autoSpaceDE w:val="0"/>
      <w:autoSpaceDN w:val="0"/>
      <w:adjustRightInd w:val="0"/>
      <w:spacing w:before="280" w:after="240" w:line="360" w:lineRule="auto"/>
      <w:ind w:left="1428"/>
      <w:outlineLvl w:val="2"/>
    </w:pPr>
    <w:rPr>
      <w:rFonts w:eastAsiaTheme="majorEastAsia" w:cstheme="majorBidi"/>
      <w:color w:val="1F4D78" w:themeColor="accent1" w:themeShade="7F"/>
      <w:sz w:val="24"/>
      <w:szCs w:val="24"/>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Titre 2 vrai Char"/>
    <w:basedOn w:val="DefaultParagraphFont"/>
    <w:link w:val="Heading3"/>
    <w:uiPriority w:val="9"/>
    <w:rsid w:val="00AE5168"/>
    <w:rPr>
      <w:rFonts w:ascii="Arial" w:eastAsiaTheme="majorEastAsia" w:hAnsi="Arial" w:cstheme="majorBidi"/>
      <w:color w:val="1F4D78" w:themeColor="accent1" w:themeShade="7F"/>
      <w:lang w:val="en-US" w:eastAsia="fr-FR"/>
    </w:rPr>
  </w:style>
  <w:style w:type="character" w:customStyle="1" w:styleId="NoSpacingChar">
    <w:name w:val="No Spacing Char"/>
    <w:aliases w:val="Normal_ Char"/>
    <w:basedOn w:val="DefaultParagraphFont"/>
    <w:link w:val="NoSpacing"/>
    <w:uiPriority w:val="1"/>
    <w:locked/>
    <w:rsid w:val="007D10C7"/>
    <w:rPr>
      <w:rFonts w:ascii="Arial" w:hAnsi="Arial" w:cs="Arial"/>
      <w:lang w:val="en-US"/>
    </w:rPr>
  </w:style>
  <w:style w:type="paragraph" w:styleId="NoSpacing">
    <w:name w:val="No Spacing"/>
    <w:aliases w:val="Normal_"/>
    <w:link w:val="NoSpacingChar"/>
    <w:uiPriority w:val="1"/>
    <w:qFormat/>
    <w:rsid w:val="007D10C7"/>
    <w:pPr>
      <w:autoSpaceDE w:val="0"/>
      <w:autoSpaceDN w:val="0"/>
      <w:adjustRightInd w:val="0"/>
      <w:jc w:val="both"/>
    </w:pPr>
    <w:rPr>
      <w:rFonts w:ascii="Arial" w:hAnsi="Arial" w:cs="Arial"/>
      <w:lang w:val="en-US"/>
    </w:rPr>
  </w:style>
  <w:style w:type="table" w:styleId="TableGrid">
    <w:name w:val="Table Grid"/>
    <w:basedOn w:val="TableNormal"/>
    <w:uiPriority w:val="39"/>
    <w:rsid w:val="007D10C7"/>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B4654"/>
    <w:pPr>
      <w:autoSpaceDE w:val="0"/>
      <w:autoSpaceDN w:val="0"/>
      <w:adjustRightInd w:val="0"/>
      <w:spacing w:line="240" w:lineRule="auto"/>
    </w:pPr>
    <w:rPr>
      <w:i/>
      <w:iCs/>
      <w:color w:val="44546A" w:themeColor="text2"/>
      <w:sz w:val="18"/>
      <w:szCs w:val="18"/>
      <w:lang w:val="en-US"/>
    </w:rPr>
  </w:style>
  <w:style w:type="character" w:customStyle="1" w:styleId="Heading1Char">
    <w:name w:val="Heading 1 Char"/>
    <w:basedOn w:val="DefaultParagraphFont"/>
    <w:link w:val="Heading1"/>
    <w:uiPriority w:val="9"/>
    <w:rsid w:val="000B4654"/>
    <w:rPr>
      <w:rFonts w:ascii="Arial" w:eastAsiaTheme="majorEastAsia" w:hAnsi="Arial"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0B4654"/>
    <w:rPr>
      <w:rFonts w:ascii="Arial" w:eastAsiaTheme="majorEastAsia" w:hAnsi="Arial" w:cstheme="majorBidi"/>
      <w:color w:val="2E74B5" w:themeColor="accent1" w:themeShade="BF"/>
      <w:sz w:val="26"/>
      <w:szCs w:val="26"/>
      <w:lang w:val="en-US"/>
    </w:rPr>
  </w:style>
  <w:style w:type="paragraph" w:styleId="BalloonText">
    <w:name w:val="Balloon Text"/>
    <w:basedOn w:val="Normal"/>
    <w:link w:val="BalloonTextChar"/>
    <w:uiPriority w:val="99"/>
    <w:semiHidden/>
    <w:unhideWhenUsed/>
    <w:rsid w:val="000B46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654"/>
    <w:rPr>
      <w:rFonts w:ascii="Tahoma" w:hAnsi="Tahoma" w:cs="Tahoma"/>
      <w:sz w:val="16"/>
      <w:szCs w:val="16"/>
    </w:rPr>
  </w:style>
  <w:style w:type="character" w:customStyle="1" w:styleId="tlid-translation">
    <w:name w:val="tlid-translation"/>
    <w:basedOn w:val="DefaultParagraphFont"/>
    <w:rsid w:val="000B4654"/>
  </w:style>
  <w:style w:type="paragraph" w:styleId="Bibliography">
    <w:name w:val="Bibliography"/>
    <w:basedOn w:val="Normal"/>
    <w:next w:val="Normal"/>
    <w:uiPriority w:val="37"/>
    <w:unhideWhenUsed/>
    <w:rsid w:val="000B4654"/>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0B4654"/>
    <w:rPr>
      <w:sz w:val="16"/>
      <w:szCs w:val="16"/>
    </w:rPr>
  </w:style>
  <w:style w:type="paragraph" w:styleId="CommentText">
    <w:name w:val="annotation text"/>
    <w:basedOn w:val="Normal"/>
    <w:link w:val="CommentTextChar"/>
    <w:uiPriority w:val="99"/>
    <w:unhideWhenUsed/>
    <w:rsid w:val="000B4654"/>
    <w:pPr>
      <w:spacing w:line="240" w:lineRule="auto"/>
    </w:pPr>
    <w:rPr>
      <w:szCs w:val="20"/>
    </w:rPr>
  </w:style>
  <w:style w:type="character" w:customStyle="1" w:styleId="CommentTextChar">
    <w:name w:val="Comment Text Char"/>
    <w:basedOn w:val="DefaultParagraphFont"/>
    <w:link w:val="CommentText"/>
    <w:uiPriority w:val="99"/>
    <w:rsid w:val="000B465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B4654"/>
    <w:rPr>
      <w:b/>
      <w:bCs/>
    </w:rPr>
  </w:style>
  <w:style w:type="character" w:customStyle="1" w:styleId="CommentSubjectChar">
    <w:name w:val="Comment Subject Char"/>
    <w:basedOn w:val="CommentTextChar"/>
    <w:link w:val="CommentSubject"/>
    <w:uiPriority w:val="99"/>
    <w:semiHidden/>
    <w:rsid w:val="000B4654"/>
    <w:rPr>
      <w:rFonts w:ascii="Arial" w:hAnsi="Arial"/>
      <w:b/>
      <w:bCs/>
      <w:sz w:val="20"/>
      <w:szCs w:val="20"/>
    </w:rPr>
  </w:style>
  <w:style w:type="character" w:customStyle="1" w:styleId="viiyi">
    <w:name w:val="viiyi"/>
    <w:basedOn w:val="DefaultParagraphFont"/>
    <w:rsid w:val="000B4654"/>
  </w:style>
  <w:style w:type="character" w:customStyle="1" w:styleId="jlqj4b">
    <w:name w:val="jlqj4b"/>
    <w:basedOn w:val="DefaultParagraphFont"/>
    <w:rsid w:val="000B4654"/>
  </w:style>
  <w:style w:type="paragraph" w:styleId="BodyText">
    <w:name w:val="Body Text"/>
    <w:basedOn w:val="Normal"/>
    <w:link w:val="BodyTextChar"/>
    <w:qFormat/>
    <w:rsid w:val="000B4654"/>
    <w:pPr>
      <w:spacing w:before="180" w:after="180" w:line="360" w:lineRule="auto"/>
    </w:pPr>
    <w:rPr>
      <w:sz w:val="22"/>
      <w:szCs w:val="24"/>
      <w:lang w:val="en-US"/>
    </w:rPr>
  </w:style>
  <w:style w:type="character" w:customStyle="1" w:styleId="BodyTextChar">
    <w:name w:val="Body Text Char"/>
    <w:basedOn w:val="DefaultParagraphFont"/>
    <w:link w:val="BodyText"/>
    <w:rsid w:val="000B4654"/>
    <w:rPr>
      <w:rFonts w:ascii="Arial" w:hAnsi="Arial"/>
      <w:sz w:val="22"/>
      <w:lang w:val="en-US"/>
    </w:rPr>
  </w:style>
  <w:style w:type="paragraph" w:styleId="Header">
    <w:name w:val="header"/>
    <w:aliases w:val="Page Header"/>
    <w:basedOn w:val="Normal"/>
    <w:link w:val="HeaderChar"/>
    <w:unhideWhenUsed/>
    <w:rsid w:val="000B4654"/>
    <w:pPr>
      <w:tabs>
        <w:tab w:val="center" w:pos="4536"/>
        <w:tab w:val="right" w:pos="9072"/>
      </w:tabs>
      <w:spacing w:after="0" w:line="240" w:lineRule="auto"/>
    </w:pPr>
  </w:style>
  <w:style w:type="character" w:customStyle="1" w:styleId="HeaderChar">
    <w:name w:val="Header Char"/>
    <w:aliases w:val="Page Header Char"/>
    <w:basedOn w:val="DefaultParagraphFont"/>
    <w:link w:val="Header"/>
    <w:rsid w:val="000B4654"/>
    <w:rPr>
      <w:rFonts w:ascii="Arial" w:hAnsi="Arial"/>
      <w:sz w:val="20"/>
      <w:szCs w:val="22"/>
    </w:rPr>
  </w:style>
  <w:style w:type="paragraph" w:styleId="Footer">
    <w:name w:val="footer"/>
    <w:basedOn w:val="Normal"/>
    <w:link w:val="FooterChar"/>
    <w:uiPriority w:val="99"/>
    <w:unhideWhenUsed/>
    <w:rsid w:val="000B4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4654"/>
    <w:rPr>
      <w:rFonts w:ascii="Arial" w:hAnsi="Arial"/>
      <w:sz w:val="20"/>
      <w:szCs w:val="22"/>
    </w:rPr>
  </w:style>
  <w:style w:type="character" w:styleId="Emphasis">
    <w:name w:val="Emphasis"/>
    <w:basedOn w:val="DefaultParagraphFont"/>
    <w:uiPriority w:val="20"/>
    <w:qFormat/>
    <w:rsid w:val="000B4654"/>
    <w:rPr>
      <w:i/>
      <w:iCs/>
    </w:rPr>
  </w:style>
  <w:style w:type="paragraph" w:styleId="ListParagraph">
    <w:name w:val="List Paragraph"/>
    <w:basedOn w:val="Normal"/>
    <w:uiPriority w:val="34"/>
    <w:qFormat/>
    <w:rsid w:val="000B4654"/>
    <w:pPr>
      <w:ind w:left="720"/>
      <w:contextualSpacing/>
    </w:pPr>
  </w:style>
  <w:style w:type="character" w:styleId="Strong">
    <w:name w:val="Strong"/>
    <w:basedOn w:val="DefaultParagraphFont"/>
    <w:uiPriority w:val="22"/>
    <w:qFormat/>
    <w:rsid w:val="000B4654"/>
    <w:rPr>
      <w:b/>
      <w:bCs/>
    </w:rPr>
  </w:style>
  <w:style w:type="paragraph" w:customStyle="1" w:styleId="Default">
    <w:name w:val="Default"/>
    <w:rsid w:val="000B4654"/>
    <w:pPr>
      <w:autoSpaceDE w:val="0"/>
      <w:autoSpaceDN w:val="0"/>
      <w:adjustRightInd w:val="0"/>
    </w:pPr>
    <w:rPr>
      <w:rFonts w:ascii="Arial" w:hAnsi="Arial" w:cs="Arial"/>
      <w:color w:val="000000"/>
    </w:rPr>
  </w:style>
  <w:style w:type="character" w:customStyle="1" w:styleId="SciNnormalCar">
    <w:name w:val="SciN normal Car"/>
    <w:basedOn w:val="DefaultParagraphFont"/>
    <w:link w:val="SciNnormal"/>
    <w:locked/>
    <w:rsid w:val="000B4654"/>
    <w:rPr>
      <w:rFonts w:ascii="Times New Roman" w:hAnsi="Times New Roman" w:cs="Times New Roman"/>
    </w:rPr>
  </w:style>
  <w:style w:type="paragraph" w:customStyle="1" w:styleId="SciNnormal">
    <w:name w:val="SciN normal"/>
    <w:basedOn w:val="Normal"/>
    <w:link w:val="SciNnormalCar"/>
    <w:qFormat/>
    <w:rsid w:val="000B4654"/>
    <w:pPr>
      <w:spacing w:after="120" w:line="240" w:lineRule="auto"/>
      <w:jc w:val="left"/>
    </w:pPr>
    <w:rPr>
      <w:rFonts w:ascii="Times New Roman" w:hAnsi="Times New Roman" w:cs="Times New Roman"/>
      <w:sz w:val="24"/>
      <w:szCs w:val="24"/>
    </w:rPr>
  </w:style>
  <w:style w:type="paragraph" w:styleId="Revision">
    <w:name w:val="Revision"/>
    <w:hidden/>
    <w:uiPriority w:val="99"/>
    <w:semiHidden/>
    <w:rsid w:val="000B4654"/>
    <w:rPr>
      <w:rFonts w:ascii="Arial" w:hAnsi="Arial"/>
      <w:sz w:val="20"/>
      <w:szCs w:val="22"/>
    </w:rPr>
  </w:style>
  <w:style w:type="character" w:styleId="Hyperlink">
    <w:name w:val="Hyperlink"/>
    <w:basedOn w:val="DefaultParagraphFont"/>
    <w:uiPriority w:val="99"/>
    <w:unhideWhenUsed/>
    <w:rsid w:val="000B4654"/>
    <w:rPr>
      <w:color w:val="0563C1" w:themeColor="hyperlink"/>
      <w:u w:val="single"/>
    </w:rPr>
  </w:style>
  <w:style w:type="character" w:customStyle="1" w:styleId="UnresolvedMention">
    <w:name w:val="Unresolved Mention"/>
    <w:basedOn w:val="DefaultParagraphFont"/>
    <w:uiPriority w:val="99"/>
    <w:unhideWhenUsed/>
    <w:rsid w:val="000B4654"/>
    <w:rPr>
      <w:color w:val="605E5C"/>
      <w:shd w:val="clear" w:color="auto" w:fill="E1DFDD"/>
    </w:rPr>
  </w:style>
  <w:style w:type="character" w:customStyle="1" w:styleId="apple-converted-space">
    <w:name w:val="apple-converted-space"/>
    <w:basedOn w:val="DefaultParagraphFont"/>
    <w:rsid w:val="000B4654"/>
  </w:style>
  <w:style w:type="character" w:styleId="FollowedHyperlink">
    <w:name w:val="FollowedHyperlink"/>
    <w:basedOn w:val="DefaultParagraphFont"/>
    <w:uiPriority w:val="99"/>
    <w:semiHidden/>
    <w:unhideWhenUsed/>
    <w:rsid w:val="000B4654"/>
    <w:rPr>
      <w:color w:val="954F72" w:themeColor="followedHyperlink"/>
      <w:u w:val="single"/>
    </w:rPr>
  </w:style>
  <w:style w:type="paragraph" w:styleId="NormalWeb">
    <w:name w:val="Normal (Web)"/>
    <w:basedOn w:val="Normal"/>
    <w:uiPriority w:val="99"/>
    <w:unhideWhenUsed/>
    <w:rsid w:val="000B4654"/>
    <w:pPr>
      <w:kinsoku w:val="0"/>
      <w:overflowPunct w:val="0"/>
      <w:autoSpaceDE w:val="0"/>
      <w:autoSpaceDN w:val="0"/>
      <w:spacing w:before="100" w:beforeAutospacing="1" w:after="100" w:afterAutospacing="1"/>
    </w:pPr>
    <w:rPr>
      <w:rFonts w:ascii="Times New Roman" w:eastAsia="Times New Roman" w:hAnsi="Times New Roman" w:cs="Times New Roman"/>
      <w:sz w:val="24"/>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4</Pages>
  <Words>6837</Words>
  <Characters>38972</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Yaniss Belaroussi</dc:creator>
  <cp:keywords/>
  <dc:description/>
  <cp:lastModifiedBy>Komathi Ramu</cp:lastModifiedBy>
  <cp:revision>13</cp:revision>
  <dcterms:created xsi:type="dcterms:W3CDTF">2022-01-10T11:38:00Z</dcterms:created>
  <dcterms:modified xsi:type="dcterms:W3CDTF">2023-06-07T12:20:00Z</dcterms:modified>
</cp:coreProperties>
</file>