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3A5C5" w14:textId="77777777" w:rsidR="00494070" w:rsidRDefault="00494070" w:rsidP="00494070">
      <w:pPr>
        <w:spacing w:line="276" w:lineRule="auto"/>
        <w:jc w:val="center"/>
        <w:rPr>
          <w:vertAlign w:val="superscript"/>
          <w:lang w:val="en-US"/>
        </w:rPr>
      </w:pPr>
      <w:r>
        <w:rPr>
          <w:b/>
          <w:sz w:val="28"/>
          <w:lang w:val="en-US"/>
        </w:rPr>
        <w:t xml:space="preserve">The TNFR1 antagonist Atrosimab reduces neuronal loss, glial activation and memory deficits in an acute mouse model of neurodegeneration </w:t>
      </w:r>
      <w:r>
        <w:rPr>
          <w:b/>
          <w:sz w:val="28"/>
          <w:lang w:val="en-US"/>
        </w:rPr>
        <w:br/>
      </w:r>
      <w:r>
        <w:rPr>
          <w:lang w:val="en-US"/>
        </w:rPr>
        <w:t>Natalia Ortí-</w:t>
      </w:r>
      <w:proofErr w:type="spellStart"/>
      <w:r>
        <w:rPr>
          <w:lang w:val="en-US"/>
        </w:rPr>
        <w:t>Casañ</w:t>
      </w:r>
      <w:r>
        <w:rPr>
          <w:vertAlign w:val="superscript"/>
          <w:lang w:val="en-US"/>
        </w:rPr>
        <w:t>a</w:t>
      </w:r>
      <w:proofErr w:type="spellEnd"/>
      <w:r>
        <w:rPr>
          <w:rFonts w:cstheme="minorHAnsi"/>
          <w:vertAlign w:val="superscript"/>
          <w:lang w:val="en-US"/>
        </w:rPr>
        <w:t>¶*</w:t>
      </w:r>
      <w:r>
        <w:rPr>
          <w:lang w:val="en-US"/>
        </w:rPr>
        <w:t>, Ate S. Boerema</w:t>
      </w:r>
      <w:r>
        <w:rPr>
          <w:vertAlign w:val="superscript"/>
          <w:lang w:val="en-US"/>
        </w:rPr>
        <w:t>a, b</w:t>
      </w:r>
      <w:r>
        <w:rPr>
          <w:rFonts w:cstheme="minorHAnsi"/>
          <w:vertAlign w:val="superscript"/>
          <w:lang w:val="en-US"/>
        </w:rPr>
        <w:t>¶</w:t>
      </w:r>
      <w:r>
        <w:rPr>
          <w:lang w:val="en-US"/>
        </w:rPr>
        <w:t xml:space="preserve">, Karina </w:t>
      </w:r>
      <w:proofErr w:type="spellStart"/>
      <w:r>
        <w:rPr>
          <w:lang w:val="en-US"/>
        </w:rPr>
        <w:t>Köpke</w:t>
      </w:r>
      <w:r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, Amber </w:t>
      </w:r>
      <w:proofErr w:type="spellStart"/>
      <w:r>
        <w:rPr>
          <w:lang w:val="en-US"/>
        </w:rPr>
        <w:t>Ebskamp</w:t>
      </w:r>
      <w:r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, Jan </w:t>
      </w:r>
      <w:proofErr w:type="spellStart"/>
      <w:r>
        <w:rPr>
          <w:lang w:val="en-US"/>
        </w:rPr>
        <w:t>Keijser</w:t>
      </w:r>
      <w:r>
        <w:rPr>
          <w:vertAlign w:val="superscript"/>
          <w:lang w:val="en-US"/>
        </w:rPr>
        <w:t>a</w:t>
      </w:r>
      <w:proofErr w:type="spellEnd"/>
      <w:r>
        <w:rPr>
          <w:lang w:val="en-US"/>
        </w:rPr>
        <w:t xml:space="preserve">, </w:t>
      </w:r>
      <w:proofErr w:type="spellStart"/>
      <w:r w:rsidRPr="001212FA">
        <w:rPr>
          <w:rFonts w:cstheme="minorHAnsi"/>
          <w:shd w:val="clear" w:color="auto" w:fill="FFFFFF"/>
        </w:rPr>
        <w:t>Yuequ</w:t>
      </w:r>
      <w:proofErr w:type="spellEnd"/>
      <w:r w:rsidRPr="001212FA">
        <w:rPr>
          <w:rFonts w:cstheme="minorHAnsi"/>
          <w:shd w:val="clear" w:color="auto" w:fill="FFFFFF"/>
        </w:rPr>
        <w:t xml:space="preserve"> Zhang</w:t>
      </w:r>
      <w:r>
        <w:rPr>
          <w:vertAlign w:val="superscript"/>
          <w:lang w:val="en-US"/>
        </w:rPr>
        <w:t>f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Tingting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Chen</w:t>
      </w:r>
      <w:r w:rsidRPr="007552D2">
        <w:rPr>
          <w:vertAlign w:val="superscript"/>
          <w:lang w:val="en-US"/>
        </w:rPr>
        <w:t>a</w:t>
      </w:r>
      <w:r>
        <w:rPr>
          <w:vertAlign w:val="superscript"/>
          <w:lang w:val="en-US"/>
        </w:rPr>
        <w:t>,f</w:t>
      </w:r>
      <w:proofErr w:type="spellEnd"/>
      <w:r>
        <w:rPr>
          <w:lang w:val="en-US"/>
        </w:rPr>
        <w:t xml:space="preserve">, Amalia M. </w:t>
      </w:r>
      <w:proofErr w:type="spellStart"/>
      <w:r>
        <w:rPr>
          <w:lang w:val="en-US"/>
        </w:rPr>
        <w:t>Dolga</w:t>
      </w:r>
      <w:r>
        <w:rPr>
          <w:vertAlign w:val="superscript"/>
          <w:lang w:val="en-US"/>
        </w:rPr>
        <w:t>f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Kerensa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Broersen</w:t>
      </w:r>
      <w:r>
        <w:rPr>
          <w:vertAlign w:val="superscript"/>
          <w:lang w:val="en-US"/>
        </w:rPr>
        <w:t>c</w:t>
      </w:r>
      <w:proofErr w:type="spellEnd"/>
      <w:r>
        <w:rPr>
          <w:lang w:val="en-US"/>
        </w:rPr>
        <w:t xml:space="preserve">, Roman </w:t>
      </w:r>
      <w:proofErr w:type="spellStart"/>
      <w:r>
        <w:rPr>
          <w:lang w:val="en-US"/>
        </w:rPr>
        <w:t>Fischer</w:t>
      </w:r>
      <w:r>
        <w:rPr>
          <w:vertAlign w:val="superscript"/>
          <w:lang w:val="en-US"/>
        </w:rPr>
        <w:t>d</w:t>
      </w:r>
      <w:proofErr w:type="spellEnd"/>
      <w:r>
        <w:rPr>
          <w:vertAlign w:val="superscript"/>
          <w:lang w:val="en-US"/>
        </w:rPr>
        <w:t>, e</w:t>
      </w:r>
      <w:r>
        <w:rPr>
          <w:lang w:val="en-US"/>
        </w:rPr>
        <w:t xml:space="preserve">, Klaus </w:t>
      </w:r>
      <w:proofErr w:type="spellStart"/>
      <w:r>
        <w:rPr>
          <w:lang w:val="en-US"/>
        </w:rPr>
        <w:t>Pfizenmaier</w:t>
      </w:r>
      <w:r>
        <w:rPr>
          <w:vertAlign w:val="superscript"/>
          <w:lang w:val="en-US"/>
        </w:rPr>
        <w:t>d</w:t>
      </w:r>
      <w:proofErr w:type="spellEnd"/>
      <w:r>
        <w:rPr>
          <w:vertAlign w:val="superscript"/>
          <w:lang w:val="en-US"/>
        </w:rPr>
        <w:t>, e</w:t>
      </w:r>
      <w:r>
        <w:rPr>
          <w:lang w:val="en-US"/>
        </w:rPr>
        <w:t xml:space="preserve">, Roland E. </w:t>
      </w:r>
      <w:proofErr w:type="spellStart"/>
      <w:r>
        <w:rPr>
          <w:lang w:val="en-US"/>
        </w:rPr>
        <w:t>Kontermann</w:t>
      </w:r>
      <w:r>
        <w:rPr>
          <w:vertAlign w:val="superscript"/>
          <w:lang w:val="en-US"/>
        </w:rPr>
        <w:t>d</w:t>
      </w:r>
      <w:proofErr w:type="spellEnd"/>
      <w:r>
        <w:rPr>
          <w:vertAlign w:val="superscript"/>
          <w:lang w:val="en-US"/>
        </w:rPr>
        <w:t>, e</w:t>
      </w:r>
      <w:r>
        <w:rPr>
          <w:lang w:val="en-US"/>
        </w:rPr>
        <w:t xml:space="preserve"> and Ulrich L. M. </w:t>
      </w:r>
      <w:proofErr w:type="spellStart"/>
      <w:r>
        <w:rPr>
          <w:lang w:val="en-US"/>
        </w:rPr>
        <w:t>Eisel</w:t>
      </w:r>
      <w:r>
        <w:rPr>
          <w:vertAlign w:val="superscript"/>
          <w:lang w:val="en-US"/>
        </w:rPr>
        <w:t>a</w:t>
      </w:r>
      <w:proofErr w:type="spellEnd"/>
      <w:r>
        <w:rPr>
          <w:rFonts w:cstheme="minorHAnsi"/>
          <w:vertAlign w:val="superscript"/>
          <w:lang w:val="en-US"/>
        </w:rPr>
        <w:t>*</w:t>
      </w:r>
    </w:p>
    <w:p w14:paraId="1B0B6863" w14:textId="77777777" w:rsidR="00494070" w:rsidRDefault="00494070" w:rsidP="00494070">
      <w:pPr>
        <w:spacing w:after="0" w:line="276" w:lineRule="auto"/>
        <w:jc w:val="center"/>
        <w:rPr>
          <w:sz w:val="14"/>
          <w:lang w:val="en-US"/>
        </w:rPr>
      </w:pPr>
      <w:r>
        <w:rPr>
          <w:sz w:val="14"/>
          <w:vertAlign w:val="superscript"/>
          <w:lang w:val="en-US"/>
        </w:rPr>
        <w:t xml:space="preserve">a </w:t>
      </w:r>
      <w:r>
        <w:rPr>
          <w:sz w:val="14"/>
          <w:lang w:val="en-US"/>
        </w:rPr>
        <w:t>Department of Molecular Neurobiology, Groningen Institute for Evolutionary Life Sciences, University of Groningen, Groningen, The Netherlands</w:t>
      </w:r>
    </w:p>
    <w:p w14:paraId="1FB04E12" w14:textId="77777777" w:rsidR="00494070" w:rsidRDefault="00494070" w:rsidP="00494070">
      <w:pPr>
        <w:spacing w:after="0" w:line="276" w:lineRule="auto"/>
        <w:jc w:val="center"/>
        <w:rPr>
          <w:sz w:val="14"/>
          <w:vertAlign w:val="superscript"/>
          <w:lang w:val="en-US"/>
        </w:rPr>
      </w:pPr>
      <w:r>
        <w:rPr>
          <w:rFonts w:cstheme="minorHAnsi"/>
          <w:sz w:val="14"/>
          <w:vertAlign w:val="superscript"/>
          <w:lang w:val="en-CA"/>
        </w:rPr>
        <w:t>b</w:t>
      </w:r>
      <w:r>
        <w:rPr>
          <w:rFonts w:cstheme="minorHAnsi"/>
          <w:sz w:val="14"/>
          <w:lang w:val="en-US"/>
        </w:rPr>
        <w:t>Applied Research Center, V</w:t>
      </w:r>
      <w:r>
        <w:rPr>
          <w:rFonts w:cstheme="minorHAnsi"/>
          <w:sz w:val="14"/>
          <w:lang w:val="en-CA"/>
        </w:rPr>
        <w:t xml:space="preserve">an Hall </w:t>
      </w:r>
      <w:proofErr w:type="spellStart"/>
      <w:r>
        <w:rPr>
          <w:rFonts w:cstheme="minorHAnsi"/>
          <w:sz w:val="14"/>
          <w:lang w:val="en-CA"/>
        </w:rPr>
        <w:t>Larenstein</w:t>
      </w:r>
      <w:proofErr w:type="spellEnd"/>
      <w:r>
        <w:rPr>
          <w:rFonts w:cstheme="minorHAnsi"/>
          <w:sz w:val="14"/>
          <w:lang w:val="en-US"/>
        </w:rPr>
        <w:t xml:space="preserve"> </w:t>
      </w:r>
      <w:r>
        <w:rPr>
          <w:rFonts w:cstheme="minorHAnsi"/>
          <w:sz w:val="14"/>
          <w:lang w:val="en-CA"/>
        </w:rPr>
        <w:t>University of Applied Science, Leeuwarden, The Netherlands</w:t>
      </w:r>
      <w:r>
        <w:rPr>
          <w:rFonts w:cstheme="minorHAnsi"/>
          <w:sz w:val="14"/>
          <w:lang w:val="en-CA"/>
        </w:rPr>
        <w:br/>
      </w:r>
      <w:r>
        <w:rPr>
          <w:sz w:val="14"/>
          <w:vertAlign w:val="superscript"/>
          <w:lang w:val="en-US"/>
        </w:rPr>
        <w:t xml:space="preserve">c </w:t>
      </w:r>
      <w:r>
        <w:rPr>
          <w:sz w:val="14"/>
          <w:lang w:val="en-US"/>
        </w:rPr>
        <w:t>Applied Stem Cell Technology, Faculty of Science and Technology, University of Twente, Enschede, The Netherlands</w:t>
      </w:r>
    </w:p>
    <w:p w14:paraId="49AFD38B" w14:textId="77777777" w:rsidR="00494070" w:rsidRDefault="00494070" w:rsidP="00494070">
      <w:pPr>
        <w:spacing w:after="0" w:line="276" w:lineRule="auto"/>
        <w:jc w:val="center"/>
        <w:rPr>
          <w:sz w:val="14"/>
          <w:lang w:val="en-US"/>
        </w:rPr>
      </w:pPr>
      <w:r>
        <w:rPr>
          <w:sz w:val="14"/>
          <w:vertAlign w:val="superscript"/>
          <w:lang w:val="en-US"/>
        </w:rPr>
        <w:t xml:space="preserve">d </w:t>
      </w:r>
      <w:r>
        <w:rPr>
          <w:sz w:val="14"/>
          <w:lang w:val="en-US"/>
        </w:rPr>
        <w:t>Stuttgart Research Center Systems Biology, University of Stuttgart, Stuttgart, Germany</w:t>
      </w:r>
    </w:p>
    <w:p w14:paraId="79534E83" w14:textId="77777777" w:rsidR="00494070" w:rsidRDefault="00494070" w:rsidP="00494070">
      <w:pPr>
        <w:spacing w:after="0" w:line="276" w:lineRule="auto"/>
        <w:jc w:val="center"/>
        <w:rPr>
          <w:sz w:val="14"/>
          <w:lang w:val="en-US"/>
        </w:rPr>
      </w:pPr>
      <w:r>
        <w:rPr>
          <w:sz w:val="14"/>
          <w:vertAlign w:val="superscript"/>
          <w:lang w:val="en-US"/>
        </w:rPr>
        <w:t xml:space="preserve">e </w:t>
      </w:r>
      <w:r>
        <w:rPr>
          <w:sz w:val="14"/>
          <w:lang w:val="en-US"/>
        </w:rPr>
        <w:t>Institute of Cell biology and Immunology, University of Stuttgart, Stuttgart, Germany</w:t>
      </w:r>
    </w:p>
    <w:p w14:paraId="0BF801B0" w14:textId="77777777" w:rsidR="00494070" w:rsidRDefault="00494070" w:rsidP="00494070">
      <w:pPr>
        <w:spacing w:after="0" w:line="276" w:lineRule="auto"/>
        <w:jc w:val="center"/>
        <w:rPr>
          <w:sz w:val="14"/>
          <w:lang w:val="en-US"/>
        </w:rPr>
      </w:pPr>
      <w:r w:rsidRPr="00A742B5">
        <w:rPr>
          <w:sz w:val="14"/>
          <w:vertAlign w:val="superscript"/>
          <w:lang w:val="en-US"/>
        </w:rPr>
        <w:t>f</w:t>
      </w:r>
      <w:r>
        <w:rPr>
          <w:sz w:val="14"/>
          <w:lang w:val="en-US"/>
        </w:rPr>
        <w:t>Department of Molecular Pharmacology, Groningen Research Institute of Pharmacy, University of Groningen, The Netherlands</w:t>
      </w:r>
    </w:p>
    <w:p w14:paraId="4465676C" w14:textId="77777777" w:rsidR="00494070" w:rsidRPr="00A742B5" w:rsidRDefault="00494070" w:rsidP="00494070">
      <w:pPr>
        <w:spacing w:after="0" w:line="276" w:lineRule="auto"/>
        <w:jc w:val="center"/>
        <w:rPr>
          <w:rFonts w:cstheme="minorHAnsi"/>
          <w:vertAlign w:val="superscript"/>
          <w:lang w:val="en-US"/>
        </w:rPr>
      </w:pPr>
    </w:p>
    <w:p w14:paraId="013D73B4" w14:textId="77777777" w:rsidR="00494070" w:rsidRDefault="00494070" w:rsidP="00494070">
      <w:pPr>
        <w:spacing w:line="276" w:lineRule="auto"/>
        <w:jc w:val="center"/>
        <w:rPr>
          <w:sz w:val="14"/>
          <w:lang w:val="en-US"/>
        </w:rPr>
      </w:pPr>
      <w:r w:rsidRPr="007F65C1">
        <w:rPr>
          <w:sz w:val="14"/>
          <w:vertAlign w:val="superscript"/>
          <w:lang w:val="en-US"/>
        </w:rPr>
        <w:t>¶</w:t>
      </w:r>
      <w:r>
        <w:rPr>
          <w:sz w:val="14"/>
          <w:lang w:val="en-US"/>
        </w:rPr>
        <w:t>Authors contributed equally</w:t>
      </w:r>
    </w:p>
    <w:p w14:paraId="2D8C6F39" w14:textId="77777777" w:rsidR="00494070" w:rsidRDefault="00494070" w:rsidP="00494070">
      <w:pPr>
        <w:spacing w:line="276" w:lineRule="auto"/>
        <w:jc w:val="center"/>
        <w:rPr>
          <w:rFonts w:cstheme="minorHAnsi"/>
          <w:sz w:val="14"/>
          <w:lang w:val="en-GB"/>
        </w:rPr>
      </w:pPr>
      <w:r>
        <w:rPr>
          <w:rFonts w:cstheme="minorHAnsi"/>
          <w:sz w:val="14"/>
          <w:lang w:val="en-US"/>
        </w:rPr>
        <w:t>*</w:t>
      </w:r>
      <w:r>
        <w:rPr>
          <w:rFonts w:cstheme="minorHAnsi"/>
          <w:sz w:val="14"/>
          <w:lang w:val="en-GB"/>
        </w:rPr>
        <w:t>Correspondence and material requests should be addressed to N.O-.C (</w:t>
      </w:r>
      <w:hyperlink r:id="rId4" w:history="1">
        <w:r w:rsidRPr="009D18D6">
          <w:rPr>
            <w:rStyle w:val="Hyperlink"/>
            <w:rFonts w:cstheme="minorHAnsi"/>
            <w:sz w:val="14"/>
            <w:lang w:val="en-GB"/>
          </w:rPr>
          <w:t>n.orti.casan@rug.nl</w:t>
        </w:r>
      </w:hyperlink>
      <w:r>
        <w:rPr>
          <w:rFonts w:cstheme="minorHAnsi"/>
          <w:sz w:val="14"/>
          <w:lang w:val="en-GB"/>
        </w:rPr>
        <w:t>) or U.E (</w:t>
      </w:r>
      <w:hyperlink r:id="rId5" w:history="1">
        <w:r>
          <w:rPr>
            <w:rStyle w:val="Hyperlink"/>
            <w:rFonts w:cstheme="minorHAnsi"/>
            <w:sz w:val="14"/>
            <w:lang w:val="en-GB"/>
          </w:rPr>
          <w:t>u.l.m.eisel@rug.nl</w:t>
        </w:r>
      </w:hyperlink>
      <w:r>
        <w:rPr>
          <w:rFonts w:cstheme="minorHAnsi"/>
          <w:sz w:val="14"/>
          <w:lang w:val="en-GB"/>
        </w:rPr>
        <w:t>).</w:t>
      </w:r>
    </w:p>
    <w:p w14:paraId="472C3D63" w14:textId="77777777" w:rsidR="00494070" w:rsidRPr="00494070" w:rsidRDefault="00494070" w:rsidP="006D7D50">
      <w:pPr>
        <w:jc w:val="center"/>
        <w:rPr>
          <w:b/>
          <w:sz w:val="28"/>
          <w:lang w:val="en-GB"/>
        </w:rPr>
      </w:pPr>
    </w:p>
    <w:p w14:paraId="1C0ABEC1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5E3D84BF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0849FFD0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603E1945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7756BFE5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3DD67671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4DB8646C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07335796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29062EB0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5FB0F97E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40129C38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08FB9C6C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723C2A2A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4064FAE8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301376C5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687CAD6C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6CDF40F3" w14:textId="77777777" w:rsidR="00494070" w:rsidRDefault="00494070" w:rsidP="006D7D50">
      <w:pPr>
        <w:jc w:val="center"/>
        <w:rPr>
          <w:b/>
          <w:sz w:val="28"/>
          <w:lang w:val="en-US"/>
        </w:rPr>
      </w:pPr>
    </w:p>
    <w:p w14:paraId="409210D0" w14:textId="77777777" w:rsidR="00494070" w:rsidRDefault="00494070" w:rsidP="00494070">
      <w:pPr>
        <w:jc w:val="center"/>
        <w:rPr>
          <w:b/>
          <w:sz w:val="28"/>
          <w:lang w:val="en-US"/>
        </w:rPr>
      </w:pPr>
    </w:p>
    <w:p w14:paraId="28948F08" w14:textId="3E9BCD29" w:rsidR="006A64F2" w:rsidRDefault="006D7D50" w:rsidP="006D7D50">
      <w:pPr>
        <w:jc w:val="center"/>
        <w:rPr>
          <w:b/>
          <w:sz w:val="28"/>
          <w:lang w:val="en-US"/>
        </w:rPr>
      </w:pPr>
      <w:r w:rsidRPr="006D7D50">
        <w:rPr>
          <w:b/>
          <w:sz w:val="28"/>
          <w:lang w:val="en-US"/>
        </w:rPr>
        <w:lastRenderedPageBreak/>
        <w:t>Supplementary</w:t>
      </w:r>
      <w:r w:rsidRPr="00D81EB9">
        <w:rPr>
          <w:b/>
          <w:sz w:val="28"/>
          <w:lang w:val="en-US"/>
        </w:rPr>
        <w:t xml:space="preserve"> information</w:t>
      </w:r>
    </w:p>
    <w:p w14:paraId="35EFE51F" w14:textId="77777777" w:rsidR="00FF4EB4" w:rsidRPr="00D81EB9" w:rsidRDefault="00FF4EB4" w:rsidP="006D7D50">
      <w:pPr>
        <w:jc w:val="center"/>
        <w:rPr>
          <w:b/>
          <w:sz w:val="28"/>
          <w:lang w:val="en-US"/>
        </w:rPr>
      </w:pPr>
    </w:p>
    <w:p w14:paraId="663FFC26" w14:textId="00E27C6D" w:rsidR="006D7D50" w:rsidRPr="00C16BA9" w:rsidRDefault="00C16BA9" w:rsidP="00D81EB9">
      <w:pPr>
        <w:jc w:val="center"/>
        <w:rPr>
          <w:b/>
          <w:sz w:val="28"/>
          <w:lang w:val="en-US"/>
        </w:rPr>
      </w:pPr>
      <w:r>
        <w:rPr>
          <w:noProof/>
        </w:rPr>
        <w:drawing>
          <wp:inline distT="0" distB="0" distL="0" distR="0" wp14:anchorId="0FDCDE65" wp14:editId="51067B97">
            <wp:extent cx="5760720" cy="50670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91A44" w14:textId="38D3D600" w:rsidR="00081948" w:rsidRDefault="006D7D50" w:rsidP="005D517A">
      <w:pPr>
        <w:tabs>
          <w:tab w:val="left" w:pos="972"/>
        </w:tabs>
        <w:jc w:val="both"/>
        <w:rPr>
          <w:sz w:val="18"/>
          <w:lang w:val="en-US"/>
        </w:rPr>
      </w:pPr>
      <w:r w:rsidRPr="00081948">
        <w:rPr>
          <w:b/>
          <w:sz w:val="18"/>
          <w:lang w:val="en-US"/>
        </w:rPr>
        <w:t>Supplementary Figure 1</w:t>
      </w:r>
      <w:r w:rsidRPr="00FF4EB4">
        <w:rPr>
          <w:sz w:val="18"/>
          <w:lang w:val="en-US"/>
        </w:rPr>
        <w:t xml:space="preserve">. </w:t>
      </w:r>
      <w:r w:rsidR="00081948" w:rsidRPr="00FF4EB4">
        <w:rPr>
          <w:b/>
          <w:sz w:val="18"/>
          <w:lang w:val="en-US"/>
        </w:rPr>
        <w:t xml:space="preserve">Pre-shock latencies </w:t>
      </w:r>
      <w:r w:rsidR="00FF4EB4">
        <w:rPr>
          <w:b/>
          <w:sz w:val="18"/>
          <w:lang w:val="en-US"/>
        </w:rPr>
        <w:t xml:space="preserve">and locomotion </w:t>
      </w:r>
      <w:r w:rsidR="00081948" w:rsidRPr="00FF4EB4">
        <w:rPr>
          <w:b/>
          <w:sz w:val="18"/>
          <w:lang w:val="en-US"/>
        </w:rPr>
        <w:t>are not affected after Atrosimab treatment</w:t>
      </w:r>
      <w:r w:rsidR="00081948">
        <w:rPr>
          <w:sz w:val="18"/>
          <w:lang w:val="en-US"/>
        </w:rPr>
        <w:t xml:space="preserve">. </w:t>
      </w:r>
      <w:r w:rsidR="00FF4EB4" w:rsidRPr="003319E6">
        <w:rPr>
          <w:rFonts w:cstheme="minorHAnsi"/>
          <w:b/>
          <w:sz w:val="18"/>
          <w:lang w:val="en-US"/>
        </w:rPr>
        <w:t>a</w:t>
      </w:r>
      <w:r w:rsidR="00081948" w:rsidRPr="003319E6">
        <w:rPr>
          <w:rFonts w:cstheme="minorHAnsi"/>
          <w:sz w:val="18"/>
          <w:lang w:val="en-US"/>
        </w:rPr>
        <w:t xml:space="preserve"> Pre- and </w:t>
      </w:r>
      <w:r w:rsidR="00081948" w:rsidRPr="003319E6">
        <w:rPr>
          <w:rFonts w:cstheme="minorHAnsi"/>
          <w:bCs/>
          <w:sz w:val="18"/>
          <w:szCs w:val="18"/>
          <w:lang w:val="en-CA"/>
        </w:rPr>
        <w:t>p</w:t>
      </w:r>
      <w:r w:rsidR="00081948" w:rsidRPr="003319E6">
        <w:rPr>
          <w:rFonts w:cstheme="minorHAnsi"/>
          <w:sz w:val="18"/>
          <w:szCs w:val="18"/>
          <w:lang w:val="en-CA"/>
        </w:rPr>
        <w:t xml:space="preserve">ost-shock latencies were measured in the passive avoidance paradigm. </w:t>
      </w:r>
      <w:r w:rsidR="00FF4EB4" w:rsidRPr="003319E6">
        <w:rPr>
          <w:rFonts w:cstheme="minorHAnsi"/>
          <w:b/>
          <w:sz w:val="18"/>
          <w:szCs w:val="18"/>
          <w:lang w:val="en-CA"/>
        </w:rPr>
        <w:t>b</w:t>
      </w:r>
      <w:r w:rsidR="00081948" w:rsidRPr="003319E6">
        <w:rPr>
          <w:rFonts w:cstheme="minorHAnsi"/>
          <w:sz w:val="18"/>
          <w:szCs w:val="18"/>
          <w:lang w:val="en-CA"/>
        </w:rPr>
        <w:t xml:space="preserve"> Comparison of pre-shock latencies in the passive avoidance paradigm</w:t>
      </w:r>
      <w:r w:rsidR="00C16BA9" w:rsidRPr="003319E6">
        <w:rPr>
          <w:rFonts w:cstheme="minorHAnsi"/>
          <w:sz w:val="18"/>
          <w:szCs w:val="18"/>
          <w:lang w:val="en-CA"/>
        </w:rPr>
        <w:t xml:space="preserve">. </w:t>
      </w:r>
      <w:r w:rsidR="00FF4EB4" w:rsidRPr="003319E6">
        <w:rPr>
          <w:rFonts w:cstheme="minorHAnsi"/>
          <w:b/>
          <w:sz w:val="18"/>
          <w:lang w:val="en-US"/>
        </w:rPr>
        <w:t>c</w:t>
      </w:r>
      <w:r w:rsidR="00FF4EB4" w:rsidRPr="003319E6">
        <w:rPr>
          <w:rFonts w:cstheme="minorHAnsi"/>
          <w:sz w:val="18"/>
          <w:lang w:val="en-US"/>
        </w:rPr>
        <w:t xml:space="preserve"> Total distanced moved (cm) in the EPM test (</w:t>
      </w:r>
      <w:r w:rsidR="00FF4EB4" w:rsidRPr="003319E6">
        <w:rPr>
          <w:rFonts w:cstheme="minorHAnsi"/>
          <w:sz w:val="18"/>
          <w:szCs w:val="18"/>
          <w:lang w:val="en-CA"/>
        </w:rPr>
        <w:t xml:space="preserve">NMDA + </w:t>
      </w:r>
      <w:r w:rsidR="00FF4EB4" w:rsidRPr="003319E6">
        <w:rPr>
          <w:rFonts w:cstheme="minorHAnsi"/>
          <w:sz w:val="18"/>
          <w:lang w:val="en-US"/>
        </w:rPr>
        <w:t>Fc</w:t>
      </w:r>
      <w:r w:rsidR="00FF4EB4" w:rsidRPr="003319E6">
        <w:rPr>
          <w:rFonts w:cstheme="minorHAnsi"/>
          <w:sz w:val="18"/>
          <w:lang w:val="en-US"/>
        </w:rPr>
        <w:sym w:font="Symbol" w:char="F044"/>
      </w:r>
      <w:r w:rsidR="00FF4EB4" w:rsidRPr="003319E6">
        <w:rPr>
          <w:rFonts w:cstheme="minorHAnsi"/>
          <w:sz w:val="18"/>
          <w:lang w:val="en-US"/>
        </w:rPr>
        <w:t>ab</w:t>
      </w:r>
      <w:r w:rsidR="00FF4EB4" w:rsidRPr="003319E6">
        <w:rPr>
          <w:rFonts w:cstheme="minorHAnsi"/>
          <w:sz w:val="18"/>
          <w:szCs w:val="18"/>
          <w:lang w:val="en-CA"/>
        </w:rPr>
        <w:t xml:space="preserve"> n=9; NMDA + Atrosimab n=8; </w:t>
      </w:r>
      <w:r w:rsidR="00C16BA9" w:rsidRPr="003319E6">
        <w:rPr>
          <w:rFonts w:cstheme="minorHAnsi"/>
          <w:sz w:val="18"/>
          <w:szCs w:val="18"/>
          <w:lang w:val="en-CA"/>
        </w:rPr>
        <w:t>Sham lesion</w:t>
      </w:r>
      <w:r w:rsidR="00FF4EB4" w:rsidRPr="003319E6">
        <w:rPr>
          <w:rFonts w:cstheme="minorHAnsi"/>
          <w:sz w:val="18"/>
          <w:szCs w:val="18"/>
          <w:lang w:val="en-CA"/>
        </w:rPr>
        <w:t xml:space="preserve"> n=8; one-way ANOVA, Tukey post hoc analysis)</w:t>
      </w:r>
      <w:r w:rsidR="00FF4EB4" w:rsidRPr="003319E6">
        <w:rPr>
          <w:rFonts w:cstheme="minorHAnsi"/>
          <w:sz w:val="18"/>
          <w:lang w:val="en-US"/>
        </w:rPr>
        <w:t>.</w:t>
      </w:r>
      <w:r w:rsidR="009D18DF" w:rsidRPr="003319E6">
        <w:rPr>
          <w:rFonts w:cstheme="minorHAnsi"/>
          <w:sz w:val="18"/>
          <w:lang w:val="en-US"/>
        </w:rPr>
        <w:t xml:space="preserve"> The two subgroups combined in the Sham lesion group are represented as follows:</w:t>
      </w:r>
      <w:r w:rsidR="00C16BA9" w:rsidRPr="003319E6">
        <w:rPr>
          <w:rFonts w:cstheme="minorHAnsi"/>
          <w:sz w:val="18"/>
          <w:lang w:val="en-US"/>
        </w:rPr>
        <w:t xml:space="preserve"> </w:t>
      </w:r>
      <w:r w:rsidR="00C16BA9" w:rsidRPr="003319E6">
        <w:rPr>
          <w:rFonts w:ascii="Arial" w:hAnsi="Arial" w:cs="Arial"/>
          <w:sz w:val="18"/>
          <w:vertAlign w:val="superscript"/>
          <w:lang w:val="en-US"/>
        </w:rPr>
        <w:t>▲</w:t>
      </w:r>
      <w:r w:rsidR="00C16BA9" w:rsidRPr="003319E6">
        <w:rPr>
          <w:rFonts w:cstheme="minorHAnsi"/>
          <w:sz w:val="18"/>
          <w:vertAlign w:val="superscript"/>
          <w:lang w:val="en-US"/>
        </w:rPr>
        <w:t xml:space="preserve"> </w:t>
      </w:r>
      <w:r w:rsidR="00C16BA9" w:rsidRPr="003319E6">
        <w:rPr>
          <w:rFonts w:cstheme="minorHAnsi"/>
          <w:sz w:val="18"/>
          <w:lang w:val="en-US"/>
        </w:rPr>
        <w:t>represents the Sham + Fc</w:t>
      </w:r>
      <w:r w:rsidR="00C16BA9" w:rsidRPr="003319E6">
        <w:rPr>
          <w:rFonts w:cstheme="minorHAnsi"/>
          <w:sz w:val="18"/>
          <w:lang w:val="en-US"/>
        </w:rPr>
        <w:sym w:font="Symbol" w:char="F044"/>
      </w:r>
      <w:r w:rsidR="00C16BA9" w:rsidRPr="003319E6">
        <w:rPr>
          <w:rFonts w:cstheme="minorHAnsi"/>
          <w:sz w:val="18"/>
          <w:lang w:val="en-US"/>
        </w:rPr>
        <w:t xml:space="preserve">ab </w:t>
      </w:r>
      <w:r w:rsidR="009D18DF" w:rsidRPr="003319E6">
        <w:rPr>
          <w:rFonts w:cstheme="minorHAnsi"/>
          <w:sz w:val="18"/>
          <w:lang w:val="en-US"/>
        </w:rPr>
        <w:t>sub</w:t>
      </w:r>
      <w:r w:rsidR="00C16BA9" w:rsidRPr="003319E6">
        <w:rPr>
          <w:rFonts w:cstheme="minorHAnsi"/>
          <w:sz w:val="18"/>
          <w:lang w:val="en-US"/>
        </w:rPr>
        <w:t>group</w:t>
      </w:r>
      <w:r w:rsidR="009D18DF" w:rsidRPr="003319E6">
        <w:rPr>
          <w:rFonts w:cstheme="minorHAnsi"/>
          <w:sz w:val="18"/>
          <w:lang w:val="en-US"/>
        </w:rPr>
        <w:t xml:space="preserve"> and</w:t>
      </w:r>
      <w:r w:rsidR="00C16BA9" w:rsidRPr="003319E6">
        <w:rPr>
          <w:rFonts w:cstheme="minorHAnsi"/>
          <w:sz w:val="18"/>
          <w:lang w:val="en-US"/>
        </w:rPr>
        <w:t xml:space="preserve"> </w:t>
      </w:r>
      <w:r w:rsidR="00C16BA9" w:rsidRPr="003319E6">
        <w:rPr>
          <w:rFonts w:ascii="Arial" w:hAnsi="Arial" w:cs="Arial"/>
          <w:sz w:val="18"/>
          <w:vertAlign w:val="superscript"/>
          <w:lang w:val="en-US"/>
        </w:rPr>
        <w:t>■</w:t>
      </w:r>
      <w:r w:rsidR="00C16BA9" w:rsidRPr="003319E6">
        <w:rPr>
          <w:rFonts w:cstheme="minorHAnsi"/>
          <w:sz w:val="18"/>
          <w:lang w:val="en-US"/>
        </w:rPr>
        <w:t xml:space="preserve"> represents the Sham + Atrosimab </w:t>
      </w:r>
      <w:r w:rsidR="009D18DF" w:rsidRPr="003319E6">
        <w:rPr>
          <w:rFonts w:cstheme="minorHAnsi"/>
          <w:sz w:val="18"/>
          <w:lang w:val="en-US"/>
        </w:rPr>
        <w:t>sub</w:t>
      </w:r>
      <w:r w:rsidR="00C16BA9" w:rsidRPr="003319E6">
        <w:rPr>
          <w:rFonts w:cstheme="minorHAnsi"/>
          <w:sz w:val="18"/>
          <w:lang w:val="en-US"/>
        </w:rPr>
        <w:t>group</w:t>
      </w:r>
      <w:r w:rsidR="009D18DF" w:rsidRPr="003319E6">
        <w:rPr>
          <w:rFonts w:cstheme="minorHAnsi"/>
          <w:sz w:val="18"/>
          <w:lang w:val="en-US"/>
        </w:rPr>
        <w:t>, where no significant differences between subgroups were observed.</w:t>
      </w:r>
      <w:r w:rsidR="00C16BA9" w:rsidRPr="003319E6">
        <w:rPr>
          <w:rFonts w:cstheme="minorHAnsi"/>
          <w:sz w:val="18"/>
          <w:lang w:val="en-US"/>
        </w:rPr>
        <w:t xml:space="preserve"> </w:t>
      </w:r>
      <w:r w:rsidR="00081948" w:rsidRPr="003319E6">
        <w:rPr>
          <w:rFonts w:cstheme="minorHAnsi"/>
          <w:sz w:val="18"/>
          <w:lang w:val="en-US"/>
        </w:rPr>
        <w:t>Data are presented as mean ± SEM. ***p&lt;0.001.</w:t>
      </w:r>
    </w:p>
    <w:p w14:paraId="3B318216" w14:textId="77777777" w:rsidR="00081948" w:rsidRPr="00081948" w:rsidRDefault="00081948" w:rsidP="00081948">
      <w:pPr>
        <w:tabs>
          <w:tab w:val="left" w:pos="2992"/>
        </w:tabs>
        <w:jc w:val="both"/>
        <w:rPr>
          <w:sz w:val="18"/>
          <w:lang w:val="en-US"/>
        </w:rPr>
      </w:pPr>
    </w:p>
    <w:p w14:paraId="75586898" w14:textId="77777777" w:rsidR="00081948" w:rsidRPr="00081948" w:rsidRDefault="00081948" w:rsidP="00081948">
      <w:pPr>
        <w:jc w:val="both"/>
        <w:rPr>
          <w:sz w:val="18"/>
          <w:lang w:val="en-US"/>
        </w:rPr>
      </w:pPr>
    </w:p>
    <w:p w14:paraId="5BB190EB" w14:textId="77777777" w:rsidR="00081948" w:rsidRPr="00081948" w:rsidRDefault="00081948" w:rsidP="00081948">
      <w:pPr>
        <w:rPr>
          <w:sz w:val="18"/>
          <w:lang w:val="en-US"/>
        </w:rPr>
      </w:pPr>
    </w:p>
    <w:p w14:paraId="46117165" w14:textId="77777777" w:rsidR="00081948" w:rsidRPr="00081948" w:rsidRDefault="00081948" w:rsidP="00081948">
      <w:pPr>
        <w:rPr>
          <w:sz w:val="18"/>
          <w:lang w:val="en-US"/>
        </w:rPr>
      </w:pPr>
    </w:p>
    <w:p w14:paraId="26380A5B" w14:textId="77777777" w:rsidR="00081948" w:rsidRPr="00081948" w:rsidRDefault="00081948" w:rsidP="00081948">
      <w:pPr>
        <w:rPr>
          <w:sz w:val="18"/>
          <w:lang w:val="en-US"/>
        </w:rPr>
      </w:pPr>
    </w:p>
    <w:p w14:paraId="4EF216A8" w14:textId="79FA7196" w:rsidR="006D7D50" w:rsidRDefault="00081948" w:rsidP="00081948">
      <w:pPr>
        <w:tabs>
          <w:tab w:val="left" w:pos="2992"/>
        </w:tabs>
        <w:rPr>
          <w:sz w:val="18"/>
          <w:lang w:val="en-US"/>
        </w:rPr>
      </w:pPr>
      <w:r w:rsidRPr="00081948">
        <w:rPr>
          <w:sz w:val="18"/>
          <w:lang w:val="en-US"/>
        </w:rPr>
        <w:tab/>
      </w:r>
    </w:p>
    <w:p w14:paraId="17E46F6C" w14:textId="31933350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23F01207" w14:textId="4BF04F7D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5D264A0C" w14:textId="20F38DD2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17EF01A8" w14:textId="77777777" w:rsidR="00516616" w:rsidRDefault="00516616" w:rsidP="00516616">
      <w:pPr>
        <w:tabs>
          <w:tab w:val="left" w:pos="2992"/>
        </w:tabs>
        <w:jc w:val="center"/>
        <w:rPr>
          <w:sz w:val="18"/>
          <w:lang w:val="en-US"/>
        </w:rPr>
      </w:pPr>
      <w:r>
        <w:rPr>
          <w:noProof/>
        </w:rPr>
        <w:drawing>
          <wp:inline distT="0" distB="0" distL="0" distR="0" wp14:anchorId="182DABDF" wp14:editId="2B274069">
            <wp:extent cx="2019300" cy="29704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1" cy="297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F55DC" w14:textId="77777777" w:rsidR="00516616" w:rsidRDefault="00516616" w:rsidP="00516616">
      <w:pPr>
        <w:tabs>
          <w:tab w:val="left" w:pos="972"/>
        </w:tabs>
        <w:jc w:val="both"/>
        <w:rPr>
          <w:sz w:val="18"/>
          <w:lang w:val="en-US"/>
        </w:rPr>
      </w:pPr>
      <w:r w:rsidRPr="00C7448F">
        <w:rPr>
          <w:b/>
          <w:sz w:val="18"/>
          <w:lang w:val="en-US"/>
        </w:rPr>
        <w:t>Supplementary Figure 2. Atrosimab does not affect neuronal firing rates</w:t>
      </w:r>
      <w:r>
        <w:rPr>
          <w:b/>
          <w:sz w:val="18"/>
          <w:lang w:val="en-US"/>
        </w:rPr>
        <w:t xml:space="preserve">. </w:t>
      </w:r>
      <w:r>
        <w:rPr>
          <w:sz w:val="18"/>
          <w:lang w:val="en-US"/>
        </w:rPr>
        <w:t xml:space="preserve">Primary cortical neurons were pre-treated with Atrosimab and incubated with glutamate. Neuronal firing rates were measured by microelectrode array (Control n=8; Atrosimab n=8; Glutamate n=8; Glutamate + Atrosimab n=8; paired t-tests). </w:t>
      </w:r>
      <w:r w:rsidRPr="003319E6">
        <w:rPr>
          <w:rFonts w:cstheme="minorHAnsi"/>
          <w:sz w:val="18"/>
          <w:lang w:val="en-US"/>
        </w:rPr>
        <w:t>Data are presented as mean ± SEM. **p&lt;0.01.</w:t>
      </w:r>
    </w:p>
    <w:p w14:paraId="3A947480" w14:textId="71CBDB3B" w:rsidR="003319E6" w:rsidRPr="00C7448F" w:rsidRDefault="003319E6" w:rsidP="0083620E">
      <w:pPr>
        <w:tabs>
          <w:tab w:val="left" w:pos="2992"/>
        </w:tabs>
        <w:jc w:val="both"/>
        <w:rPr>
          <w:sz w:val="18"/>
          <w:lang w:val="en-US"/>
        </w:rPr>
      </w:pPr>
    </w:p>
    <w:p w14:paraId="5AF9A676" w14:textId="3673E698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17621403" w14:textId="28A672CF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148F4020" w14:textId="569BC5B2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30FC0EBD" w14:textId="50CE30AA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112DD8F4" w14:textId="26E8D166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4CB5F7D7" w14:textId="7BF1DF60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091351C7" w14:textId="4534E1FC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18CE5E36" w14:textId="4000F30B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7F78B406" w14:textId="549F51E0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7F14D66A" w14:textId="5D728AC1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0E41FDD6" w14:textId="14B3A78D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4B2F9786" w14:textId="7BD4DE92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306B80A6" w14:textId="273332A7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722AFC0B" w14:textId="761427DB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7E49F21E" w14:textId="75DA68F3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56F91C73" w14:textId="2DC55074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05AC4278" w14:textId="3C7E9E48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608AFBD5" w14:textId="4EEC05C0" w:rsidR="003319E6" w:rsidRDefault="003319E6" w:rsidP="00081948">
      <w:pPr>
        <w:tabs>
          <w:tab w:val="left" w:pos="2992"/>
        </w:tabs>
        <w:rPr>
          <w:sz w:val="18"/>
          <w:lang w:val="en-US"/>
        </w:rPr>
      </w:pPr>
    </w:p>
    <w:p w14:paraId="3161DF14" w14:textId="77777777" w:rsidR="00516616" w:rsidRDefault="00516616" w:rsidP="00516616">
      <w:pPr>
        <w:tabs>
          <w:tab w:val="left" w:pos="2992"/>
        </w:tabs>
        <w:rPr>
          <w:sz w:val="18"/>
          <w:lang w:val="en-US"/>
        </w:rPr>
      </w:pPr>
      <w:r>
        <w:rPr>
          <w:noProof/>
        </w:rPr>
        <w:lastRenderedPageBreak/>
        <w:drawing>
          <wp:inline distT="0" distB="0" distL="0" distR="0" wp14:anchorId="330523A9" wp14:editId="6735EA27">
            <wp:extent cx="5760720" cy="60028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0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7DF7B" w14:textId="77777777" w:rsidR="00516616" w:rsidRPr="00C1118B" w:rsidRDefault="00516616" w:rsidP="00516616">
      <w:pPr>
        <w:tabs>
          <w:tab w:val="left" w:pos="2992"/>
        </w:tabs>
        <w:jc w:val="both"/>
        <w:rPr>
          <w:sz w:val="18"/>
          <w:lang w:val="en-US"/>
        </w:rPr>
      </w:pPr>
      <w:r w:rsidRPr="00863CBC">
        <w:rPr>
          <w:b/>
          <w:sz w:val="18"/>
          <w:lang w:val="en-US"/>
        </w:rPr>
        <w:t>Supplementary Figure 3. Synapsin-1</w:t>
      </w:r>
      <w:r>
        <w:rPr>
          <w:b/>
          <w:sz w:val="18"/>
          <w:lang w:val="en-US"/>
        </w:rPr>
        <w:t xml:space="preserve"> levels are not altered by NMDA or Atrosimab co-injections. a </w:t>
      </w:r>
      <w:r>
        <w:rPr>
          <w:sz w:val="18"/>
          <w:lang w:val="en-US"/>
        </w:rPr>
        <w:t xml:space="preserve">Synapsin-1 (green) and NeuN (red) measured in hippocampal sections. Representative images of hippocampus are shown. Scale bar, </w:t>
      </w:r>
      <w:r>
        <w:rPr>
          <w:rFonts w:cs="Calibri"/>
          <w:bCs/>
          <w:sz w:val="18"/>
          <w:szCs w:val="18"/>
          <w:lang w:val="en-CA"/>
        </w:rPr>
        <w:t>50</w:t>
      </w:r>
      <w:r>
        <w:rPr>
          <w:rFonts w:cs="Calibri"/>
          <w:sz w:val="18"/>
          <w:szCs w:val="18"/>
          <w:lang w:val="en-US"/>
        </w:rPr>
        <w:t xml:space="preserve"> µm</w:t>
      </w:r>
      <w:r>
        <w:rPr>
          <w:sz w:val="18"/>
          <w:lang w:val="en-US"/>
        </w:rPr>
        <w:t xml:space="preserve"> </w:t>
      </w:r>
      <w:r>
        <w:rPr>
          <w:b/>
          <w:sz w:val="18"/>
          <w:lang w:val="en-US"/>
        </w:rPr>
        <w:t xml:space="preserve">b </w:t>
      </w:r>
      <w:r>
        <w:rPr>
          <w:rFonts w:cs="Calibri"/>
          <w:bCs/>
          <w:sz w:val="18"/>
          <w:szCs w:val="18"/>
          <w:lang w:val="en-CA"/>
        </w:rPr>
        <w:t xml:space="preserve">Quantification of the ratio </w:t>
      </w:r>
      <w:r>
        <w:rPr>
          <w:rFonts w:cs="Calibri"/>
          <w:sz w:val="18"/>
          <w:lang w:val="en-CA"/>
        </w:rPr>
        <w:t>between the fraction covered by synapsin-1- positive signal in the lesioned vs. non-lesioned hemisphere</w:t>
      </w:r>
      <w:r>
        <w:rPr>
          <w:sz w:val="18"/>
          <w:lang w:val="en-US"/>
        </w:rPr>
        <w:t xml:space="preserve"> in </w:t>
      </w:r>
      <w:r>
        <w:rPr>
          <w:b/>
          <w:sz w:val="18"/>
          <w:lang w:val="en-US"/>
        </w:rPr>
        <w:t>a</w:t>
      </w:r>
      <w:r>
        <w:rPr>
          <w:sz w:val="18"/>
          <w:lang w:val="en-US"/>
        </w:rPr>
        <w:t xml:space="preserve"> </w:t>
      </w:r>
      <w:r>
        <w:rPr>
          <w:rFonts w:cstheme="minorHAnsi"/>
          <w:sz w:val="18"/>
          <w:szCs w:val="18"/>
          <w:lang w:val="en-CA"/>
        </w:rPr>
        <w:t xml:space="preserve">(NMDA + </w:t>
      </w:r>
      <w:r>
        <w:rPr>
          <w:sz w:val="18"/>
          <w:lang w:val="en-US"/>
        </w:rPr>
        <w:t>Fc</w:t>
      </w:r>
      <w:r>
        <w:rPr>
          <w:sz w:val="18"/>
          <w:lang w:val="en-US"/>
        </w:rPr>
        <w:sym w:font="Symbol" w:char="F044"/>
      </w:r>
      <w:r>
        <w:rPr>
          <w:sz w:val="18"/>
          <w:lang w:val="en-US"/>
        </w:rPr>
        <w:t>ab</w:t>
      </w:r>
      <w:r>
        <w:rPr>
          <w:rFonts w:cstheme="minorHAnsi"/>
          <w:sz w:val="12"/>
          <w:szCs w:val="18"/>
          <w:lang w:val="en-CA"/>
        </w:rPr>
        <w:t xml:space="preserve"> </w:t>
      </w:r>
      <w:r>
        <w:rPr>
          <w:rFonts w:cstheme="minorHAnsi"/>
          <w:sz w:val="18"/>
          <w:szCs w:val="18"/>
          <w:lang w:val="en-CA"/>
        </w:rPr>
        <w:t xml:space="preserve">n=8; NMDA + Atrosimab n=8; </w:t>
      </w:r>
      <w:r>
        <w:rPr>
          <w:rFonts w:cs="Calibri"/>
          <w:sz w:val="18"/>
          <w:lang w:val="en-CA"/>
        </w:rPr>
        <w:t>Sham lesion</w:t>
      </w:r>
      <w:r>
        <w:rPr>
          <w:rFonts w:cstheme="minorHAnsi"/>
          <w:sz w:val="14"/>
          <w:szCs w:val="18"/>
          <w:lang w:val="en-CA"/>
        </w:rPr>
        <w:t xml:space="preserve"> </w:t>
      </w:r>
      <w:r>
        <w:rPr>
          <w:rFonts w:cstheme="minorHAnsi"/>
          <w:sz w:val="18"/>
          <w:szCs w:val="18"/>
          <w:lang w:val="en-CA"/>
        </w:rPr>
        <w:t xml:space="preserve">n=8; one-way ANOVA, Tukey post hoc analysis). </w:t>
      </w:r>
      <w:r>
        <w:rPr>
          <w:sz w:val="18"/>
          <w:lang w:val="en-US"/>
        </w:rPr>
        <w:t xml:space="preserve">Data are presented as mean </w:t>
      </w:r>
      <w:r>
        <w:rPr>
          <w:rFonts w:cstheme="minorHAnsi"/>
          <w:sz w:val="18"/>
          <w:lang w:val="en-US"/>
        </w:rPr>
        <w:t>±</w:t>
      </w:r>
      <w:r>
        <w:rPr>
          <w:sz w:val="18"/>
          <w:lang w:val="en-US"/>
        </w:rPr>
        <w:t xml:space="preserve"> SEM.</w:t>
      </w:r>
    </w:p>
    <w:p w14:paraId="4FA57BC1" w14:textId="1A896F43" w:rsidR="003319E6" w:rsidRDefault="003319E6" w:rsidP="00081948">
      <w:pPr>
        <w:tabs>
          <w:tab w:val="left" w:pos="2992"/>
        </w:tabs>
        <w:rPr>
          <w:sz w:val="18"/>
          <w:lang w:val="en-US"/>
        </w:rPr>
      </w:pPr>
      <w:bookmarkStart w:id="0" w:name="_GoBack"/>
      <w:bookmarkEnd w:id="0"/>
    </w:p>
    <w:sectPr w:rsidR="00331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50"/>
    <w:rsid w:val="000764C1"/>
    <w:rsid w:val="00081948"/>
    <w:rsid w:val="003319E6"/>
    <w:rsid w:val="00396447"/>
    <w:rsid w:val="00494070"/>
    <w:rsid w:val="004954BC"/>
    <w:rsid w:val="005000C1"/>
    <w:rsid w:val="00516616"/>
    <w:rsid w:val="005541C0"/>
    <w:rsid w:val="005A40A7"/>
    <w:rsid w:val="005A6980"/>
    <w:rsid w:val="005D517A"/>
    <w:rsid w:val="005F7762"/>
    <w:rsid w:val="00674C76"/>
    <w:rsid w:val="006A64F2"/>
    <w:rsid w:val="006D7D50"/>
    <w:rsid w:val="007C0FCB"/>
    <w:rsid w:val="007C18C0"/>
    <w:rsid w:val="0083620E"/>
    <w:rsid w:val="00863CBC"/>
    <w:rsid w:val="009D18DF"/>
    <w:rsid w:val="00C1118B"/>
    <w:rsid w:val="00C16BA9"/>
    <w:rsid w:val="00C7448F"/>
    <w:rsid w:val="00D81EB9"/>
    <w:rsid w:val="00E85A9F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87E3"/>
  <w15:chartTrackingRefBased/>
  <w15:docId w15:val="{1A0298E3-DF88-4B02-9234-C5530F30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4940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u.l.m.eisel@rug.n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n.orti.casan@rug.n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Orti Casan</dc:creator>
  <cp:keywords/>
  <dc:description/>
  <cp:lastModifiedBy>N. Orti Casan</cp:lastModifiedBy>
  <cp:revision>10</cp:revision>
  <dcterms:created xsi:type="dcterms:W3CDTF">2022-10-07T14:07:00Z</dcterms:created>
  <dcterms:modified xsi:type="dcterms:W3CDTF">2023-04-04T10:34:00Z</dcterms:modified>
</cp:coreProperties>
</file>