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456" w:rsidRDefault="00E01456" w:rsidP="000B18DA">
      <w:pPr>
        <w:spacing w:line="360" w:lineRule="auto"/>
        <w:jc w:val="center"/>
        <w:rPr>
          <w:rFonts w:ascii="Times New Roman" w:hAnsi="Times New Roman" w:cs="Times New Roman"/>
          <w:b/>
          <w:sz w:val="24"/>
          <w:szCs w:val="24"/>
        </w:rPr>
      </w:pPr>
      <w:r w:rsidRPr="00E01456">
        <w:rPr>
          <w:rFonts w:ascii="Times New Roman" w:hAnsi="Times New Roman" w:cs="Times New Roman"/>
          <w:b/>
          <w:sz w:val="24"/>
          <w:szCs w:val="24"/>
        </w:rPr>
        <w:t>Supplemental Materials and Methods</w:t>
      </w:r>
    </w:p>
    <w:p w:rsidR="002E5A83" w:rsidRPr="00CB48E1" w:rsidRDefault="002E5A83" w:rsidP="000B18DA">
      <w:pPr>
        <w:spacing w:line="360" w:lineRule="auto"/>
        <w:rPr>
          <w:rFonts w:ascii="Times New Roman" w:hAnsi="Times New Roman" w:cs="Times New Roman"/>
          <w:b/>
          <w:sz w:val="24"/>
          <w:szCs w:val="24"/>
        </w:rPr>
      </w:pPr>
      <w:r w:rsidRPr="00FC4A2B">
        <w:rPr>
          <w:rFonts w:ascii="Times New Roman" w:hAnsi="Times New Roman" w:cs="Times New Roman"/>
          <w:b/>
          <w:sz w:val="24"/>
          <w:szCs w:val="24"/>
        </w:rPr>
        <w:t>RNA sequencing and mass spectrometry</w:t>
      </w:r>
    </w:p>
    <w:p w:rsidR="002E5A83" w:rsidRDefault="002E5A83" w:rsidP="000B18DA">
      <w:pPr>
        <w:spacing w:line="360" w:lineRule="auto"/>
        <w:rPr>
          <w:rFonts w:ascii="Times New Roman" w:hAnsi="Times New Roman" w:cs="Times New Roman"/>
          <w:sz w:val="24"/>
          <w:szCs w:val="24"/>
        </w:rPr>
      </w:pPr>
      <w:r w:rsidRPr="00CB48E1">
        <w:rPr>
          <w:rFonts w:ascii="Times New Roman" w:hAnsi="Times New Roman" w:cs="Times New Roman"/>
          <w:sz w:val="24"/>
          <w:szCs w:val="24"/>
        </w:rPr>
        <w:t>Total RNA of tissue samples were extracted using the mirVana miRNA Isolation Kit (Ambion</w:t>
      </w:r>
      <w:r>
        <w:rPr>
          <w:rFonts w:ascii="Times New Roman" w:hAnsi="Times New Roman" w:cs="Times New Roman"/>
          <w:sz w:val="24"/>
          <w:szCs w:val="24"/>
        </w:rPr>
        <w:t>, Austin, TX,</w:t>
      </w:r>
      <w:r w:rsidRPr="00E60F48">
        <w:rPr>
          <w:rFonts w:ascii="Times New Roman" w:hAnsi="Times New Roman" w:cs="Times New Roman"/>
          <w:sz w:val="24"/>
          <w:szCs w:val="24"/>
        </w:rPr>
        <w:t xml:space="preserve"> </w:t>
      </w:r>
      <w:r w:rsidRPr="00E60F48">
        <w:rPr>
          <w:rFonts w:ascii="Times New Roman" w:hAnsi="Times New Roman" w:cs="Times New Roman"/>
          <w:iCs/>
          <w:sz w:val="24"/>
          <w:szCs w:val="24"/>
        </w:rPr>
        <w:t>USA</w:t>
      </w:r>
      <w:r w:rsidRPr="00E60F48">
        <w:rPr>
          <w:rFonts w:ascii="Times New Roman" w:hAnsi="Times New Roman" w:cs="Times New Roman"/>
          <w:sz w:val="24"/>
          <w:szCs w:val="24"/>
        </w:rPr>
        <w:t>)</w:t>
      </w:r>
      <w:r w:rsidRPr="00CB48E1">
        <w:rPr>
          <w:rFonts w:ascii="Times New Roman" w:hAnsi="Times New Roman" w:cs="Times New Roman"/>
          <w:sz w:val="24"/>
          <w:szCs w:val="24"/>
        </w:rPr>
        <w:t xml:space="preserve"> following the manufacturer’s protocol. The libraries were constructed using TruSeq Stranded mRNA LTSample Prep Kit (</w:t>
      </w:r>
      <w:r>
        <w:rPr>
          <w:rFonts w:ascii="Times New Roman" w:hAnsi="Times New Roman" w:cs="Times New Roman"/>
          <w:sz w:val="24"/>
          <w:szCs w:val="24"/>
        </w:rPr>
        <w:t>Ill</w:t>
      </w:r>
      <w:r w:rsidRPr="00CB48E1">
        <w:rPr>
          <w:rFonts w:ascii="Times New Roman" w:hAnsi="Times New Roman" w:cs="Times New Roman"/>
          <w:sz w:val="24"/>
          <w:szCs w:val="24"/>
        </w:rPr>
        <w:t xml:space="preserve">umina, San Diego, CA, USA) according to the manufacturer’s instructions. Then these libraries were sequenced on the Illumina sequencing platform (HiSeqTM 2500 or Illumina HiSeq X Ten). Tissue protein extract was digested into peptides with trypsin in tissue samples. The resulting peptides were desalted and concentrated before mass spectrometry by the STAGE-TIP method using a C18 resin disk. The resulting mass spectrometry raw files were submitted to the MaxQuant software version 1.6.17.0 for protein identification and label-free quantification. Known contaminants as provided by MaxQuant and identified in the samples were </w:t>
      </w:r>
      <w:r>
        <w:rPr>
          <w:rFonts w:ascii="Times New Roman" w:hAnsi="Times New Roman" w:cs="Times New Roman"/>
          <w:sz w:val="24"/>
          <w:szCs w:val="24"/>
        </w:rPr>
        <w:t>excluded from further analysis.</w:t>
      </w:r>
    </w:p>
    <w:p w:rsidR="002E5A83" w:rsidRDefault="002E5A83" w:rsidP="000B18DA">
      <w:pPr>
        <w:spacing w:line="360" w:lineRule="auto"/>
      </w:pPr>
    </w:p>
    <w:p w:rsidR="002E5A83" w:rsidRPr="00CB48E1" w:rsidRDefault="002E5A83" w:rsidP="000B18DA">
      <w:pPr>
        <w:spacing w:line="360" w:lineRule="auto"/>
        <w:rPr>
          <w:rFonts w:ascii="Times New Roman" w:hAnsi="Times New Roman" w:cs="Times New Roman"/>
          <w:b/>
          <w:sz w:val="24"/>
          <w:szCs w:val="24"/>
        </w:rPr>
      </w:pPr>
      <w:r w:rsidRPr="00CB48E1">
        <w:rPr>
          <w:rFonts w:ascii="Times New Roman" w:hAnsi="Times New Roman" w:cs="Times New Roman"/>
          <w:b/>
          <w:sz w:val="24"/>
          <w:szCs w:val="24"/>
        </w:rPr>
        <w:t>Protein-protein interaction (PPI) network and module analyses</w:t>
      </w:r>
    </w:p>
    <w:p w:rsidR="002E5A83" w:rsidRPr="00CB48E1" w:rsidRDefault="002E5A83" w:rsidP="000B18DA">
      <w:pPr>
        <w:spacing w:line="360" w:lineRule="auto"/>
        <w:rPr>
          <w:rFonts w:ascii="Times New Roman" w:hAnsi="Times New Roman" w:cs="Times New Roman"/>
          <w:sz w:val="24"/>
          <w:szCs w:val="24"/>
        </w:rPr>
      </w:pPr>
      <w:r w:rsidRPr="00CB48E1">
        <w:rPr>
          <w:rFonts w:ascii="Times New Roman" w:hAnsi="Times New Roman" w:cs="Times New Roman"/>
          <w:sz w:val="24"/>
          <w:szCs w:val="24"/>
        </w:rPr>
        <w:t xml:space="preserve">The investigation of PPIs may aid the identification of protein functions at the molecular level and improve the understanding of various cellular activities, including growth, development, metabolism, differentiation and apoptosis. The Search Tool for the Retrieval of Interacting Genes (STRING; www.string-db.org/) is a database that provides experimental and predicted interaction information. The proteins associated with DEGs were selected according to the STRING database (version 11.0). When the required confidence (score) was &gt;0.9, there was a protein-protein interaction, which was selected to establish the PPI network. </w:t>
      </w:r>
    </w:p>
    <w:p w:rsidR="002E5A83" w:rsidRDefault="002E5A83" w:rsidP="000B18DA">
      <w:pPr>
        <w:spacing w:line="360" w:lineRule="auto"/>
      </w:pPr>
    </w:p>
    <w:p w:rsidR="000B18DA" w:rsidRPr="00551413" w:rsidRDefault="000B18DA" w:rsidP="000B18DA">
      <w:pPr>
        <w:spacing w:line="360" w:lineRule="auto"/>
        <w:rPr>
          <w:rFonts w:ascii="Times New Roman" w:hAnsi="Times New Roman" w:cs="Times New Roman"/>
          <w:b/>
          <w:sz w:val="24"/>
          <w:szCs w:val="24"/>
        </w:rPr>
      </w:pPr>
      <w:r w:rsidRPr="00551413">
        <w:rPr>
          <w:rFonts w:ascii="Times New Roman" w:hAnsi="Times New Roman" w:cs="Times New Roman"/>
          <w:b/>
          <w:sz w:val="24"/>
          <w:szCs w:val="24"/>
        </w:rPr>
        <w:t>Data collection and preprocessing of external datasets</w:t>
      </w:r>
    </w:p>
    <w:p w:rsidR="000B18DA" w:rsidRDefault="000B18DA" w:rsidP="000B18DA">
      <w:pPr>
        <w:spacing w:line="360" w:lineRule="auto"/>
        <w:rPr>
          <w:rFonts w:ascii="Times New Roman" w:hAnsi="Times New Roman" w:cs="Times New Roman"/>
          <w:sz w:val="24"/>
          <w:szCs w:val="24"/>
        </w:rPr>
      </w:pPr>
      <w:r w:rsidRPr="00551413">
        <w:rPr>
          <w:rFonts w:ascii="Times New Roman" w:hAnsi="Times New Roman" w:cs="Times New Roman"/>
          <w:sz w:val="24"/>
          <w:szCs w:val="24"/>
        </w:rPr>
        <w:t xml:space="preserve">Gene expression profile and clinical data from the TCGA database were downloaded from the University of California Santa Cruz Xena Hub datasets (https://xenabrowser.net/). </w:t>
      </w:r>
      <w:r w:rsidRPr="00FD48DF">
        <w:rPr>
          <w:rFonts w:ascii="Times New Roman" w:hAnsi="Times New Roman" w:cs="Times New Roman"/>
          <w:sz w:val="24"/>
          <w:szCs w:val="24"/>
        </w:rPr>
        <w:t xml:space="preserve">Data were obtained for 611 samples (tumor tissue and matched normal tissue) and were log2(x+1) transformed. WGTEx gene expression data were also log2(x+1) transformed to allow comparisons to TCGA data. Transformation </w:t>
      </w:r>
      <w:r w:rsidRPr="00FD48DF">
        <w:rPr>
          <w:rFonts w:ascii="Times New Roman" w:hAnsi="Times New Roman" w:cs="Times New Roman"/>
          <w:sz w:val="24"/>
          <w:szCs w:val="24"/>
        </w:rPr>
        <w:lastRenderedPageBreak/>
        <w:t>of Ensembl identifiers and normalization of expression between the TCGA and Ma datasets were also performed prior to subsequent differential analysis. PRJNA596359 and PRJNA596338 transcriptome-sequencing data for 61 tumor-normal pairs and 30 primary-thrombus pairs from 152 Chinese patients with c</w:t>
      </w:r>
      <w:r w:rsidRPr="00DE2172">
        <w:rPr>
          <w:rFonts w:ascii="Times New Roman" w:hAnsi="Times New Roman" w:cs="Times New Roman"/>
          <w:sz w:val="24"/>
          <w:szCs w:val="24"/>
        </w:rPr>
        <w:t>cRCC provided by Wang et al.</w:t>
      </w:r>
      <w:r>
        <w:rPr>
          <w:rFonts w:ascii="Times New Roman" w:hAnsi="Times New Roman" w:cs="Times New Roman"/>
          <w:sz w:val="24"/>
          <w:szCs w:val="24"/>
        </w:rPr>
        <w:t xml:space="preserve"> </w:t>
      </w:r>
      <w:r w:rsidRPr="00DE2172">
        <w:rPr>
          <w:rFonts w:ascii="Times New Roman" w:hAnsi="Times New Roman" w:cs="Times New Roman"/>
          <w:sz w:val="24"/>
          <w:szCs w:val="24"/>
        </w:rPr>
        <w:t>w</w:t>
      </w:r>
      <w:r>
        <w:rPr>
          <w:rFonts w:ascii="Times New Roman" w:hAnsi="Times New Roman" w:cs="Times New Roman"/>
          <w:sz w:val="24"/>
          <w:szCs w:val="24"/>
        </w:rPr>
        <w:t>as</w:t>
      </w:r>
      <w:r w:rsidRPr="000D0069">
        <w:rPr>
          <w:rFonts w:ascii="Times New Roman" w:hAnsi="Times New Roman" w:cs="Times New Roman"/>
          <w:sz w:val="24"/>
          <w:szCs w:val="24"/>
        </w:rPr>
        <w:t xml:space="preserve"> downloaded from the NCBI Sequence Read Archive database and used as the validation dataset.</w:t>
      </w:r>
    </w:p>
    <w:p w:rsidR="000B18DA" w:rsidRDefault="000B18DA" w:rsidP="000B18DA">
      <w:pPr>
        <w:spacing w:line="360" w:lineRule="auto"/>
        <w:rPr>
          <w:rFonts w:ascii="Times New Roman" w:hAnsi="Times New Roman" w:cs="Times New Roman"/>
          <w:sz w:val="24"/>
          <w:szCs w:val="24"/>
        </w:rPr>
      </w:pPr>
    </w:p>
    <w:p w:rsidR="000B18DA" w:rsidRPr="00606A29" w:rsidRDefault="00C57FE7" w:rsidP="000B18DA">
      <w:pPr>
        <w:spacing w:line="360" w:lineRule="auto"/>
        <w:rPr>
          <w:rFonts w:ascii="Times New Roman" w:hAnsi="Times New Roman" w:cs="Times New Roman"/>
          <w:b/>
          <w:sz w:val="24"/>
        </w:rPr>
      </w:pPr>
      <w:r>
        <w:rPr>
          <w:rFonts w:ascii="Times New Roman" w:hAnsi="Times New Roman" w:cs="Times New Roman"/>
          <w:b/>
          <w:sz w:val="24"/>
        </w:rPr>
        <w:t>I</w:t>
      </w:r>
      <w:r w:rsidRPr="00C57FE7">
        <w:rPr>
          <w:rFonts w:ascii="Times New Roman" w:hAnsi="Times New Roman" w:cs="Times New Roman"/>
          <w:b/>
          <w:sz w:val="24"/>
        </w:rPr>
        <w:t>mmunohistochemistry</w:t>
      </w:r>
      <w:r w:rsidR="000B18DA" w:rsidRPr="00606A29">
        <w:rPr>
          <w:rFonts w:ascii="Times New Roman" w:hAnsi="Times New Roman" w:cs="Times New Roman"/>
          <w:b/>
          <w:sz w:val="24"/>
        </w:rPr>
        <w:t xml:space="preserve"> staining of tissue microarray</w:t>
      </w:r>
    </w:p>
    <w:p w:rsidR="000B18DA" w:rsidRDefault="000B18DA" w:rsidP="000B18DA">
      <w:pPr>
        <w:spacing w:line="360" w:lineRule="auto"/>
        <w:rPr>
          <w:rFonts w:ascii="Times New Roman" w:hAnsi="Times New Roman" w:cs="Times New Roman"/>
          <w:sz w:val="24"/>
        </w:rPr>
      </w:pPr>
      <w:r w:rsidRPr="00606A29">
        <w:rPr>
          <w:rFonts w:ascii="Times New Roman" w:hAnsi="Times New Roman" w:cs="Times New Roman"/>
          <w:sz w:val="24"/>
        </w:rPr>
        <w:t xml:space="preserve">The formalin-fixed, paraffin-embedded tissue microarray contains </w:t>
      </w:r>
      <w:r>
        <w:rPr>
          <w:rFonts w:ascii="Times New Roman" w:hAnsi="Times New Roman" w:cs="Times New Roman"/>
          <w:sz w:val="24"/>
        </w:rPr>
        <w:t>40</w:t>
      </w:r>
      <w:r w:rsidRPr="00606A29">
        <w:rPr>
          <w:rFonts w:ascii="Times New Roman" w:hAnsi="Times New Roman" w:cs="Times New Roman"/>
          <w:sz w:val="24"/>
        </w:rPr>
        <w:t xml:space="preserve"> ccRCC tumor specimens and their matched normal renal specimens, obtained after partial or radical nephrectomy. Informed consent was obtained from all patients. Immunostaining for targeted proteins was performed using antibodies against human DEPTOR (#20985-1-AP, P</w:t>
      </w:r>
      <w:r w:rsidRPr="00606A29">
        <w:rPr>
          <w:rFonts w:ascii="Times New Roman" w:hAnsi="Times New Roman" w:cs="Times New Roman" w:hint="eastAsia"/>
          <w:sz w:val="24"/>
        </w:rPr>
        <w:t>rotein</w:t>
      </w:r>
      <w:r w:rsidRPr="00606A29">
        <w:rPr>
          <w:rFonts w:ascii="Times New Roman" w:hAnsi="Times New Roman" w:cs="Times New Roman"/>
          <w:sz w:val="24"/>
        </w:rPr>
        <w:t>tech), DPEP1 (#12222-1-AP, P</w:t>
      </w:r>
      <w:r w:rsidRPr="00606A29">
        <w:rPr>
          <w:rFonts w:ascii="Times New Roman" w:hAnsi="Times New Roman" w:cs="Times New Roman" w:hint="eastAsia"/>
          <w:sz w:val="24"/>
        </w:rPr>
        <w:t>rotein</w:t>
      </w:r>
      <w:r w:rsidRPr="00606A29">
        <w:rPr>
          <w:rFonts w:ascii="Times New Roman" w:hAnsi="Times New Roman" w:cs="Times New Roman"/>
          <w:sz w:val="24"/>
        </w:rPr>
        <w:t>tech), NAT8 (#ab197793, Abcam), PLOD2 (#21214</w:t>
      </w:r>
      <w:r w:rsidRPr="00606A29">
        <w:rPr>
          <w:rFonts w:ascii="Times New Roman" w:hAnsi="Times New Roman" w:cs="Times New Roman" w:hint="eastAsia"/>
          <w:sz w:val="24"/>
        </w:rPr>
        <w:t>-</w:t>
      </w:r>
      <w:r w:rsidRPr="00606A29">
        <w:rPr>
          <w:rFonts w:ascii="Times New Roman" w:hAnsi="Times New Roman" w:cs="Times New Roman"/>
          <w:sz w:val="24"/>
        </w:rPr>
        <w:t>1</w:t>
      </w:r>
      <w:r w:rsidRPr="00606A29">
        <w:rPr>
          <w:rFonts w:ascii="Times New Roman" w:hAnsi="Times New Roman" w:cs="Times New Roman" w:hint="eastAsia"/>
          <w:sz w:val="24"/>
        </w:rPr>
        <w:t>-</w:t>
      </w:r>
      <w:r w:rsidRPr="00606A29">
        <w:rPr>
          <w:rFonts w:ascii="Times New Roman" w:hAnsi="Times New Roman" w:cs="Times New Roman"/>
          <w:sz w:val="24"/>
        </w:rPr>
        <w:t>AP, P</w:t>
      </w:r>
      <w:r w:rsidRPr="00606A29">
        <w:rPr>
          <w:rFonts w:ascii="Times New Roman" w:hAnsi="Times New Roman" w:cs="Times New Roman" w:hint="eastAsia"/>
          <w:sz w:val="24"/>
        </w:rPr>
        <w:t>rotein</w:t>
      </w:r>
      <w:r w:rsidRPr="00606A29">
        <w:rPr>
          <w:rFonts w:ascii="Times New Roman" w:hAnsi="Times New Roman" w:cs="Times New Roman"/>
          <w:sz w:val="24"/>
        </w:rPr>
        <w:t>tech), SLC7A5 (#28670-1-AP, P</w:t>
      </w:r>
      <w:r w:rsidRPr="00606A29">
        <w:rPr>
          <w:rFonts w:ascii="Times New Roman" w:hAnsi="Times New Roman" w:cs="Times New Roman" w:hint="eastAsia"/>
          <w:sz w:val="24"/>
        </w:rPr>
        <w:t>rotein</w:t>
      </w:r>
      <w:r w:rsidRPr="00606A29">
        <w:rPr>
          <w:rFonts w:ascii="Times New Roman" w:hAnsi="Times New Roman" w:cs="Times New Roman"/>
          <w:sz w:val="24"/>
        </w:rPr>
        <w:t>tech), SUSD2 (#ab121214, Abcam), following the manufacturer’s instructions of a commercial kit (</w:t>
      </w:r>
      <w:r w:rsidR="00DE5DC4" w:rsidRPr="00DE5DC4">
        <w:rPr>
          <w:rFonts w:ascii="Times New Roman" w:hAnsi="Times New Roman" w:cs="Times New Roman"/>
          <w:sz w:val="24"/>
        </w:rPr>
        <w:t>Lab vision, Fremont, CA</w:t>
      </w:r>
      <w:r w:rsidR="00D24771">
        <w:rPr>
          <w:rFonts w:ascii="Times New Roman" w:hAnsi="Times New Roman" w:cs="Times New Roman" w:hint="eastAsia"/>
          <w:sz w:val="24"/>
        </w:rPr>
        <w:t>,</w:t>
      </w:r>
      <w:r w:rsidR="00D24771">
        <w:rPr>
          <w:rFonts w:ascii="Times New Roman" w:hAnsi="Times New Roman" w:cs="Times New Roman"/>
          <w:sz w:val="24"/>
        </w:rPr>
        <w:t xml:space="preserve"> USA</w:t>
      </w:r>
      <w:r w:rsidRPr="00606A29">
        <w:rPr>
          <w:rFonts w:ascii="Times New Roman" w:hAnsi="Times New Roman" w:cs="Times New Roman"/>
          <w:sz w:val="24"/>
        </w:rPr>
        <w:t>). The staining score was blindly evaluated by two observers, using a microscope at a magnification of 200×.</w:t>
      </w:r>
    </w:p>
    <w:p w:rsidR="00617432" w:rsidRDefault="00617432" w:rsidP="000B18DA">
      <w:pPr>
        <w:spacing w:line="360" w:lineRule="auto"/>
        <w:rPr>
          <w:rFonts w:ascii="Times New Roman" w:hAnsi="Times New Roman" w:cs="Times New Roman"/>
          <w:sz w:val="24"/>
        </w:rPr>
      </w:pPr>
    </w:p>
    <w:p w:rsidR="00617432" w:rsidRPr="00606A29" w:rsidRDefault="00C57FE7" w:rsidP="000B18DA">
      <w:pPr>
        <w:spacing w:line="360" w:lineRule="auto"/>
        <w:rPr>
          <w:rFonts w:ascii="Times New Roman" w:hAnsi="Times New Roman" w:cs="Times New Roman"/>
          <w:sz w:val="24"/>
        </w:rPr>
      </w:pPr>
      <w:r>
        <w:rPr>
          <w:rFonts w:ascii="Times New Roman" w:hAnsi="Times New Roman" w:cs="Times New Roman"/>
          <w:sz w:val="24"/>
        </w:rPr>
        <w:t>The s</w:t>
      </w:r>
      <w:r w:rsidR="00617432" w:rsidRPr="00617432">
        <w:rPr>
          <w:rFonts w:ascii="Times New Roman" w:hAnsi="Times New Roman" w:cs="Times New Roman"/>
          <w:sz w:val="24"/>
        </w:rPr>
        <w:t>e</w:t>
      </w:r>
      <w:r>
        <w:rPr>
          <w:rFonts w:ascii="Times New Roman" w:hAnsi="Times New Roman" w:cs="Times New Roman"/>
          <w:sz w:val="24"/>
        </w:rPr>
        <w:t xml:space="preserve">mi-quantitative </w:t>
      </w:r>
      <w:r w:rsidRPr="002A5465">
        <w:rPr>
          <w:rFonts w:ascii="Times New Roman" w:hAnsi="Times New Roman" w:cs="Times New Roman"/>
          <w:sz w:val="24"/>
        </w:rPr>
        <w:t>immunohistochemistry</w:t>
      </w:r>
      <w:r>
        <w:rPr>
          <w:rFonts w:ascii="Times New Roman" w:hAnsi="Times New Roman" w:cs="Times New Roman"/>
          <w:sz w:val="24"/>
        </w:rPr>
        <w:t xml:space="preserve"> scores were</w:t>
      </w:r>
      <w:r w:rsidR="00617432" w:rsidRPr="00617432">
        <w:rPr>
          <w:rFonts w:ascii="Times New Roman" w:hAnsi="Times New Roman" w:cs="Times New Roman"/>
          <w:sz w:val="24"/>
        </w:rPr>
        <w:t xml:space="preserve"> determined </w:t>
      </w:r>
      <w:r>
        <w:rPr>
          <w:rFonts w:ascii="Times New Roman" w:hAnsi="Times New Roman" w:cs="Times New Roman"/>
          <w:sz w:val="24"/>
        </w:rPr>
        <w:t xml:space="preserve">on a </w:t>
      </w:r>
      <w:r w:rsidR="00997857">
        <w:rPr>
          <w:rFonts w:ascii="Times New Roman" w:hAnsi="Times New Roman" w:cs="Times New Roman"/>
          <w:sz w:val="24"/>
        </w:rPr>
        <w:t>4</w:t>
      </w:r>
      <w:r>
        <w:rPr>
          <w:rFonts w:ascii="Times New Roman" w:hAnsi="Times New Roman" w:cs="Times New Roman"/>
          <w:sz w:val="24"/>
        </w:rPr>
        <w:t>-point scale</w:t>
      </w:r>
      <w:r w:rsidR="00617432" w:rsidRPr="00617432">
        <w:rPr>
          <w:rFonts w:ascii="Times New Roman" w:hAnsi="Times New Roman" w:cs="Times New Roman"/>
          <w:sz w:val="24"/>
        </w:rPr>
        <w:t xml:space="preserve">. Score 0 (negative): no staining or faint/barely perceptible incomplete staining in ≤10% of tumor cells; </w:t>
      </w:r>
      <w:r w:rsidR="00CE7E4A">
        <w:rPr>
          <w:rFonts w:ascii="Times New Roman" w:hAnsi="Times New Roman" w:cs="Times New Roman"/>
          <w:sz w:val="24"/>
        </w:rPr>
        <w:t>s</w:t>
      </w:r>
      <w:r w:rsidR="00617432" w:rsidRPr="00617432">
        <w:rPr>
          <w:rFonts w:ascii="Times New Roman" w:hAnsi="Times New Roman" w:cs="Times New Roman"/>
          <w:sz w:val="24"/>
        </w:rPr>
        <w:t xml:space="preserve">core 1 (mild): faint/barely perceptible incomplete staining in &gt;10% of tumor cells; </w:t>
      </w:r>
      <w:r w:rsidR="00CE7E4A">
        <w:rPr>
          <w:rFonts w:ascii="Times New Roman" w:hAnsi="Times New Roman" w:cs="Times New Roman"/>
          <w:sz w:val="24"/>
        </w:rPr>
        <w:t>s</w:t>
      </w:r>
      <w:r w:rsidR="00617432" w:rsidRPr="00617432">
        <w:rPr>
          <w:rFonts w:ascii="Times New Roman" w:hAnsi="Times New Roman" w:cs="Times New Roman"/>
          <w:sz w:val="24"/>
        </w:rPr>
        <w:t xml:space="preserve">core 2 (moderate): weak/moderate complete staining in &gt;10% of tumor cells; </w:t>
      </w:r>
      <w:r w:rsidR="00CE7E4A">
        <w:rPr>
          <w:rFonts w:ascii="Times New Roman" w:hAnsi="Times New Roman" w:cs="Times New Roman"/>
          <w:sz w:val="24"/>
        </w:rPr>
        <w:t>s</w:t>
      </w:r>
      <w:r w:rsidR="00617432" w:rsidRPr="00617432">
        <w:rPr>
          <w:rFonts w:ascii="Times New Roman" w:hAnsi="Times New Roman" w:cs="Times New Roman"/>
          <w:sz w:val="24"/>
        </w:rPr>
        <w:t>core 3 (strong): circumferential complete intense staining in &gt;10% of tumor cells. The manual scoring was independently performed by an experienced pathologist (Yisha Gao) and a senior researcher (Xinxin Gan).</w:t>
      </w:r>
      <w:r w:rsidR="00606AE1">
        <w:rPr>
          <w:rFonts w:ascii="Times New Roman" w:hAnsi="Times New Roman" w:cs="Times New Roman"/>
          <w:sz w:val="24"/>
        </w:rPr>
        <w:t xml:space="preserve"> </w:t>
      </w:r>
      <w:r w:rsidR="00617432" w:rsidRPr="00617432">
        <w:rPr>
          <w:rFonts w:ascii="Times New Roman" w:hAnsi="Times New Roman" w:cs="Times New Roman"/>
          <w:sz w:val="24"/>
        </w:rPr>
        <w:t>Discordant cases were re-evaluated by both observers to establish a consensus score.</w:t>
      </w:r>
    </w:p>
    <w:p w:rsidR="00CB3BBE" w:rsidRDefault="00CB3BBE">
      <w:pPr>
        <w:widowControl/>
        <w:jc w:val="left"/>
      </w:pPr>
      <w:r>
        <w:br w:type="page"/>
      </w:r>
      <w:bookmarkStart w:id="0" w:name="_GoBack"/>
      <w:bookmarkEnd w:id="0"/>
    </w:p>
    <w:p w:rsidR="000B18DA" w:rsidRDefault="005D6404" w:rsidP="005D6404">
      <w:pPr>
        <w:spacing w:line="360" w:lineRule="auto"/>
        <w:jc w:val="center"/>
      </w:pPr>
      <w:r w:rsidRPr="00E01456">
        <w:rPr>
          <w:rFonts w:ascii="Times New Roman" w:hAnsi="Times New Roman" w:cs="Times New Roman"/>
          <w:b/>
          <w:sz w:val="24"/>
          <w:szCs w:val="24"/>
        </w:rPr>
        <w:lastRenderedPageBreak/>
        <w:t>Supplemental</w:t>
      </w:r>
      <w:r>
        <w:rPr>
          <w:rFonts w:ascii="Times New Roman" w:hAnsi="Times New Roman" w:cs="Times New Roman"/>
          <w:b/>
          <w:sz w:val="24"/>
          <w:szCs w:val="24"/>
        </w:rPr>
        <w:t xml:space="preserve"> </w:t>
      </w:r>
      <w:r>
        <w:rPr>
          <w:rFonts w:ascii="Times New Roman" w:hAnsi="Times New Roman" w:cs="Times New Roman" w:hint="eastAsia"/>
          <w:b/>
          <w:sz w:val="24"/>
          <w:szCs w:val="24"/>
        </w:rPr>
        <w:t>Figures</w:t>
      </w:r>
    </w:p>
    <w:p w:rsidR="00CB3BBE" w:rsidRPr="00702E52" w:rsidRDefault="00CB3BBE" w:rsidP="00CB3BBE">
      <w:pPr>
        <w:jc w:val="center"/>
        <w:rPr>
          <w:rFonts w:ascii="Times New Roman" w:hAnsi="Times New Roman" w:cs="Times New Roman"/>
          <w:color w:val="FF0000"/>
          <w:sz w:val="24"/>
          <w:szCs w:val="24"/>
        </w:rPr>
      </w:pPr>
      <w:r>
        <w:rPr>
          <w:rFonts w:ascii="Times New Roman" w:hAnsi="Times New Roman" w:cs="Times New Roman"/>
          <w:noProof/>
          <w:color w:val="FF0000"/>
          <w:sz w:val="24"/>
          <w:szCs w:val="24"/>
        </w:rPr>
        <w:drawing>
          <wp:inline distT="0" distB="0" distL="0" distR="0">
            <wp:extent cx="4108181" cy="7098493"/>
            <wp:effectExtent l="0" t="0" r="6985" b="7620"/>
            <wp:docPr id="4" name="图片 4" descr="figu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S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22758" cy="7123681"/>
                    </a:xfrm>
                    <a:prstGeom prst="rect">
                      <a:avLst/>
                    </a:prstGeom>
                    <a:noFill/>
                    <a:ln>
                      <a:noFill/>
                    </a:ln>
                  </pic:spPr>
                </pic:pic>
              </a:graphicData>
            </a:graphic>
          </wp:inline>
        </w:drawing>
      </w:r>
    </w:p>
    <w:p w:rsidR="00CB3BBE" w:rsidRPr="00FB631E" w:rsidRDefault="00CB3BBE" w:rsidP="00CB3BBE">
      <w:pPr>
        <w:spacing w:line="360" w:lineRule="auto"/>
        <w:rPr>
          <w:rFonts w:ascii="Times New Roman" w:hAnsi="Times New Roman" w:cs="Times New Roman"/>
          <w:sz w:val="24"/>
          <w:szCs w:val="24"/>
        </w:rPr>
      </w:pPr>
      <w:r w:rsidRPr="00FB631E">
        <w:rPr>
          <w:rFonts w:ascii="Times New Roman" w:hAnsi="Times New Roman" w:cs="Times New Roman"/>
          <w:sz w:val="24"/>
          <w:szCs w:val="24"/>
        </w:rPr>
        <w:t xml:space="preserve">Figure S1. Feature overview of ccRCC associated with VTT. (A) Anatomical diagram of patients with thrombus. </w:t>
      </w:r>
      <w:r>
        <w:rPr>
          <w:rFonts w:ascii="Times New Roman" w:hAnsi="Times New Roman" w:cs="Times New Roman"/>
          <w:sz w:val="24"/>
          <w:szCs w:val="24"/>
        </w:rPr>
        <w:t>(</w:t>
      </w:r>
      <w:r w:rsidRPr="00FB631E">
        <w:rPr>
          <w:rFonts w:ascii="Times New Roman" w:hAnsi="Times New Roman" w:cs="Times New Roman"/>
          <w:sz w:val="24"/>
          <w:szCs w:val="24"/>
        </w:rPr>
        <w:t xml:space="preserve">B and C) Three-dimensional partial least squares-discriminant analysis (PLS-DA) score plot </w:t>
      </w:r>
      <w:r w:rsidRPr="00FB631E">
        <w:rPr>
          <w:rFonts w:ascii="Times New Roman" w:hAnsi="Times New Roman" w:cs="Times New Roman" w:hint="eastAsia"/>
          <w:sz w:val="24"/>
          <w:szCs w:val="24"/>
        </w:rPr>
        <w:t>of</w:t>
      </w:r>
      <w:r w:rsidRPr="00FB631E">
        <w:rPr>
          <w:rFonts w:ascii="Times New Roman" w:hAnsi="Times New Roman" w:cs="Times New Roman"/>
          <w:sz w:val="24"/>
          <w:szCs w:val="24"/>
        </w:rPr>
        <w:t xml:space="preserve"> transcriptomic and proteomic data between individual samples.</w:t>
      </w:r>
    </w:p>
    <w:p w:rsidR="00CB3BBE" w:rsidRDefault="00CB3BBE" w:rsidP="00CB3BBE">
      <w:pPr>
        <w:spacing w:line="360" w:lineRule="auto"/>
        <w:rPr>
          <w:rFonts w:ascii="Times New Roman" w:hAnsi="Times New Roman" w:cs="Times New Roman"/>
          <w:color w:val="FF0000"/>
          <w:sz w:val="24"/>
          <w:szCs w:val="24"/>
        </w:rPr>
      </w:pPr>
    </w:p>
    <w:p w:rsidR="00CB3BBE" w:rsidRPr="00660CA5" w:rsidRDefault="00CB3BBE" w:rsidP="00CB3BBE">
      <w:pPr>
        <w:spacing w:line="360" w:lineRule="auto"/>
        <w:rPr>
          <w:rFonts w:ascii="Times New Roman" w:hAnsi="Times New Roman" w:cs="Times New Roman"/>
          <w:color w:val="FF0000"/>
          <w:sz w:val="24"/>
          <w:szCs w:val="24"/>
        </w:rPr>
      </w:pPr>
      <w:r>
        <w:rPr>
          <w:rFonts w:ascii="Times New Roman" w:hAnsi="Times New Roman" w:cs="Times New Roman"/>
          <w:noProof/>
          <w:color w:val="FF0000"/>
          <w:sz w:val="24"/>
          <w:szCs w:val="24"/>
        </w:rPr>
        <w:lastRenderedPageBreak/>
        <w:drawing>
          <wp:inline distT="0" distB="0" distL="0" distR="0">
            <wp:extent cx="5274945" cy="4646295"/>
            <wp:effectExtent l="0" t="0" r="1905" b="1905"/>
            <wp:docPr id="3" name="图片 3" descr="figu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S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945" cy="4646295"/>
                    </a:xfrm>
                    <a:prstGeom prst="rect">
                      <a:avLst/>
                    </a:prstGeom>
                    <a:noFill/>
                    <a:ln>
                      <a:noFill/>
                    </a:ln>
                  </pic:spPr>
                </pic:pic>
              </a:graphicData>
            </a:graphic>
          </wp:inline>
        </w:drawing>
      </w:r>
    </w:p>
    <w:p w:rsidR="00CB3BBE" w:rsidRPr="00682923" w:rsidRDefault="00CB3BBE" w:rsidP="00CB3BBE">
      <w:pPr>
        <w:spacing w:line="360" w:lineRule="auto"/>
        <w:rPr>
          <w:rFonts w:ascii="Times New Roman" w:hAnsi="Times New Roman" w:cs="Times New Roman"/>
          <w:sz w:val="24"/>
          <w:szCs w:val="24"/>
        </w:rPr>
      </w:pPr>
      <w:r w:rsidRPr="00682923">
        <w:rPr>
          <w:rFonts w:ascii="Times New Roman" w:hAnsi="Times New Roman" w:cs="Times New Roman"/>
          <w:sz w:val="24"/>
          <w:szCs w:val="24"/>
        </w:rPr>
        <w:t>Figure S2. GO analysis of the transcriptomic data. (A and B) The enriched functional annotation of significantly upregulated or downregulated genes in tumorigenesis. (C and D) The enriched functional annotation of significantly upregulated or downregulated genes in thrombus invasion.</w:t>
      </w:r>
    </w:p>
    <w:p w:rsidR="00CB3BBE" w:rsidRDefault="00CB3BBE" w:rsidP="00CB3BBE">
      <w:pPr>
        <w:spacing w:line="360" w:lineRule="auto"/>
        <w:rPr>
          <w:rFonts w:ascii="Times New Roman" w:hAnsi="Times New Roman" w:cs="Times New Roman"/>
          <w:color w:val="FF0000"/>
          <w:sz w:val="24"/>
          <w:szCs w:val="24"/>
        </w:rPr>
      </w:pPr>
    </w:p>
    <w:p w:rsidR="00CB3BBE" w:rsidRPr="00DA21E7" w:rsidRDefault="00CB3BBE" w:rsidP="00CB3BBE">
      <w:pPr>
        <w:spacing w:line="360" w:lineRule="auto"/>
        <w:rPr>
          <w:rFonts w:ascii="Times New Roman" w:hAnsi="Times New Roman" w:cs="Times New Roman"/>
          <w:color w:val="FF0000"/>
          <w:sz w:val="24"/>
          <w:szCs w:val="24"/>
        </w:rPr>
      </w:pPr>
      <w:r>
        <w:rPr>
          <w:rFonts w:ascii="Times New Roman" w:hAnsi="Times New Roman" w:cs="Times New Roman"/>
          <w:noProof/>
          <w:color w:val="FF0000"/>
          <w:sz w:val="24"/>
          <w:szCs w:val="24"/>
        </w:rPr>
        <w:lastRenderedPageBreak/>
        <w:drawing>
          <wp:inline distT="0" distB="0" distL="0" distR="0">
            <wp:extent cx="5274945" cy="6052185"/>
            <wp:effectExtent l="0" t="0" r="1905" b="5715"/>
            <wp:docPr id="2" name="图片 2" descr="figure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S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945" cy="6052185"/>
                    </a:xfrm>
                    <a:prstGeom prst="rect">
                      <a:avLst/>
                    </a:prstGeom>
                    <a:noFill/>
                    <a:ln>
                      <a:noFill/>
                    </a:ln>
                  </pic:spPr>
                </pic:pic>
              </a:graphicData>
            </a:graphic>
          </wp:inline>
        </w:drawing>
      </w:r>
    </w:p>
    <w:p w:rsidR="00CB3BBE" w:rsidRDefault="00CB3BBE" w:rsidP="00CB3BBE">
      <w:pPr>
        <w:spacing w:line="360" w:lineRule="auto"/>
        <w:rPr>
          <w:rFonts w:ascii="Times New Roman" w:hAnsi="Times New Roman" w:cs="Times New Roman"/>
          <w:sz w:val="24"/>
          <w:szCs w:val="24"/>
        </w:rPr>
      </w:pPr>
      <w:r w:rsidRPr="003475F3">
        <w:rPr>
          <w:rFonts w:ascii="Times New Roman" w:hAnsi="Times New Roman" w:cs="Times New Roman"/>
          <w:sz w:val="24"/>
          <w:szCs w:val="24"/>
        </w:rPr>
        <w:t>Figure S3. Transcription factor analysis of the transcriptomic data. (A and B) The transcription factors significantly upregulated or downregulated in tumorigenesis. (C and D) The transcription factors significantly upregulated or downregulated in thrombus invasion.</w:t>
      </w:r>
      <w:r>
        <w:rPr>
          <w:rFonts w:ascii="Times New Roman" w:hAnsi="Times New Roman" w:cs="Times New Roman"/>
          <w:sz w:val="24"/>
          <w:szCs w:val="24"/>
        </w:rPr>
        <w:t xml:space="preserve"> </w:t>
      </w:r>
      <w:r w:rsidRPr="00502FEB">
        <w:rPr>
          <w:rFonts w:ascii="Times New Roman" w:hAnsi="Times New Roman" w:cs="Times New Roman"/>
          <w:sz w:val="24"/>
          <w:szCs w:val="24"/>
        </w:rPr>
        <w:t>(</w:t>
      </w:r>
      <w:r>
        <w:rPr>
          <w:rFonts w:ascii="Times New Roman" w:hAnsi="Times New Roman" w:cs="Times New Roman"/>
          <w:sz w:val="24"/>
          <w:szCs w:val="24"/>
        </w:rPr>
        <w:t>E</w:t>
      </w:r>
      <w:r w:rsidRPr="00502FEB">
        <w:rPr>
          <w:rFonts w:ascii="Times New Roman" w:hAnsi="Times New Roman" w:cs="Times New Roman"/>
          <w:sz w:val="24"/>
          <w:szCs w:val="24"/>
        </w:rPr>
        <w:t>)</w:t>
      </w:r>
      <w:r>
        <w:rPr>
          <w:rFonts w:ascii="Times New Roman" w:hAnsi="Times New Roman" w:cs="Times New Roman"/>
          <w:sz w:val="24"/>
          <w:szCs w:val="24"/>
        </w:rPr>
        <w:t xml:space="preserve"> </w:t>
      </w:r>
      <w:r w:rsidRPr="006816D3">
        <w:rPr>
          <w:rFonts w:ascii="Times New Roman" w:hAnsi="Times New Roman" w:cs="Times New Roman"/>
          <w:sz w:val="24"/>
          <w:szCs w:val="24"/>
        </w:rPr>
        <w:t xml:space="preserve">Venn diagram to illustrate </w:t>
      </w:r>
      <w:r>
        <w:rPr>
          <w:rFonts w:ascii="Times New Roman" w:hAnsi="Times New Roman" w:cs="Times New Roman"/>
          <w:sz w:val="24"/>
          <w:szCs w:val="24"/>
        </w:rPr>
        <w:t>the c</w:t>
      </w:r>
      <w:r w:rsidRPr="00017E9C">
        <w:rPr>
          <w:rFonts w:ascii="Times New Roman" w:hAnsi="Times New Roman" w:cs="Times New Roman"/>
          <w:sz w:val="24"/>
          <w:szCs w:val="24"/>
        </w:rPr>
        <w:t>onsistent</w:t>
      </w:r>
      <w:r>
        <w:rPr>
          <w:rFonts w:ascii="Times New Roman" w:hAnsi="Times New Roman" w:cs="Times New Roman"/>
          <w:sz w:val="24"/>
          <w:szCs w:val="24"/>
        </w:rPr>
        <w:t>ly</w:t>
      </w:r>
      <w:r w:rsidRPr="00502FEB">
        <w:rPr>
          <w:rFonts w:ascii="Times New Roman" w:hAnsi="Times New Roman" w:cs="Times New Roman"/>
          <w:sz w:val="24"/>
          <w:szCs w:val="24"/>
        </w:rPr>
        <w:t xml:space="preserve"> and</w:t>
      </w:r>
      <w:r>
        <w:rPr>
          <w:rFonts w:ascii="Times New Roman" w:hAnsi="Times New Roman" w:cs="Times New Roman"/>
          <w:sz w:val="24"/>
          <w:szCs w:val="24"/>
        </w:rPr>
        <w:t xml:space="preserve"> </w:t>
      </w:r>
      <w:r w:rsidRPr="00502FEB">
        <w:rPr>
          <w:rFonts w:ascii="Times New Roman" w:hAnsi="Times New Roman" w:cs="Times New Roman"/>
          <w:sz w:val="24"/>
          <w:szCs w:val="24"/>
        </w:rPr>
        <w:t xml:space="preserve">differentially expressed </w:t>
      </w:r>
      <w:r w:rsidRPr="003475F3">
        <w:rPr>
          <w:rFonts w:ascii="Times New Roman" w:hAnsi="Times New Roman" w:cs="Times New Roman"/>
          <w:sz w:val="24"/>
          <w:szCs w:val="24"/>
        </w:rPr>
        <w:t>transcription factors</w:t>
      </w:r>
      <w:r>
        <w:rPr>
          <w:rFonts w:ascii="Times New Roman" w:hAnsi="Times New Roman" w:cs="Times New Roman"/>
          <w:sz w:val="24"/>
          <w:szCs w:val="24"/>
        </w:rPr>
        <w:t xml:space="preserve"> </w:t>
      </w:r>
      <w:r w:rsidRPr="00682923">
        <w:rPr>
          <w:rFonts w:ascii="Times New Roman" w:hAnsi="Times New Roman" w:cs="Times New Roman"/>
          <w:sz w:val="24"/>
          <w:szCs w:val="24"/>
        </w:rPr>
        <w:t>in tumorigenesis</w:t>
      </w:r>
      <w:r>
        <w:rPr>
          <w:rFonts w:ascii="Times New Roman" w:hAnsi="Times New Roman" w:cs="Times New Roman"/>
          <w:sz w:val="24"/>
          <w:szCs w:val="24"/>
        </w:rPr>
        <w:t xml:space="preserve"> and</w:t>
      </w:r>
      <w:r w:rsidRPr="00E250A8">
        <w:rPr>
          <w:rFonts w:ascii="Times New Roman" w:hAnsi="Times New Roman" w:cs="Times New Roman"/>
          <w:sz w:val="24"/>
          <w:szCs w:val="24"/>
        </w:rPr>
        <w:t xml:space="preserve"> </w:t>
      </w:r>
      <w:r w:rsidRPr="003475F3">
        <w:rPr>
          <w:rFonts w:ascii="Times New Roman" w:hAnsi="Times New Roman" w:cs="Times New Roman"/>
          <w:sz w:val="24"/>
          <w:szCs w:val="24"/>
        </w:rPr>
        <w:t>thrombus invasion</w:t>
      </w:r>
      <w:r>
        <w:rPr>
          <w:rFonts w:ascii="Times New Roman" w:hAnsi="Times New Roman" w:cs="Times New Roman"/>
          <w:sz w:val="24"/>
          <w:szCs w:val="24"/>
        </w:rPr>
        <w:t>. (F)</w:t>
      </w:r>
      <w:r>
        <w:rPr>
          <w:rFonts w:ascii="Times New Roman" w:hAnsi="Times New Roman" w:cs="Times New Roman" w:hint="eastAsia"/>
          <w:sz w:val="24"/>
          <w:szCs w:val="24"/>
        </w:rPr>
        <w:t xml:space="preserve"> </w:t>
      </w:r>
      <w:r w:rsidR="00EE6F10">
        <w:rPr>
          <w:rFonts w:ascii="Times New Roman" w:hAnsi="Times New Roman" w:cs="Times New Roman"/>
          <w:sz w:val="24"/>
          <w:szCs w:val="24"/>
        </w:rPr>
        <w:t>E</w:t>
      </w:r>
      <w:r>
        <w:rPr>
          <w:rFonts w:ascii="Times New Roman" w:hAnsi="Times New Roman" w:cs="Times New Roman"/>
          <w:sz w:val="24"/>
          <w:szCs w:val="24"/>
        </w:rPr>
        <w:t xml:space="preserve">xpression </w:t>
      </w:r>
      <w:r w:rsidR="00EE6F10">
        <w:rPr>
          <w:rFonts w:ascii="Times New Roman" w:hAnsi="Times New Roman" w:cs="Times New Roman"/>
          <w:sz w:val="24"/>
          <w:szCs w:val="24"/>
        </w:rPr>
        <w:t xml:space="preserve">change </w:t>
      </w:r>
      <w:r w:rsidRPr="007F6DD6">
        <w:rPr>
          <w:rFonts w:ascii="Times New Roman" w:hAnsi="Times New Roman" w:cs="Times New Roman"/>
          <w:sz w:val="24"/>
          <w:szCs w:val="24"/>
        </w:rPr>
        <w:t xml:space="preserve">trends of the </w:t>
      </w:r>
      <w:r w:rsidRPr="00732FB0">
        <w:rPr>
          <w:rFonts w:ascii="Times New Roman" w:hAnsi="Times New Roman" w:cs="Times New Roman" w:hint="eastAsia"/>
          <w:sz w:val="24"/>
          <w:szCs w:val="24"/>
        </w:rPr>
        <w:t>s</w:t>
      </w:r>
      <w:r w:rsidRPr="00732FB0">
        <w:rPr>
          <w:rFonts w:ascii="Times New Roman" w:hAnsi="Times New Roman" w:cs="Times New Roman"/>
          <w:sz w:val="24"/>
          <w:szCs w:val="24"/>
        </w:rPr>
        <w:t xml:space="preserve">ix </w:t>
      </w:r>
      <w:r w:rsidRPr="003475F3">
        <w:rPr>
          <w:rFonts w:ascii="Times New Roman" w:hAnsi="Times New Roman" w:cs="Times New Roman"/>
          <w:sz w:val="24"/>
          <w:szCs w:val="24"/>
        </w:rPr>
        <w:t>transcription factors</w:t>
      </w:r>
      <w:r w:rsidRPr="007F6DD6">
        <w:rPr>
          <w:rFonts w:ascii="Times New Roman" w:hAnsi="Times New Roman" w:cs="Times New Roman"/>
          <w:sz w:val="24"/>
          <w:szCs w:val="24"/>
        </w:rPr>
        <w:t xml:space="preserve"> among normal, tumor and thrombus tissue.</w:t>
      </w:r>
    </w:p>
    <w:p w:rsidR="00CB3BBE" w:rsidRDefault="00CB3BBE" w:rsidP="00CB3BBE">
      <w:pPr>
        <w:spacing w:line="360" w:lineRule="auto"/>
        <w:rPr>
          <w:rFonts w:ascii="Times New Roman" w:hAnsi="Times New Roman" w:cs="Times New Roman"/>
          <w:color w:val="FF0000"/>
          <w:sz w:val="24"/>
          <w:szCs w:val="24"/>
        </w:rPr>
      </w:pPr>
    </w:p>
    <w:p w:rsidR="00CB3BBE" w:rsidRPr="00DA21E7" w:rsidRDefault="00CB3BBE" w:rsidP="00CB3BBE">
      <w:pPr>
        <w:spacing w:line="360" w:lineRule="auto"/>
        <w:rPr>
          <w:rFonts w:ascii="Times New Roman" w:hAnsi="Times New Roman" w:cs="Times New Roman"/>
          <w:color w:val="FF0000"/>
          <w:sz w:val="24"/>
          <w:szCs w:val="24"/>
        </w:rPr>
      </w:pPr>
      <w:r>
        <w:rPr>
          <w:rFonts w:ascii="Times New Roman" w:hAnsi="Times New Roman" w:cs="Times New Roman"/>
          <w:noProof/>
          <w:color w:val="FF0000"/>
          <w:sz w:val="24"/>
          <w:szCs w:val="24"/>
        </w:rPr>
        <w:lastRenderedPageBreak/>
        <w:drawing>
          <wp:inline distT="0" distB="0" distL="0" distR="0">
            <wp:extent cx="5269865" cy="4857115"/>
            <wp:effectExtent l="0" t="0" r="6985" b="635"/>
            <wp:docPr id="1" name="图片 1" descr="figure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S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9865" cy="4857115"/>
                    </a:xfrm>
                    <a:prstGeom prst="rect">
                      <a:avLst/>
                    </a:prstGeom>
                    <a:noFill/>
                    <a:ln>
                      <a:noFill/>
                    </a:ln>
                  </pic:spPr>
                </pic:pic>
              </a:graphicData>
            </a:graphic>
          </wp:inline>
        </w:drawing>
      </w:r>
    </w:p>
    <w:p w:rsidR="00CB3BBE" w:rsidRPr="00682923" w:rsidRDefault="00CB3BBE" w:rsidP="00CB3BBE">
      <w:pPr>
        <w:spacing w:line="360" w:lineRule="auto"/>
        <w:rPr>
          <w:rFonts w:ascii="Times New Roman" w:hAnsi="Times New Roman" w:cs="Times New Roman"/>
          <w:sz w:val="24"/>
          <w:szCs w:val="24"/>
        </w:rPr>
      </w:pPr>
      <w:r w:rsidRPr="00682923">
        <w:rPr>
          <w:rFonts w:ascii="Times New Roman" w:hAnsi="Times New Roman" w:cs="Times New Roman"/>
          <w:sz w:val="24"/>
          <w:szCs w:val="24"/>
        </w:rPr>
        <w:t>Figure S4. GO analysis of the proteomic data. (A and B) The enriched functional annotation of significantly upregulated or downregulated proteins in tumorigenesis. (C and D) The enriched functional annotation of significantly upregulated or downregulated proteins in thrombus invasion.</w:t>
      </w:r>
    </w:p>
    <w:p w:rsidR="00CB3BBE" w:rsidRDefault="00CB3BBE" w:rsidP="000B18DA">
      <w:pPr>
        <w:spacing w:line="360" w:lineRule="auto"/>
      </w:pPr>
    </w:p>
    <w:p w:rsidR="00C106AC" w:rsidRDefault="00C106AC" w:rsidP="00C106AC">
      <w:pPr>
        <w:spacing w:line="360" w:lineRule="auto"/>
        <w:rPr>
          <w:rFonts w:ascii="Times New Roman" w:hAnsi="Times New Roman" w:cs="Times New Roman"/>
          <w:color w:val="FF0000"/>
          <w:sz w:val="24"/>
          <w:szCs w:val="24"/>
        </w:rPr>
      </w:pPr>
    </w:p>
    <w:p w:rsidR="00C106AC" w:rsidRPr="00DA21E7" w:rsidRDefault="00C106AC" w:rsidP="00C106AC">
      <w:pPr>
        <w:spacing w:line="360" w:lineRule="auto"/>
        <w:rPr>
          <w:rFonts w:ascii="Times New Roman" w:hAnsi="Times New Roman" w:cs="Times New Roman"/>
          <w:color w:val="FF0000"/>
          <w:sz w:val="24"/>
          <w:szCs w:val="24"/>
        </w:rPr>
      </w:pPr>
      <w:r>
        <w:rPr>
          <w:rFonts w:ascii="Times New Roman" w:hAnsi="Times New Roman" w:cs="Times New Roman"/>
          <w:noProof/>
          <w:color w:val="FF0000"/>
          <w:sz w:val="24"/>
          <w:szCs w:val="24"/>
        </w:rPr>
        <w:lastRenderedPageBreak/>
        <w:drawing>
          <wp:inline distT="0" distB="0" distL="0" distR="0">
            <wp:extent cx="5274945" cy="5365115"/>
            <wp:effectExtent l="0" t="0" r="1905" b="6985"/>
            <wp:docPr id="6" name="图片 6" descr="figure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ureS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945" cy="5365115"/>
                    </a:xfrm>
                    <a:prstGeom prst="rect">
                      <a:avLst/>
                    </a:prstGeom>
                    <a:noFill/>
                    <a:ln>
                      <a:noFill/>
                    </a:ln>
                  </pic:spPr>
                </pic:pic>
              </a:graphicData>
            </a:graphic>
          </wp:inline>
        </w:drawing>
      </w:r>
    </w:p>
    <w:p w:rsidR="00C106AC" w:rsidRPr="00C62E65" w:rsidRDefault="00C106AC" w:rsidP="00C106AC">
      <w:pPr>
        <w:spacing w:line="360" w:lineRule="auto"/>
        <w:rPr>
          <w:rFonts w:ascii="Times New Roman" w:hAnsi="Times New Roman" w:cs="Times New Roman"/>
          <w:sz w:val="24"/>
          <w:szCs w:val="24"/>
        </w:rPr>
      </w:pPr>
      <w:r w:rsidRPr="00C62E65">
        <w:rPr>
          <w:rFonts w:ascii="Times New Roman" w:hAnsi="Times New Roman" w:cs="Times New Roman"/>
          <w:sz w:val="24"/>
          <w:szCs w:val="24"/>
        </w:rPr>
        <w:t>Figure S5. Protein-protein interaction network analysis of the proteomic data. (A and B) The densely connected network constructed with the upregulated or downregulated proteins in tumorigenesis. (C and D) The densely connected network constructed with the upregulated or downregulated proteins in thrombus invasion.</w:t>
      </w:r>
    </w:p>
    <w:p w:rsidR="00C106AC" w:rsidRDefault="00C106AC" w:rsidP="00C106AC">
      <w:pPr>
        <w:spacing w:line="360" w:lineRule="auto"/>
        <w:rPr>
          <w:rFonts w:ascii="Times New Roman" w:hAnsi="Times New Roman" w:cs="Times New Roman"/>
          <w:color w:val="FF0000"/>
          <w:sz w:val="24"/>
          <w:szCs w:val="24"/>
        </w:rPr>
      </w:pPr>
    </w:p>
    <w:p w:rsidR="00C106AC" w:rsidRPr="00DA21E7" w:rsidRDefault="00C106AC" w:rsidP="00C106AC">
      <w:pPr>
        <w:spacing w:line="360" w:lineRule="auto"/>
        <w:rPr>
          <w:rFonts w:ascii="Times New Roman" w:hAnsi="Times New Roman" w:cs="Times New Roman"/>
          <w:color w:val="FF0000"/>
          <w:sz w:val="24"/>
          <w:szCs w:val="24"/>
        </w:rPr>
      </w:pPr>
      <w:r>
        <w:rPr>
          <w:rFonts w:ascii="Times New Roman" w:hAnsi="Times New Roman" w:cs="Times New Roman"/>
          <w:noProof/>
          <w:color w:val="FF0000"/>
          <w:sz w:val="24"/>
          <w:szCs w:val="24"/>
        </w:rPr>
        <w:lastRenderedPageBreak/>
        <w:drawing>
          <wp:inline distT="0" distB="0" distL="0" distR="0">
            <wp:extent cx="5274945" cy="5840730"/>
            <wp:effectExtent l="0" t="0" r="1905" b="7620"/>
            <wp:docPr id="5" name="图片 5" descr="figure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S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945" cy="5840730"/>
                    </a:xfrm>
                    <a:prstGeom prst="rect">
                      <a:avLst/>
                    </a:prstGeom>
                    <a:noFill/>
                    <a:ln>
                      <a:noFill/>
                    </a:ln>
                  </pic:spPr>
                </pic:pic>
              </a:graphicData>
            </a:graphic>
          </wp:inline>
        </w:drawing>
      </w:r>
    </w:p>
    <w:p w:rsidR="00C106AC" w:rsidRDefault="00C106AC" w:rsidP="00C106AC">
      <w:pPr>
        <w:spacing w:line="360" w:lineRule="auto"/>
        <w:rPr>
          <w:rFonts w:ascii="Times New Roman" w:hAnsi="Times New Roman" w:cs="Times New Roman"/>
          <w:sz w:val="24"/>
          <w:szCs w:val="24"/>
        </w:rPr>
      </w:pPr>
      <w:r w:rsidRPr="00584708">
        <w:rPr>
          <w:rFonts w:ascii="Times New Roman" w:hAnsi="Times New Roman" w:cs="Times New Roman"/>
          <w:sz w:val="24"/>
          <w:szCs w:val="24"/>
        </w:rPr>
        <w:t>Figure S6. The thrombus-associated gene signature and prognostic classifier. (A)</w:t>
      </w:r>
      <w:r w:rsidRPr="00584708">
        <w:t xml:space="preserve"> </w:t>
      </w:r>
      <w:r w:rsidRPr="00584708">
        <w:rPr>
          <w:rFonts w:ascii="Times New Roman" w:hAnsi="Times New Roman" w:cs="Times New Roman"/>
          <w:sz w:val="24"/>
          <w:szCs w:val="24"/>
        </w:rPr>
        <w:t>Distribution</w:t>
      </w:r>
      <w:r w:rsidRPr="00584708">
        <w:rPr>
          <w:rFonts w:ascii="Times New Roman" w:hAnsi="Times New Roman" w:cs="Times New Roman" w:hint="eastAsia"/>
          <w:sz w:val="24"/>
          <w:szCs w:val="24"/>
        </w:rPr>
        <w:t>s</w:t>
      </w:r>
      <w:r w:rsidRPr="00584708">
        <w:rPr>
          <w:rFonts w:ascii="Times New Roman" w:hAnsi="Times New Roman" w:cs="Times New Roman"/>
          <w:sz w:val="24"/>
          <w:szCs w:val="24"/>
        </w:rPr>
        <w:t xml:space="preserve"> of risk score and expression profile of the genes in prognostic classifier in patients with different survival time and status. (B) Forest plot of hazard ratios for the genes in prognostic classifier.</w:t>
      </w:r>
    </w:p>
    <w:p w:rsidR="00C106AC" w:rsidRPr="00B83DD0" w:rsidRDefault="00C106AC" w:rsidP="00C106AC">
      <w:pPr>
        <w:spacing w:line="360" w:lineRule="auto"/>
        <w:rPr>
          <w:rFonts w:ascii="Times New Roman" w:hAnsi="Times New Roman" w:cs="Times New Roman"/>
          <w:sz w:val="24"/>
          <w:szCs w:val="24"/>
        </w:rPr>
      </w:pPr>
    </w:p>
    <w:p w:rsidR="00C106AC" w:rsidRPr="00C106AC" w:rsidRDefault="00C106AC" w:rsidP="000B18DA">
      <w:pPr>
        <w:spacing w:line="360" w:lineRule="auto"/>
      </w:pPr>
    </w:p>
    <w:sectPr w:rsidR="00C106AC" w:rsidRPr="00C106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62F" w:rsidRDefault="003A362F" w:rsidP="00D704E6">
      <w:r>
        <w:separator/>
      </w:r>
    </w:p>
  </w:endnote>
  <w:endnote w:type="continuationSeparator" w:id="0">
    <w:p w:rsidR="003A362F" w:rsidRDefault="003A362F" w:rsidP="00D70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62F" w:rsidRDefault="003A362F" w:rsidP="00D704E6">
      <w:r>
        <w:separator/>
      </w:r>
    </w:p>
  </w:footnote>
  <w:footnote w:type="continuationSeparator" w:id="0">
    <w:p w:rsidR="003A362F" w:rsidRDefault="003A362F" w:rsidP="00D704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6D8"/>
    <w:rsid w:val="000B18DA"/>
    <w:rsid w:val="00292E49"/>
    <w:rsid w:val="002A06D8"/>
    <w:rsid w:val="002E5A83"/>
    <w:rsid w:val="003A362F"/>
    <w:rsid w:val="005D6404"/>
    <w:rsid w:val="00606AE1"/>
    <w:rsid w:val="00617432"/>
    <w:rsid w:val="00796603"/>
    <w:rsid w:val="00874D01"/>
    <w:rsid w:val="00937E09"/>
    <w:rsid w:val="00997857"/>
    <w:rsid w:val="009D3AB3"/>
    <w:rsid w:val="00C03125"/>
    <w:rsid w:val="00C106AC"/>
    <w:rsid w:val="00C21D08"/>
    <w:rsid w:val="00C3682C"/>
    <w:rsid w:val="00C57FE7"/>
    <w:rsid w:val="00CB3BBE"/>
    <w:rsid w:val="00CE7E4A"/>
    <w:rsid w:val="00D24771"/>
    <w:rsid w:val="00D704E6"/>
    <w:rsid w:val="00DB6567"/>
    <w:rsid w:val="00DE5DC4"/>
    <w:rsid w:val="00E01456"/>
    <w:rsid w:val="00E93222"/>
    <w:rsid w:val="00EE6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2CA8A1A-E739-45AB-91BD-3BD43B856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04E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704E6"/>
    <w:rPr>
      <w:sz w:val="18"/>
      <w:szCs w:val="18"/>
    </w:rPr>
  </w:style>
  <w:style w:type="paragraph" w:styleId="a5">
    <w:name w:val="footer"/>
    <w:basedOn w:val="a"/>
    <w:link w:val="a6"/>
    <w:uiPriority w:val="99"/>
    <w:unhideWhenUsed/>
    <w:rsid w:val="00D704E6"/>
    <w:pPr>
      <w:tabs>
        <w:tab w:val="center" w:pos="4153"/>
        <w:tab w:val="right" w:pos="8306"/>
      </w:tabs>
      <w:snapToGrid w:val="0"/>
      <w:jc w:val="left"/>
    </w:pPr>
    <w:rPr>
      <w:sz w:val="18"/>
      <w:szCs w:val="18"/>
    </w:rPr>
  </w:style>
  <w:style w:type="character" w:customStyle="1" w:styleId="a6">
    <w:name w:val="页脚 字符"/>
    <w:basedOn w:val="a0"/>
    <w:link w:val="a5"/>
    <w:uiPriority w:val="99"/>
    <w:rsid w:val="00D704E6"/>
    <w:rPr>
      <w:sz w:val="18"/>
      <w:szCs w:val="18"/>
    </w:rPr>
  </w:style>
  <w:style w:type="character" w:styleId="a7">
    <w:name w:val="annotation reference"/>
    <w:basedOn w:val="a0"/>
    <w:uiPriority w:val="99"/>
    <w:semiHidden/>
    <w:unhideWhenUsed/>
    <w:rsid w:val="002E5A83"/>
    <w:rPr>
      <w:sz w:val="21"/>
      <w:szCs w:val="21"/>
    </w:rPr>
  </w:style>
  <w:style w:type="paragraph" w:styleId="a8">
    <w:name w:val="annotation text"/>
    <w:basedOn w:val="a"/>
    <w:link w:val="a9"/>
    <w:uiPriority w:val="99"/>
    <w:semiHidden/>
    <w:unhideWhenUsed/>
    <w:rsid w:val="002E5A83"/>
    <w:pPr>
      <w:jc w:val="left"/>
    </w:pPr>
  </w:style>
  <w:style w:type="character" w:customStyle="1" w:styleId="a9">
    <w:name w:val="批注文字 字符"/>
    <w:basedOn w:val="a0"/>
    <w:link w:val="a8"/>
    <w:uiPriority w:val="99"/>
    <w:semiHidden/>
    <w:rsid w:val="002E5A83"/>
  </w:style>
  <w:style w:type="paragraph" w:styleId="aa">
    <w:name w:val="Balloon Text"/>
    <w:basedOn w:val="a"/>
    <w:link w:val="ab"/>
    <w:uiPriority w:val="99"/>
    <w:semiHidden/>
    <w:unhideWhenUsed/>
    <w:rsid w:val="002E5A83"/>
    <w:rPr>
      <w:sz w:val="18"/>
      <w:szCs w:val="18"/>
    </w:rPr>
  </w:style>
  <w:style w:type="character" w:customStyle="1" w:styleId="ab">
    <w:name w:val="批注框文本 字符"/>
    <w:basedOn w:val="a0"/>
    <w:link w:val="aa"/>
    <w:uiPriority w:val="99"/>
    <w:semiHidden/>
    <w:rsid w:val="002E5A8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883</Words>
  <Characters>5038</Characters>
  <Application>Microsoft Office Word</Application>
  <DocSecurity>0</DocSecurity>
  <Lines>41</Lines>
  <Paragraphs>11</Paragraphs>
  <ScaleCrop>false</ScaleCrop>
  <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 威</dc:creator>
  <cp:keywords/>
  <dc:description/>
  <cp:lastModifiedBy>张 威</cp:lastModifiedBy>
  <cp:revision>22</cp:revision>
  <dcterms:created xsi:type="dcterms:W3CDTF">2022-08-03T12:23:00Z</dcterms:created>
  <dcterms:modified xsi:type="dcterms:W3CDTF">2023-04-25T11:18:00Z</dcterms:modified>
</cp:coreProperties>
</file>