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F4D" w:rsidRPr="006A7E18" w:rsidRDefault="00D5246F">
      <w:pPr>
        <w:widowControl w:val="0"/>
        <w:spacing w:line="360" w:lineRule="auto"/>
        <w:jc w:val="both"/>
        <w:rPr>
          <w:rFonts w:ascii="Times New Roman" w:eastAsia="Times New Roman" w:hAnsi="Times New Roman" w:cs="Times New Roman"/>
          <w:sz w:val="28"/>
          <w:szCs w:val="28"/>
          <w:lang w:val="en-US"/>
        </w:rPr>
      </w:pPr>
      <w:r w:rsidRPr="006A7E18">
        <w:rPr>
          <w:rFonts w:ascii="Times New Roman" w:eastAsia="Times New Roman" w:hAnsi="Times New Roman" w:cs="Times New Roman"/>
          <w:sz w:val="28"/>
          <w:szCs w:val="28"/>
          <w:lang w:val="en-US"/>
        </w:rPr>
        <w:t xml:space="preserve">Supplementary information </w:t>
      </w:r>
    </w:p>
    <w:p w:rsidR="00122F4D" w:rsidRPr="006A7E18" w:rsidRDefault="00D5246F">
      <w:pPr>
        <w:pStyle w:val="Title"/>
        <w:spacing w:before="240" w:after="120"/>
        <w:jc w:val="both"/>
        <w:rPr>
          <w:rFonts w:ascii="Times New Roman" w:eastAsia="Times New Roman" w:hAnsi="Times New Roman" w:cs="Times New Roman"/>
          <w:b/>
          <w:sz w:val="24"/>
          <w:szCs w:val="24"/>
          <w:lang w:val="en-US"/>
        </w:rPr>
      </w:pPr>
      <w:bookmarkStart w:id="0" w:name="_heading=h.gjdgxs" w:colFirst="0" w:colLast="0"/>
      <w:bookmarkEnd w:id="0"/>
      <w:r w:rsidRPr="006A7E18">
        <w:rPr>
          <w:rFonts w:ascii="Times New Roman" w:eastAsia="Times New Roman" w:hAnsi="Times New Roman" w:cs="Times New Roman"/>
          <w:b/>
          <w:sz w:val="24"/>
          <w:szCs w:val="24"/>
          <w:lang w:val="en-US"/>
        </w:rPr>
        <w:t>Common juniper, an overlooked conifer with high invasion potential in protected areas of Patagonia</w:t>
      </w:r>
    </w:p>
    <w:p w:rsidR="00122F4D" w:rsidRPr="006A7E18" w:rsidRDefault="00D5246F">
      <w:pPr>
        <w:spacing w:before="240" w:after="120"/>
        <w:jc w:val="both"/>
        <w:rPr>
          <w:rFonts w:ascii="Times New Roman" w:eastAsia="Times New Roman" w:hAnsi="Times New Roman" w:cs="Times New Roman"/>
          <w:vertAlign w:val="superscript"/>
          <w:lang w:val="en-US"/>
        </w:rPr>
      </w:pPr>
      <w:r w:rsidRPr="006A7E18">
        <w:rPr>
          <w:rFonts w:ascii="Times New Roman" w:eastAsia="Times New Roman" w:hAnsi="Times New Roman" w:cs="Times New Roman"/>
          <w:lang w:val="en-US"/>
        </w:rPr>
        <w:t>Jorgelina Franzese, Ramiro Rubén Ripa</w:t>
      </w:r>
    </w:p>
    <w:p w:rsidR="00122F4D" w:rsidRPr="006A7E18" w:rsidRDefault="00122F4D">
      <w:pPr>
        <w:spacing w:before="240" w:after="120"/>
        <w:jc w:val="both"/>
        <w:rPr>
          <w:rFonts w:ascii="Times New Roman" w:eastAsia="Times New Roman" w:hAnsi="Times New Roman" w:cs="Times New Roman"/>
          <w:vertAlign w:val="superscript"/>
          <w:lang w:val="en-US"/>
        </w:rPr>
      </w:pPr>
    </w:p>
    <w:p w:rsidR="00122F4D" w:rsidRPr="006A7E18" w:rsidRDefault="006A7E18">
      <w:pPr>
        <w:jc w:val="both"/>
        <w:rPr>
          <w:rFonts w:ascii="Times New Roman" w:eastAsia="Times New Roman" w:hAnsi="Times New Roman" w:cs="Times New Roman"/>
          <w:sz w:val="24"/>
          <w:szCs w:val="24"/>
          <w:lang w:val="en-US"/>
        </w:rPr>
      </w:pPr>
      <w:sdt>
        <w:sdtPr>
          <w:tag w:val="goog_rdk_0"/>
          <w:id w:val="-1755576357"/>
        </w:sdtPr>
        <w:sdtEndPr/>
        <w:sdtContent/>
      </w:sdt>
      <w:r w:rsidR="00D5246F" w:rsidRPr="006A7E18">
        <w:rPr>
          <w:rFonts w:ascii="Times New Roman" w:eastAsia="Times New Roman" w:hAnsi="Times New Roman" w:cs="Times New Roman"/>
          <w:b/>
          <w:sz w:val="24"/>
          <w:szCs w:val="24"/>
          <w:lang w:val="en-US"/>
        </w:rPr>
        <w:t>Table S1.</w:t>
      </w:r>
      <w:r w:rsidR="00D5246F" w:rsidRPr="006A7E18">
        <w:rPr>
          <w:rFonts w:ascii="Times New Roman" w:eastAsia="Times New Roman" w:hAnsi="Times New Roman" w:cs="Times New Roman"/>
          <w:sz w:val="24"/>
          <w:szCs w:val="24"/>
          <w:lang w:val="en-US"/>
        </w:rPr>
        <w:t xml:space="preserve"> Estimates of relative contributions of the environmental variables to the Maxent model. To determine the first estimate, in each iteration of the training algorithm the increase in regularized gain is added to the contribution of the corresponding variable, or subtracted from it if the change to the absolute value of lambda is negative. For the second estimate, for each environmental variable in turn, the values of that variable on training presence and background data are randomly permuted. The model is reevaluated on the permuted data, and the resulting drop in training AUC is shown in the table, normalized to percentages. </w:t>
      </w:r>
    </w:p>
    <w:p w:rsidR="00122F4D" w:rsidRPr="006A7E18" w:rsidRDefault="00122F4D">
      <w:pPr>
        <w:jc w:val="center"/>
        <w:rPr>
          <w:rFonts w:ascii="Times New Roman" w:eastAsia="Times New Roman" w:hAnsi="Times New Roman" w:cs="Times New Roman"/>
          <w:lang w:val="en-US"/>
        </w:rPr>
      </w:pPr>
    </w:p>
    <w:tbl>
      <w:tblPr>
        <w:tblStyle w:val="a0"/>
        <w:tblW w:w="89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15"/>
        <w:gridCol w:w="2580"/>
        <w:gridCol w:w="2760"/>
      </w:tblGrid>
      <w:tr w:rsidR="006A7E18" w:rsidRPr="006A7E18">
        <w:trPr>
          <w:trHeight w:val="445"/>
        </w:trPr>
        <w:tc>
          <w:tcPr>
            <w:tcW w:w="3615" w:type="dxa"/>
            <w:tcBorders>
              <w:top w:val="single" w:sz="4" w:space="0" w:color="000000"/>
              <w:bottom w:val="single" w:sz="8" w:space="0" w:color="000000"/>
            </w:tcBorders>
            <w:shd w:val="clear" w:color="auto" w:fill="F2F2F2"/>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b/>
              </w:rPr>
              <w:t>Variable</w:t>
            </w:r>
          </w:p>
        </w:tc>
        <w:tc>
          <w:tcPr>
            <w:tcW w:w="2580" w:type="dxa"/>
            <w:tcBorders>
              <w:top w:val="single" w:sz="4" w:space="0" w:color="000000"/>
              <w:bottom w:val="single" w:sz="8" w:space="0" w:color="000000"/>
            </w:tcBorders>
            <w:shd w:val="clear" w:color="auto" w:fill="F2F2F2"/>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b/>
              </w:rPr>
              <w:t>Percent contribution</w:t>
            </w:r>
          </w:p>
        </w:tc>
        <w:tc>
          <w:tcPr>
            <w:tcW w:w="2760" w:type="dxa"/>
            <w:tcBorders>
              <w:top w:val="single" w:sz="4" w:space="0" w:color="000000"/>
              <w:bottom w:val="single" w:sz="8" w:space="0" w:color="000000"/>
            </w:tcBorders>
            <w:shd w:val="clear" w:color="auto" w:fill="F2F2F2"/>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b/>
              </w:rPr>
              <w:t>Permutation importance</w:t>
            </w:r>
          </w:p>
        </w:tc>
      </w:tr>
      <w:tr w:rsidR="006A7E18" w:rsidRPr="006A7E18">
        <w:trPr>
          <w:trHeight w:val="415"/>
        </w:trPr>
        <w:tc>
          <w:tcPr>
            <w:tcW w:w="3615" w:type="dxa"/>
            <w:tcMar>
              <w:top w:w="20" w:type="dxa"/>
              <w:left w:w="20" w:type="dxa"/>
              <w:bottom w:w="100" w:type="dxa"/>
              <w:right w:w="20" w:type="dxa"/>
            </w:tcMar>
            <w:vAlign w:val="bottom"/>
          </w:tcPr>
          <w:p w:rsidR="00122F4D" w:rsidRPr="006A7E18" w:rsidRDefault="00D5246F">
            <w:pPr>
              <w:widowControl w:val="0"/>
              <w:pBdr>
                <w:top w:val="nil"/>
                <w:left w:val="nil"/>
                <w:bottom w:val="nil"/>
                <w:right w:val="nil"/>
                <w:between w:val="nil"/>
              </w:pBdr>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Mean Temperature of Warmest Quarter (bio 10)</w:t>
            </w:r>
          </w:p>
        </w:tc>
        <w:tc>
          <w:tcPr>
            <w:tcW w:w="2580" w:type="dxa"/>
            <w:tcMar>
              <w:top w:w="20" w:type="dxa"/>
              <w:left w:w="20" w:type="dxa"/>
              <w:bottom w:w="100" w:type="dxa"/>
              <w:right w:w="20" w:type="dxa"/>
            </w:tcMar>
            <w:vAlign w:val="bottom"/>
          </w:tcPr>
          <w:p w:rsidR="00122F4D" w:rsidRPr="006A7E18" w:rsidRDefault="00D5246F">
            <w:pPr>
              <w:widowControl w:val="0"/>
              <w:pBdr>
                <w:top w:val="nil"/>
                <w:left w:val="nil"/>
                <w:bottom w:val="nil"/>
                <w:right w:val="nil"/>
                <w:between w:val="nil"/>
              </w:pBdr>
              <w:jc w:val="center"/>
              <w:rPr>
                <w:rFonts w:ascii="Times New Roman" w:eastAsia="Times New Roman" w:hAnsi="Times New Roman" w:cs="Times New Roman"/>
              </w:rPr>
            </w:pPr>
            <w:r w:rsidRPr="006A7E18">
              <w:rPr>
                <w:rFonts w:ascii="Times New Roman" w:eastAsia="Times New Roman" w:hAnsi="Times New Roman" w:cs="Times New Roman"/>
              </w:rPr>
              <w:t>2.6</w:t>
            </w:r>
          </w:p>
        </w:tc>
        <w:tc>
          <w:tcPr>
            <w:tcW w:w="2760"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27.6</w:t>
            </w:r>
          </w:p>
        </w:tc>
      </w:tr>
      <w:tr w:rsidR="006A7E18" w:rsidRPr="006A7E18">
        <w:trPr>
          <w:trHeight w:val="415"/>
        </w:trPr>
        <w:tc>
          <w:tcPr>
            <w:tcW w:w="3615"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Mean Temperature of Coldest Quarter (bio 11)</w:t>
            </w:r>
          </w:p>
        </w:tc>
        <w:tc>
          <w:tcPr>
            <w:tcW w:w="2580"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31.9</w:t>
            </w:r>
          </w:p>
        </w:tc>
        <w:tc>
          <w:tcPr>
            <w:tcW w:w="2760"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57.7</w:t>
            </w:r>
          </w:p>
        </w:tc>
      </w:tr>
      <w:tr w:rsidR="006A7E18" w:rsidRPr="006A7E18">
        <w:trPr>
          <w:trHeight w:val="415"/>
        </w:trPr>
        <w:tc>
          <w:tcPr>
            <w:tcW w:w="3615"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 xml:space="preserve">Precipitation of Warmest Quarter </w:t>
            </w:r>
          </w:p>
          <w:p w:rsidR="00122F4D" w:rsidRPr="006A7E18" w:rsidRDefault="00D5246F">
            <w:pPr>
              <w:widowControl w:val="0"/>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(bio 18)</w:t>
            </w:r>
          </w:p>
        </w:tc>
        <w:tc>
          <w:tcPr>
            <w:tcW w:w="2580"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5.9</w:t>
            </w:r>
          </w:p>
        </w:tc>
        <w:tc>
          <w:tcPr>
            <w:tcW w:w="2760" w:type="dxa"/>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2.5</w:t>
            </w:r>
          </w:p>
        </w:tc>
      </w:tr>
      <w:tr w:rsidR="00122F4D" w:rsidRPr="006A7E18">
        <w:trPr>
          <w:trHeight w:val="445"/>
        </w:trPr>
        <w:tc>
          <w:tcPr>
            <w:tcW w:w="3615" w:type="dxa"/>
            <w:tcBorders>
              <w:bottom w:val="single" w:sz="8" w:space="0" w:color="000000"/>
            </w:tcBorders>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 xml:space="preserve">Precipitation of Coldest Quarter </w:t>
            </w:r>
          </w:p>
          <w:p w:rsidR="00122F4D" w:rsidRPr="006A7E18" w:rsidRDefault="00D5246F">
            <w:pPr>
              <w:widowControl w:val="0"/>
              <w:jc w:val="center"/>
              <w:rPr>
                <w:rFonts w:ascii="Times New Roman" w:eastAsia="Times New Roman" w:hAnsi="Times New Roman" w:cs="Times New Roman"/>
                <w:lang w:val="en-US"/>
              </w:rPr>
            </w:pPr>
            <w:r w:rsidRPr="006A7E18">
              <w:rPr>
                <w:rFonts w:ascii="Times New Roman" w:eastAsia="Times New Roman" w:hAnsi="Times New Roman" w:cs="Times New Roman"/>
                <w:lang w:val="en-US"/>
              </w:rPr>
              <w:t>(bio 19)</w:t>
            </w:r>
          </w:p>
        </w:tc>
        <w:tc>
          <w:tcPr>
            <w:tcW w:w="2580" w:type="dxa"/>
            <w:tcBorders>
              <w:bottom w:val="single" w:sz="8" w:space="0" w:color="000000"/>
            </w:tcBorders>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59.6</w:t>
            </w:r>
          </w:p>
        </w:tc>
        <w:tc>
          <w:tcPr>
            <w:tcW w:w="2760" w:type="dxa"/>
            <w:tcBorders>
              <w:bottom w:val="single" w:sz="8" w:space="0" w:color="000000"/>
            </w:tcBorders>
            <w:tcMar>
              <w:top w:w="20" w:type="dxa"/>
              <w:left w:w="20" w:type="dxa"/>
              <w:bottom w:w="100" w:type="dxa"/>
              <w:right w:w="20" w:type="dxa"/>
            </w:tcMar>
            <w:vAlign w:val="bottom"/>
          </w:tcPr>
          <w:p w:rsidR="00122F4D" w:rsidRPr="006A7E18" w:rsidRDefault="00D5246F">
            <w:pPr>
              <w:widowControl w:val="0"/>
              <w:jc w:val="center"/>
              <w:rPr>
                <w:rFonts w:ascii="Times New Roman" w:eastAsia="Times New Roman" w:hAnsi="Times New Roman" w:cs="Times New Roman"/>
              </w:rPr>
            </w:pPr>
            <w:r w:rsidRPr="006A7E18">
              <w:rPr>
                <w:rFonts w:ascii="Times New Roman" w:eastAsia="Times New Roman" w:hAnsi="Times New Roman" w:cs="Times New Roman"/>
              </w:rPr>
              <w:t>12.3</w:t>
            </w:r>
          </w:p>
        </w:tc>
      </w:tr>
    </w:tbl>
    <w:p w:rsidR="00122F4D" w:rsidRPr="006A7E18" w:rsidRDefault="00122F4D">
      <w:pPr>
        <w:jc w:val="center"/>
        <w:rPr>
          <w:rFonts w:ascii="Times New Roman" w:eastAsia="Times New Roman" w:hAnsi="Times New Roman" w:cs="Times New Roman"/>
        </w:rPr>
      </w:pPr>
    </w:p>
    <w:p w:rsidR="00122F4D" w:rsidRPr="006A7E18" w:rsidRDefault="00122F4D">
      <w:pPr>
        <w:jc w:val="both"/>
        <w:rPr>
          <w:rFonts w:ascii="Times New Roman" w:eastAsia="Times New Roman" w:hAnsi="Times New Roman" w:cs="Times New Roman"/>
          <w:sz w:val="24"/>
          <w:szCs w:val="24"/>
        </w:rPr>
      </w:pPr>
    </w:p>
    <w:p w:rsidR="00122F4D" w:rsidRPr="006A7E18" w:rsidRDefault="00D5246F">
      <w:pPr>
        <w:jc w:val="both"/>
        <w:rPr>
          <w:rFonts w:ascii="Times New Roman" w:eastAsia="Times New Roman" w:hAnsi="Times New Roman" w:cs="Times New Roman"/>
          <w:sz w:val="24"/>
          <w:szCs w:val="24"/>
          <w:lang w:val="en-US"/>
        </w:rPr>
      </w:pPr>
      <w:r w:rsidRPr="006A7E18">
        <w:rPr>
          <w:rFonts w:ascii="Times New Roman" w:eastAsia="Times New Roman" w:hAnsi="Times New Roman" w:cs="Times New Roman"/>
          <w:b/>
          <w:sz w:val="24"/>
          <w:szCs w:val="24"/>
          <w:lang w:val="en-US"/>
        </w:rPr>
        <w:t>Figure S1.</w:t>
      </w:r>
      <w:r w:rsidRPr="006A7E18">
        <w:rPr>
          <w:rFonts w:ascii="Times New Roman" w:eastAsia="Times New Roman" w:hAnsi="Times New Roman" w:cs="Times New Roman"/>
          <w:sz w:val="24"/>
          <w:szCs w:val="24"/>
          <w:lang w:val="en-US"/>
        </w:rPr>
        <w:t xml:space="preserve"> Response curves of how each environmental variable affects the Maxent prediction. (A) The curves show how the predicted probability of presence changes as each environmental variable is varied, keeping all other environmental variables at their average sample value. In other words, the curves show the marginal effect of changing exactly one variable, whereas the model may take advantage of sets of variables changing together. (B) Each curve represents a different model created using only the corresponding variable. These plots reflect the dependence of predicted suitability on both the selected variable and on dependencies induced by correlations between the selected variable and other variables. </w:t>
      </w:r>
    </w:p>
    <w:p w:rsidR="00122F4D" w:rsidRPr="006A7E18" w:rsidRDefault="00D5246F">
      <w:pPr>
        <w:jc w:val="both"/>
        <w:rPr>
          <w:rFonts w:ascii="Times New Roman" w:eastAsia="Times New Roman" w:hAnsi="Times New Roman" w:cs="Times New Roman"/>
        </w:rPr>
      </w:pPr>
      <w:r w:rsidRPr="006A7E18">
        <w:rPr>
          <w:rFonts w:ascii="Times New Roman" w:eastAsia="Times New Roman" w:hAnsi="Times New Roman" w:cs="Times New Roman"/>
          <w:noProof/>
          <w:lang w:val="en-IN" w:eastAsia="en-IN"/>
        </w:rPr>
        <w:drawing>
          <wp:inline distT="114300" distB="114300" distL="114300" distR="114300">
            <wp:extent cx="5510213" cy="774271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510213" cy="7742711"/>
                    </a:xfrm>
                    <a:prstGeom prst="rect">
                      <a:avLst/>
                    </a:prstGeom>
                    <a:ln/>
                  </pic:spPr>
                </pic:pic>
              </a:graphicData>
            </a:graphic>
          </wp:inline>
        </w:drawing>
      </w:r>
    </w:p>
    <w:p w:rsidR="00122F4D" w:rsidRPr="006A7E18" w:rsidRDefault="00122F4D">
      <w:pPr>
        <w:jc w:val="center"/>
        <w:rPr>
          <w:rFonts w:ascii="Times New Roman" w:eastAsia="Times New Roman" w:hAnsi="Times New Roman" w:cs="Times New Roman"/>
        </w:rPr>
      </w:pPr>
    </w:p>
    <w:p w:rsidR="00122F4D" w:rsidRPr="006A7E18" w:rsidRDefault="00122F4D">
      <w:pPr>
        <w:rPr>
          <w:rFonts w:ascii="Times New Roman" w:eastAsia="Times New Roman" w:hAnsi="Times New Roman" w:cs="Times New Roman"/>
          <w:sz w:val="24"/>
          <w:szCs w:val="24"/>
        </w:rPr>
      </w:pPr>
    </w:p>
    <w:p w:rsidR="00122F4D" w:rsidRPr="006A7E18" w:rsidRDefault="00D5246F">
      <w:pPr>
        <w:jc w:val="both"/>
        <w:rPr>
          <w:rFonts w:ascii="Times New Roman" w:eastAsia="Times New Roman" w:hAnsi="Times New Roman" w:cs="Times New Roman"/>
          <w:sz w:val="24"/>
          <w:szCs w:val="24"/>
          <w:lang w:val="en-US"/>
        </w:rPr>
      </w:pPr>
      <w:r w:rsidRPr="006A7E18">
        <w:rPr>
          <w:rFonts w:ascii="Times New Roman" w:eastAsia="Times New Roman" w:hAnsi="Times New Roman" w:cs="Times New Roman"/>
          <w:b/>
          <w:sz w:val="24"/>
          <w:szCs w:val="24"/>
          <w:lang w:val="en-US"/>
        </w:rPr>
        <w:t>Figure S2.</w:t>
      </w:r>
      <w:r w:rsidRPr="006A7E18">
        <w:rPr>
          <w:rFonts w:ascii="Times New Roman" w:eastAsia="Times New Roman" w:hAnsi="Times New Roman" w:cs="Times New Roman"/>
          <w:sz w:val="24"/>
          <w:szCs w:val="24"/>
          <w:lang w:val="en-US"/>
        </w:rPr>
        <w:t xml:space="preserve"> Jackknife test for the importance of each individual environmental variable in the development of the MaxEnt model relative to all the environmental variables (red bar) for each predictor variable alone (blue bars), and the drop in training gain when the variable is removed from the full model (light blue bars). </w:t>
      </w:r>
    </w:p>
    <w:p w:rsidR="00122F4D" w:rsidRPr="006A7E18" w:rsidRDefault="00D5246F">
      <w:pPr>
        <w:jc w:val="both"/>
        <w:rPr>
          <w:rFonts w:ascii="Times New Roman" w:eastAsia="Times New Roman" w:hAnsi="Times New Roman" w:cs="Times New Roman"/>
        </w:rPr>
      </w:pPr>
      <w:r w:rsidRPr="006A7E18">
        <w:rPr>
          <w:rFonts w:ascii="Times New Roman" w:eastAsia="Times New Roman" w:hAnsi="Times New Roman" w:cs="Times New Roman"/>
          <w:noProof/>
          <w:lang w:val="en-IN" w:eastAsia="en-IN"/>
        </w:rPr>
        <w:drawing>
          <wp:inline distT="114300" distB="114300" distL="114300" distR="114300">
            <wp:extent cx="5731200" cy="17145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1714500"/>
                    </a:xfrm>
                    <a:prstGeom prst="rect">
                      <a:avLst/>
                    </a:prstGeom>
                    <a:ln/>
                  </pic:spPr>
                </pic:pic>
              </a:graphicData>
            </a:graphic>
          </wp:inline>
        </w:drawing>
      </w:r>
    </w:p>
    <w:p w:rsidR="00122F4D" w:rsidRPr="006A7E18" w:rsidRDefault="00122F4D">
      <w:pPr>
        <w:widowControl w:val="0"/>
        <w:spacing w:line="360" w:lineRule="auto"/>
        <w:jc w:val="both"/>
        <w:rPr>
          <w:rFonts w:ascii="Times New Roman" w:eastAsia="Times New Roman" w:hAnsi="Times New Roman" w:cs="Times New Roman"/>
          <w:sz w:val="28"/>
          <w:szCs w:val="28"/>
        </w:rPr>
      </w:pPr>
    </w:p>
    <w:p w:rsidR="00122F4D" w:rsidRPr="006A7E18" w:rsidRDefault="006A7E18">
      <w:pPr>
        <w:jc w:val="both"/>
        <w:rPr>
          <w:rFonts w:ascii="Times New Roman" w:eastAsia="Times New Roman" w:hAnsi="Times New Roman" w:cs="Times New Roman"/>
          <w:sz w:val="24"/>
          <w:szCs w:val="24"/>
        </w:rPr>
      </w:pPr>
      <w:sdt>
        <w:sdtPr>
          <w:tag w:val="goog_rdk_1"/>
          <w:id w:val="1422760907"/>
        </w:sdtPr>
        <w:sdtEndPr/>
        <w:sdtContent/>
      </w:sdt>
      <w:r w:rsidR="00D5246F" w:rsidRPr="006A7E18">
        <w:rPr>
          <w:rFonts w:ascii="Times New Roman" w:eastAsia="Times New Roman" w:hAnsi="Times New Roman" w:cs="Times New Roman"/>
          <w:b/>
          <w:sz w:val="24"/>
          <w:szCs w:val="24"/>
          <w:lang w:val="en-US"/>
        </w:rPr>
        <w:t>Table S2.</w:t>
      </w:r>
      <w:r w:rsidR="00D5246F" w:rsidRPr="006A7E18">
        <w:rPr>
          <w:rFonts w:ascii="Times New Roman" w:eastAsia="Times New Roman" w:hAnsi="Times New Roman" w:cs="Times New Roman"/>
          <w:sz w:val="24"/>
          <w:szCs w:val="24"/>
          <w:lang w:val="en-US"/>
        </w:rPr>
        <w:t xml:space="preserve"> Occurrence localities registered for </w:t>
      </w:r>
      <w:r w:rsidR="00D5246F" w:rsidRPr="006A7E18">
        <w:rPr>
          <w:rFonts w:ascii="Times New Roman" w:eastAsia="Times New Roman" w:hAnsi="Times New Roman" w:cs="Times New Roman"/>
          <w:i/>
          <w:sz w:val="24"/>
          <w:szCs w:val="24"/>
          <w:lang w:val="en-US"/>
        </w:rPr>
        <w:t>J. communis</w:t>
      </w:r>
      <w:r w:rsidR="00D5246F" w:rsidRPr="006A7E18">
        <w:rPr>
          <w:rFonts w:ascii="Times New Roman" w:eastAsia="Times New Roman" w:hAnsi="Times New Roman" w:cs="Times New Roman"/>
          <w:sz w:val="24"/>
          <w:szCs w:val="24"/>
          <w:lang w:val="en-US"/>
        </w:rPr>
        <w:t xml:space="preserve"> in Patagonia. </w:t>
      </w:r>
      <w:r w:rsidR="00D5246F" w:rsidRPr="006A7E18">
        <w:rPr>
          <w:rFonts w:ascii="Times New Roman" w:eastAsia="Times New Roman" w:hAnsi="Times New Roman" w:cs="Times New Roman"/>
          <w:sz w:val="24"/>
          <w:szCs w:val="24"/>
        </w:rPr>
        <w:t xml:space="preserve">Records came from fieldwork, bibliography and Citizen Science. </w:t>
      </w:r>
    </w:p>
    <w:p w:rsidR="00122F4D" w:rsidRPr="006A7E18" w:rsidRDefault="00122F4D">
      <w:pPr>
        <w:jc w:val="both"/>
        <w:rPr>
          <w:rFonts w:ascii="Times New Roman" w:eastAsia="Times New Roman" w:hAnsi="Times New Roman" w:cs="Times New Roman"/>
          <w:sz w:val="24"/>
          <w:szCs w:val="24"/>
        </w:rPr>
      </w:pPr>
    </w:p>
    <w:tbl>
      <w:tblPr>
        <w:tblStyle w:val="a1"/>
        <w:tblW w:w="8080" w:type="dxa"/>
        <w:tblInd w:w="0" w:type="dxa"/>
        <w:tblLayout w:type="fixed"/>
        <w:tblLook w:val="0400" w:firstRow="0" w:lastRow="0" w:firstColumn="0" w:lastColumn="0" w:noHBand="0" w:noVBand="1"/>
      </w:tblPr>
      <w:tblGrid>
        <w:gridCol w:w="1701"/>
        <w:gridCol w:w="779"/>
        <w:gridCol w:w="1348"/>
        <w:gridCol w:w="1417"/>
        <w:gridCol w:w="2835"/>
      </w:tblGrid>
      <w:tr w:rsidR="006A7E18" w:rsidRPr="006A7E18">
        <w:trPr>
          <w:trHeight w:val="315"/>
        </w:trPr>
        <w:tc>
          <w:tcPr>
            <w:tcW w:w="1701" w:type="dxa"/>
            <w:tcBorders>
              <w:top w:val="single" w:sz="4" w:space="0" w:color="000000"/>
              <w:left w:val="nil"/>
              <w:bottom w:val="single" w:sz="4" w:space="0" w:color="000000"/>
              <w:right w:val="nil"/>
            </w:tcBorders>
            <w:shd w:val="clear" w:color="auto" w:fill="EDEDED"/>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Source</w:t>
            </w:r>
          </w:p>
        </w:tc>
        <w:tc>
          <w:tcPr>
            <w:tcW w:w="779" w:type="dxa"/>
            <w:tcBorders>
              <w:top w:val="single" w:sz="4" w:space="0" w:color="000000"/>
              <w:left w:val="nil"/>
              <w:bottom w:val="single" w:sz="4" w:space="0" w:color="000000"/>
              <w:right w:val="nil"/>
            </w:tcBorders>
            <w:shd w:val="clear" w:color="auto" w:fill="EDEDED"/>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Year</w:t>
            </w:r>
          </w:p>
        </w:tc>
        <w:tc>
          <w:tcPr>
            <w:tcW w:w="1348" w:type="dxa"/>
            <w:tcBorders>
              <w:top w:val="single" w:sz="4" w:space="0" w:color="000000"/>
              <w:left w:val="nil"/>
              <w:bottom w:val="single" w:sz="4" w:space="0" w:color="000000"/>
              <w:right w:val="nil"/>
            </w:tcBorders>
            <w:shd w:val="clear" w:color="auto" w:fill="EDEDED"/>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Latitude</w:t>
            </w:r>
          </w:p>
        </w:tc>
        <w:tc>
          <w:tcPr>
            <w:tcW w:w="1417" w:type="dxa"/>
            <w:tcBorders>
              <w:top w:val="single" w:sz="4" w:space="0" w:color="000000"/>
              <w:left w:val="nil"/>
              <w:bottom w:val="single" w:sz="4" w:space="0" w:color="000000"/>
              <w:right w:val="nil"/>
            </w:tcBorders>
            <w:shd w:val="clear" w:color="auto" w:fill="EDEDED"/>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Longitude</w:t>
            </w:r>
          </w:p>
        </w:tc>
        <w:tc>
          <w:tcPr>
            <w:tcW w:w="2835" w:type="dxa"/>
            <w:tcBorders>
              <w:top w:val="single" w:sz="4" w:space="0" w:color="000000"/>
              <w:left w:val="nil"/>
              <w:bottom w:val="single" w:sz="4" w:space="0" w:color="000000"/>
              <w:right w:val="nil"/>
            </w:tcBorders>
            <w:shd w:val="clear" w:color="auto" w:fill="EDEDED"/>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References</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-42.969869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-71.866667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2021</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-42.086006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-71.616667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-42.083333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-71.615087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-42.054614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-71.603306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-42.052052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-71.596649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-42.039868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-71.59655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-42.034525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-71.591053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-42.030287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-71.587249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-42.01976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-71.585373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-42.0061111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-71.582813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-42.006111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-71.577778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-41.9983333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-71.574284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-41.998318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-71.569927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-41.994385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-71.56958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-41.992682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-71.568771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-41.992225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-71.5666667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-41.9438418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-71.565532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-41.9314354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-71.5617052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-41.929463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-71.553775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-41.925492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-71.550114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-41.920512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-41.916465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-41.9146822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-41.913384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-41.9105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-41.388056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-71.545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-41.379316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-71.5440626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-41.371667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-71.541824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-41.3708333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-71.539986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-41.3621164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-71.539878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-41.354853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-71.5393451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-41.327466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-71.5383333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-41.177139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-71.538333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-41.174404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-71.53821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-41.1685556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-71.537025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-41.1621111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-71.535836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-41.162110</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-71.5347222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-41.157869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-71.534129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-41.1541389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-71.533875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-41.1510556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-71.5330876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-41.145124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-71.531313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-41.144775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-71.523919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-41.14455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-71.522442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-41.14145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-71.520231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-41.1413929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-71.5198639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-41.1401111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-71.519487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-41.13968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-71.519051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-41.139444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-71.518179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-41.1386944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-71.516643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-41.137196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-71.516643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-41.1370556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-71.5166389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-41.1368056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-71.5144444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-41.136055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-71.51423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-71.514028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-41.1357778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-71.507096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 xml:space="preserve">Citizen Science </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-41.1355556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-71.506819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2021</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-42.966813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-71.696306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Moguilevsky et al. 2021</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2015</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-42.916667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-71.692063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Blackhall et al. 2015</w:t>
            </w:r>
          </w:p>
        </w:tc>
      </w:tr>
      <w:tr w:rsidR="006A7E18" w:rsidRPr="006A7E18">
        <w:trPr>
          <w:trHeight w:val="300"/>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2015</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-42.892701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-71.691056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Iglesias 2014</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-42.82059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-71.661833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Toledo &amp; Kutschker 2012</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2009</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-42.719722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-71.656639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Rovere et al. 2009</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2015</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-42.510806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-71.631819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Blackhall et al. 2015</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-42.234883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-71.627326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Masciocchi et al. 2022</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2018</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-42.218983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-71.626339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Martín-Albarracín et al. 2018</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2017</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-42.216495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-71.624643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Stecconi et al. 2017</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2015</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-42.213741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-71.624232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Kutschker et al. 2015</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2014</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-42.199037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-71.618911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Relva &amp; Nuñez 2014</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2003</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-42.09488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-71.618562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Simberloff et al. 2003</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Literature</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2002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-42.093228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-71.617006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Simberloff et al. 2002</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-41.901386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-71.550</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-41.872617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-71.5497147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-41.872512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-71.548767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-41.1352822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-71.504169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-41.135282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-71.503987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-41.134972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-71.499001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-41.134966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-71.498368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-41.134335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-71.4933333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-41.133918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-71.491111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-41.1335924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-71.489984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-41.133215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-71.488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-41.132925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-71.486351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-41.131543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-71.484995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-41.1312222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-71.467637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-41.129476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-71.467637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-41.129134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-71.449596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-41.1276331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-71.44916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-41.1275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-71.44904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-41.1274844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-71.448984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-41.127265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-71.448304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-41.12575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-71.447996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-41.124952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-71.447745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-41.124627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-71.447569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-41.1246111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-71.446887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-41.124448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-71.446338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-41.1240912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-71.4452778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-41.1223889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-71.445272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-41.1221389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-71.445225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-41.122037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-71.4451151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-41.120907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-71.442465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-41.1206944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-71.4391414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-41.1205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-71.436164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-41.1199722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-71.434136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-41.119337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-71.433971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-41.119337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-71.4332222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-41.1193056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-71.433218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-41.1189064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-71.4308056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-41.118691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-71.4277222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-41.1183056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-71.4268611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-41.117655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-71.4264722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-41.1175556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-71.4263611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-41.117546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-71.42625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-41.117151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-71.4262222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-41.115322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-71.4260556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-41.11528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-71.4258489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-41.115221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-71.4258333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-41.115117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-71.4254722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-41.115064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-71.42547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-41.11501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-71.4249722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-41.1122243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-71.4245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-41.1063022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-71.422869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-41.105372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-71.4220556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-41.104119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-71.4220278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-41.102136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-71.42175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-41.101521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-71.419768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-41.099191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-71.419265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-41.097799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-71.4188814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-41.095873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-71.418608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-41.095649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-71.4182778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-41.093193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-71.4178593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-41.089636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-71.41743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-41.089062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-71.416524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-41.0888889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-71.415708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-41.087759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-71.4143611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-41.079202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-71.41425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-41.0788849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-71.4132222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-41.067303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-71.413095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-41.064561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-71.4126944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-41.059857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-71.4007222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-41.059307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-71.40065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-41.057716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-71.397063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-41.052981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-71.391396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-41.0517778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-71.387979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-71.387937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-41.047006</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-71.386575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-41.04672</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-71.385961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-41.046111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-71.385888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-41.045931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-71.379675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-41.043039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-71.377809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-41.0333333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-71.376993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-71.372108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-71.368611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-71.367981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-71.36706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-40.95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-71.366764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-40.832649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-71.3612622</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-40.781338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-71.358911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-40.779863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-71.3585267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-40.77968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-71.340217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-40.778487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-71.339294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-40.773997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-71.328054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-40.773261</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-71.328054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-40.765397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-71.315968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-40.691807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-71.3152601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-40.689278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-71.315227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-40.686399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-71.31</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-40.68525</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-71.269036</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-40.665297</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-71.255957</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-40.662054</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-71.229323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-40.661753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-71.218343</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-40.661723</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-71.188419</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-40.661298</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-71.149318</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-40.657519</w:t>
            </w:r>
          </w:p>
        </w:tc>
        <w:tc>
          <w:tcPr>
            <w:tcW w:w="1417" w:type="dxa"/>
            <w:tcBorders>
              <w:top w:val="nil"/>
              <w:left w:val="nil"/>
              <w:bottom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-71.148624</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6A7E18" w:rsidRPr="006A7E18">
        <w:trPr>
          <w:trHeight w:val="315"/>
        </w:trPr>
        <w:tc>
          <w:tcPr>
            <w:tcW w:w="1701" w:type="dxa"/>
            <w:tcBorders>
              <w:top w:val="nil"/>
              <w:left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-40.633667</w:t>
            </w:r>
          </w:p>
        </w:tc>
        <w:tc>
          <w:tcPr>
            <w:tcW w:w="1417" w:type="dxa"/>
            <w:tcBorders>
              <w:top w:val="nil"/>
              <w:left w:val="nil"/>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-71.147295</w:t>
            </w:r>
          </w:p>
        </w:tc>
        <w:tc>
          <w:tcPr>
            <w:tcW w:w="2835" w:type="dxa"/>
            <w:tcBorders>
              <w:top w:val="nil"/>
              <w:left w:val="nil"/>
              <w:bottom w:val="nil"/>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r w:rsidR="00122F4D" w:rsidRPr="006A7E18">
        <w:trPr>
          <w:trHeight w:val="315"/>
        </w:trPr>
        <w:tc>
          <w:tcPr>
            <w:tcW w:w="1701" w:type="dxa"/>
            <w:tcBorders>
              <w:top w:val="nil"/>
              <w:left w:val="nil"/>
              <w:bottom w:val="single" w:sz="4" w:space="0" w:color="000000"/>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Sampled</w:t>
            </w:r>
          </w:p>
        </w:tc>
        <w:tc>
          <w:tcPr>
            <w:tcW w:w="779" w:type="dxa"/>
            <w:tcBorders>
              <w:top w:val="nil"/>
              <w:left w:val="nil"/>
              <w:bottom w:val="single" w:sz="4" w:space="0" w:color="000000"/>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2022</w:t>
            </w:r>
          </w:p>
        </w:tc>
        <w:tc>
          <w:tcPr>
            <w:tcW w:w="1348" w:type="dxa"/>
            <w:tcBorders>
              <w:top w:val="nil"/>
              <w:left w:val="nil"/>
              <w:bottom w:val="single" w:sz="4" w:space="0" w:color="000000"/>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-40.627639</w:t>
            </w:r>
          </w:p>
        </w:tc>
        <w:tc>
          <w:tcPr>
            <w:tcW w:w="1417" w:type="dxa"/>
            <w:tcBorders>
              <w:top w:val="nil"/>
              <w:left w:val="nil"/>
              <w:bottom w:val="single" w:sz="4" w:space="0" w:color="000000"/>
              <w:right w:val="nil"/>
            </w:tcBorders>
            <w:shd w:val="clear" w:color="auto" w:fill="auto"/>
            <w:vAlign w:val="bottom"/>
          </w:tcPr>
          <w:p w:rsidR="00122F4D" w:rsidRPr="006A7E18" w:rsidRDefault="00D5246F">
            <w:pPr>
              <w:jc w:val="right"/>
              <w:rPr>
                <w:rFonts w:ascii="Times" w:eastAsia="Times" w:hAnsi="Times" w:cs="Times"/>
                <w:sz w:val="20"/>
                <w:szCs w:val="20"/>
              </w:rPr>
            </w:pPr>
            <w:r w:rsidRPr="006A7E18">
              <w:rPr>
                <w:rFonts w:ascii="Times" w:eastAsia="Times" w:hAnsi="Times" w:cs="Times"/>
                <w:sz w:val="20"/>
                <w:szCs w:val="20"/>
              </w:rPr>
              <w:t>-71.651.563</w:t>
            </w:r>
          </w:p>
        </w:tc>
        <w:tc>
          <w:tcPr>
            <w:tcW w:w="2835" w:type="dxa"/>
            <w:tcBorders>
              <w:top w:val="nil"/>
              <w:left w:val="nil"/>
              <w:bottom w:val="single" w:sz="4" w:space="0" w:color="000000"/>
              <w:right w:val="nil"/>
            </w:tcBorders>
            <w:shd w:val="clear" w:color="auto" w:fill="auto"/>
            <w:vAlign w:val="bottom"/>
          </w:tcPr>
          <w:p w:rsidR="00122F4D" w:rsidRPr="006A7E18" w:rsidRDefault="00D5246F">
            <w:pPr>
              <w:rPr>
                <w:rFonts w:ascii="Times" w:eastAsia="Times" w:hAnsi="Times" w:cs="Times"/>
                <w:sz w:val="20"/>
                <w:szCs w:val="20"/>
              </w:rPr>
            </w:pPr>
            <w:r w:rsidRPr="006A7E18">
              <w:rPr>
                <w:rFonts w:ascii="Times" w:eastAsia="Times" w:hAnsi="Times" w:cs="Times"/>
                <w:sz w:val="20"/>
                <w:szCs w:val="20"/>
              </w:rPr>
              <w:t>This work.</w:t>
            </w:r>
          </w:p>
        </w:tc>
      </w:tr>
    </w:tbl>
    <w:p w:rsidR="00D5246F" w:rsidRPr="006A7E18" w:rsidRDefault="00D5246F">
      <w:pPr>
        <w:jc w:val="both"/>
        <w:rPr>
          <w:rFonts w:ascii="Times New Roman" w:eastAsia="Times New Roman" w:hAnsi="Times New Roman" w:cs="Times New Roman"/>
          <w:sz w:val="24"/>
          <w:szCs w:val="24"/>
        </w:rPr>
      </w:pPr>
    </w:p>
    <w:p w:rsidR="00122F4D" w:rsidRPr="006A7E18" w:rsidRDefault="000825AC">
      <w:pPr>
        <w:jc w:val="both"/>
        <w:rPr>
          <w:rFonts w:ascii="Times New Roman" w:eastAsia="Times New Roman" w:hAnsi="Times New Roman" w:cs="Times New Roman"/>
          <w:b/>
          <w:sz w:val="24"/>
          <w:szCs w:val="24"/>
          <w:lang w:val="es-AR"/>
        </w:rPr>
      </w:pPr>
      <w:r w:rsidRPr="006A7E18">
        <w:rPr>
          <w:rFonts w:ascii="Times New Roman" w:eastAsia="Times New Roman" w:hAnsi="Times New Roman" w:cs="Times New Roman"/>
          <w:b/>
          <w:sz w:val="24"/>
          <w:szCs w:val="24"/>
          <w:lang w:val="es-AR"/>
        </w:rPr>
        <w:t>Bibliography</w:t>
      </w:r>
    </w:p>
    <w:p w:rsidR="000825AC" w:rsidRPr="006A7E18" w:rsidRDefault="000825AC">
      <w:pPr>
        <w:jc w:val="both"/>
        <w:rPr>
          <w:rFonts w:ascii="Times New Roman" w:eastAsia="Times New Roman" w:hAnsi="Times New Roman" w:cs="Times New Roman"/>
          <w:sz w:val="24"/>
          <w:szCs w:val="24"/>
          <w:lang w:val="es-AR"/>
        </w:rPr>
      </w:pPr>
    </w:p>
    <w:p w:rsidR="00571859" w:rsidRPr="006A7E18" w:rsidRDefault="00571859" w:rsidP="00571859">
      <w:pPr>
        <w:shd w:val="clear" w:color="auto" w:fill="FFFFFF"/>
        <w:spacing w:line="360" w:lineRule="auto"/>
        <w:rPr>
          <w:rFonts w:ascii="Times New Roman" w:hAnsi="Times New Roman" w:cs="Times New Roman"/>
          <w:sz w:val="24"/>
          <w:szCs w:val="24"/>
        </w:rPr>
      </w:pPr>
      <w:r w:rsidRPr="006A7E18">
        <w:rPr>
          <w:rFonts w:ascii="Times New Roman" w:hAnsi="Times New Roman" w:cs="Times New Roman"/>
          <w:sz w:val="24"/>
          <w:szCs w:val="24"/>
          <w:lang w:val="es-AR"/>
        </w:rPr>
        <w:t xml:space="preserve">Blackhall, M., Raffaele, E. &amp; Veblen, T. T. Efectos combinados del fuego y el ganado en matorrales y bosques del noroeste patagónico. </w:t>
      </w:r>
      <w:r w:rsidRPr="006A7E18">
        <w:rPr>
          <w:rFonts w:ascii="Times New Roman" w:hAnsi="Times New Roman" w:cs="Times New Roman"/>
          <w:i/>
          <w:sz w:val="24"/>
          <w:szCs w:val="24"/>
        </w:rPr>
        <w:t>Ecol. Austral</w:t>
      </w:r>
      <w:r w:rsidRPr="006A7E18">
        <w:rPr>
          <w:rFonts w:ascii="Times New Roman" w:hAnsi="Times New Roman" w:cs="Times New Roman"/>
          <w:sz w:val="24"/>
          <w:szCs w:val="24"/>
        </w:rPr>
        <w:t xml:space="preserve"> </w:t>
      </w:r>
      <w:r w:rsidRPr="006A7E18">
        <w:rPr>
          <w:rFonts w:ascii="Times New Roman" w:hAnsi="Times New Roman" w:cs="Times New Roman"/>
          <w:b/>
          <w:sz w:val="24"/>
          <w:szCs w:val="24"/>
        </w:rPr>
        <w:t>25</w:t>
      </w:r>
      <w:r w:rsidRPr="006A7E18">
        <w:rPr>
          <w:rFonts w:ascii="Times New Roman" w:hAnsi="Times New Roman" w:cs="Times New Roman"/>
          <w:sz w:val="24"/>
          <w:szCs w:val="24"/>
        </w:rPr>
        <w:t>, 1–10 (2015).</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Brion, C</w:t>
      </w:r>
      <w:r w:rsidRPr="006A7E18">
        <w:rPr>
          <w:rFonts w:ascii="Times New Roman" w:hAnsi="Times New Roman" w:cs="Times New Roman"/>
          <w:i/>
          <w:sz w:val="24"/>
          <w:szCs w:val="24"/>
          <w:lang w:val="es-AR"/>
        </w:rPr>
        <w:t>. et al.</w:t>
      </w:r>
      <w:r w:rsidRPr="006A7E18">
        <w:rPr>
          <w:rFonts w:ascii="Times New Roman" w:hAnsi="Times New Roman" w:cs="Times New Roman"/>
          <w:sz w:val="24"/>
          <w:szCs w:val="24"/>
          <w:lang w:val="es-AR"/>
        </w:rPr>
        <w:t xml:space="preserve"> Actualización de los Planes de Manejo de los Parques Nacionales Lanín, Nahuel Huapi, Lago Puelo y Los Alerces: Flora (Plantas Vasculares) (2013).</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Dzendoletas, M. A., Cavallaro, S., Crivelli, E. &amp; Pereyra, F. Mapa de vegetación del ejido municipal de San Carlos de Bariloche y alrededores. Río Negro. Patagonia Argentina. </w:t>
      </w:r>
      <w:r w:rsidRPr="006A7E18">
        <w:rPr>
          <w:rFonts w:ascii="Times New Roman" w:hAnsi="Times New Roman" w:cs="Times New Roman"/>
          <w:i/>
          <w:sz w:val="24"/>
          <w:szCs w:val="24"/>
          <w:lang w:val="es-AR"/>
        </w:rPr>
        <w:t>Ecología</w:t>
      </w:r>
      <w:r w:rsidRPr="006A7E18">
        <w:rPr>
          <w:rFonts w:ascii="Times New Roman" w:hAnsi="Times New Roman" w:cs="Times New Roman"/>
          <w:sz w:val="24"/>
          <w:szCs w:val="24"/>
          <w:lang w:val="es-AR"/>
        </w:rPr>
        <w:t xml:space="preserve"> </w:t>
      </w:r>
      <w:r w:rsidRPr="006A7E18">
        <w:rPr>
          <w:rFonts w:ascii="Times New Roman" w:hAnsi="Times New Roman" w:cs="Times New Roman"/>
          <w:b/>
          <w:sz w:val="24"/>
          <w:szCs w:val="24"/>
          <w:lang w:val="es-AR"/>
        </w:rPr>
        <w:t>20</w:t>
      </w:r>
      <w:r w:rsidRPr="006A7E18">
        <w:rPr>
          <w:rFonts w:ascii="Times New Roman" w:hAnsi="Times New Roman" w:cs="Times New Roman"/>
          <w:sz w:val="24"/>
          <w:szCs w:val="24"/>
          <w:lang w:val="es-AR"/>
        </w:rPr>
        <w:t xml:space="preserve">, 65–88 (2006). </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Ezcurra, C. &amp; Brion, C. Plantas del Nahuel Huapi: Catálogo de la flora vascular del Parque Nacional Nahuel Huapi, Argentina. Universidad Nacional del Comahue; Red Latinoamericana de Botánica (2005).</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Guerra, P. E., González, S. B. &amp; Elbaum, J. H. Características botánicas y determinación de aceites esenciales en especies del género </w:t>
      </w:r>
      <w:r w:rsidRPr="006A7E18">
        <w:rPr>
          <w:rFonts w:ascii="Times New Roman" w:hAnsi="Times New Roman" w:cs="Times New Roman"/>
          <w:i/>
          <w:sz w:val="24"/>
          <w:szCs w:val="24"/>
          <w:lang w:val="es-AR"/>
        </w:rPr>
        <w:t>Juniperus</w:t>
      </w:r>
      <w:r w:rsidRPr="006A7E18">
        <w:rPr>
          <w:rFonts w:ascii="Times New Roman" w:hAnsi="Times New Roman" w:cs="Times New Roman"/>
          <w:sz w:val="24"/>
          <w:szCs w:val="24"/>
          <w:lang w:val="es-AR"/>
        </w:rPr>
        <w:t xml:space="preserve"> (Cupressaceae), cultivadas en el oeste del Chubut. CIEFAP-UNPSJB. Publicación Técnica N° 33. ISSN 1514-2264 (2008).</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Iglesias, A. L. Dinámica de invasión de plantas con frutos carnosos dispersadas por aves en el noroeste de la Patagonia. </w:t>
      </w:r>
      <w:hyperlink r:id="rId8" w:history="1">
        <w:r w:rsidRPr="006A7E18">
          <w:rPr>
            <w:rFonts w:ascii="Times New Roman" w:hAnsi="Times New Roman" w:cs="Times New Roman"/>
            <w:sz w:val="24"/>
            <w:szCs w:val="24"/>
            <w:lang w:val="es-AR"/>
          </w:rPr>
          <w:t>Bachelor thesis. Universidad Nacional del Comahue (2015).</w:t>
        </w:r>
      </w:hyperlink>
    </w:p>
    <w:p w:rsidR="00571859" w:rsidRPr="006A7E18" w:rsidRDefault="00571859" w:rsidP="00571859">
      <w:pPr>
        <w:shd w:val="clear" w:color="auto" w:fill="FFFFFF"/>
        <w:spacing w:line="360" w:lineRule="auto"/>
        <w:rPr>
          <w:rFonts w:ascii="Times New Roman" w:hAnsi="Times New Roman" w:cs="Times New Roman"/>
          <w:sz w:val="24"/>
          <w:szCs w:val="24"/>
          <w:lang w:val="en-US"/>
        </w:rPr>
      </w:pPr>
      <w:r w:rsidRPr="006A7E18">
        <w:rPr>
          <w:rFonts w:ascii="Times New Roman" w:hAnsi="Times New Roman" w:cs="Times New Roman"/>
          <w:sz w:val="24"/>
          <w:szCs w:val="24"/>
        </w:rPr>
        <w:t xml:space="preserve">Kutschker, A. et al. (2015). </w:t>
      </w:r>
      <w:r w:rsidRPr="006A7E18">
        <w:rPr>
          <w:rFonts w:ascii="Times New Roman" w:hAnsi="Times New Roman" w:cs="Times New Roman"/>
          <w:sz w:val="24"/>
          <w:szCs w:val="24"/>
          <w:lang w:val="es-AR"/>
        </w:rPr>
        <w:t xml:space="preserve">Diversidad de plantas exóticas en áreas sometidas a distintos disturbios en el Parque Nacional Los Alerces, Chubut (Argentina). </w:t>
      </w:r>
      <w:r w:rsidRPr="006A7E18">
        <w:rPr>
          <w:rFonts w:ascii="Times New Roman" w:hAnsi="Times New Roman" w:cs="Times New Roman"/>
          <w:i/>
          <w:sz w:val="24"/>
          <w:szCs w:val="24"/>
        </w:rPr>
        <w:t xml:space="preserve">Bol. Soc. Argent. </w:t>
      </w:r>
      <w:r w:rsidRPr="006A7E18">
        <w:rPr>
          <w:rFonts w:ascii="Times New Roman" w:hAnsi="Times New Roman" w:cs="Times New Roman"/>
          <w:i/>
          <w:sz w:val="24"/>
          <w:szCs w:val="24"/>
          <w:lang w:val="en-US"/>
        </w:rPr>
        <w:t>Bot.</w:t>
      </w:r>
      <w:r w:rsidRPr="006A7E18">
        <w:rPr>
          <w:rFonts w:ascii="Times New Roman" w:hAnsi="Times New Roman" w:cs="Times New Roman"/>
          <w:sz w:val="24"/>
          <w:szCs w:val="24"/>
          <w:lang w:val="en-US"/>
        </w:rPr>
        <w:t xml:space="preserve"> </w:t>
      </w:r>
      <w:r w:rsidRPr="006A7E18">
        <w:rPr>
          <w:rFonts w:ascii="Times New Roman" w:hAnsi="Times New Roman" w:cs="Times New Roman"/>
          <w:b/>
          <w:sz w:val="24"/>
          <w:szCs w:val="24"/>
          <w:lang w:val="en-US"/>
        </w:rPr>
        <w:t>50</w:t>
      </w:r>
      <w:r w:rsidRPr="006A7E18">
        <w:rPr>
          <w:rFonts w:ascii="Times New Roman" w:hAnsi="Times New Roman" w:cs="Times New Roman"/>
          <w:sz w:val="24"/>
          <w:szCs w:val="24"/>
          <w:lang w:val="en-US"/>
        </w:rPr>
        <w:t>, 47–59.</w:t>
      </w:r>
    </w:p>
    <w:p w:rsidR="00571859" w:rsidRPr="006A7E18" w:rsidRDefault="00571859" w:rsidP="00571859">
      <w:pPr>
        <w:shd w:val="clear" w:color="auto" w:fill="FFFFFF"/>
        <w:spacing w:line="360" w:lineRule="auto"/>
        <w:rPr>
          <w:rFonts w:ascii="Times New Roman" w:hAnsi="Times New Roman" w:cs="Times New Roman"/>
          <w:sz w:val="24"/>
          <w:szCs w:val="24"/>
          <w:lang w:val="en-US"/>
        </w:rPr>
      </w:pPr>
      <w:r w:rsidRPr="006A7E18">
        <w:rPr>
          <w:rFonts w:ascii="Times New Roman" w:hAnsi="Times New Roman" w:cs="Times New Roman"/>
          <w:sz w:val="24"/>
          <w:szCs w:val="24"/>
          <w:lang w:val="en-US"/>
        </w:rPr>
        <w:t xml:space="preserve">Martin-Albarracin, V. L., Nuñez, M. A. &amp; Amico, G. C. Non-redundancy in seed dispersal and germination by native and introduced frugivorous birds: implications of invasive bird impact on native plant communities. </w:t>
      </w:r>
      <w:r w:rsidRPr="006A7E18">
        <w:rPr>
          <w:rFonts w:ascii="Times New Roman" w:hAnsi="Times New Roman" w:cs="Times New Roman"/>
          <w:i/>
          <w:sz w:val="24"/>
          <w:szCs w:val="24"/>
          <w:lang w:val="en-US"/>
        </w:rPr>
        <w:t>Biodivers. Conserv.</w:t>
      </w:r>
      <w:r w:rsidRPr="006A7E18">
        <w:rPr>
          <w:rFonts w:ascii="Times New Roman" w:hAnsi="Times New Roman" w:cs="Times New Roman"/>
          <w:sz w:val="24"/>
          <w:szCs w:val="24"/>
          <w:lang w:val="en-US"/>
        </w:rPr>
        <w:t xml:space="preserve"> </w:t>
      </w:r>
      <w:r w:rsidRPr="006A7E18">
        <w:rPr>
          <w:rFonts w:ascii="Times New Roman" w:hAnsi="Times New Roman" w:cs="Times New Roman"/>
          <w:b/>
          <w:sz w:val="24"/>
          <w:szCs w:val="24"/>
          <w:lang w:val="en-US"/>
        </w:rPr>
        <w:t>27</w:t>
      </w:r>
      <w:r w:rsidRPr="006A7E18">
        <w:rPr>
          <w:rFonts w:ascii="Times New Roman" w:hAnsi="Times New Roman" w:cs="Times New Roman"/>
          <w:sz w:val="24"/>
          <w:szCs w:val="24"/>
          <w:lang w:val="en-US"/>
        </w:rPr>
        <w:t>, 3793–3806; 10.1007/s10531-018-1629-4 (2018).</w:t>
      </w:r>
    </w:p>
    <w:p w:rsidR="00571859" w:rsidRPr="006A7E18" w:rsidRDefault="00D5246F" w:rsidP="00571859">
      <w:pPr>
        <w:pBdr>
          <w:top w:val="nil"/>
          <w:left w:val="nil"/>
          <w:bottom w:val="nil"/>
          <w:right w:val="nil"/>
          <w:between w:val="nil"/>
        </w:pBdr>
        <w:spacing w:line="360" w:lineRule="auto"/>
        <w:rPr>
          <w:rFonts w:ascii="Times New Roman" w:hAnsi="Times New Roman" w:cs="Times New Roman"/>
          <w:sz w:val="24"/>
          <w:szCs w:val="24"/>
          <w:lang w:val="en-US"/>
        </w:rPr>
      </w:pPr>
      <w:r w:rsidRPr="006A7E18">
        <w:rPr>
          <w:rFonts w:ascii="Times New Roman" w:hAnsi="Times New Roman" w:cs="Times New Roman"/>
          <w:sz w:val="24"/>
          <w:szCs w:val="24"/>
          <w:lang w:val="en-US"/>
        </w:rPr>
        <w:t xml:space="preserve">Masciocchi, M., Villacide, J. M., Buteler, </w:t>
      </w:r>
      <w:bookmarkStart w:id="1" w:name="_GoBack"/>
      <w:bookmarkEnd w:id="1"/>
      <w:r w:rsidRPr="006A7E18">
        <w:rPr>
          <w:rFonts w:ascii="Times New Roman" w:hAnsi="Times New Roman" w:cs="Times New Roman"/>
          <w:sz w:val="24"/>
          <w:szCs w:val="24"/>
          <w:lang w:val="en-US"/>
        </w:rPr>
        <w:t xml:space="preserve">M. &amp; Martínez, A. S. Are invasive species promoting yellowjacket invasion in Patagonia? </w:t>
      </w:r>
      <w:r w:rsidRPr="006A7E18">
        <w:rPr>
          <w:rFonts w:ascii="Times New Roman" w:hAnsi="Times New Roman" w:cs="Times New Roman"/>
          <w:i/>
          <w:sz w:val="24"/>
          <w:szCs w:val="24"/>
          <w:lang w:val="en-US"/>
        </w:rPr>
        <w:t>J. Appl. Entomol</w:t>
      </w:r>
      <w:r w:rsidRPr="006A7E18">
        <w:rPr>
          <w:rFonts w:ascii="Times New Roman" w:hAnsi="Times New Roman" w:cs="Times New Roman"/>
          <w:sz w:val="24"/>
          <w:szCs w:val="24"/>
          <w:lang w:val="en-US"/>
        </w:rPr>
        <w:t xml:space="preserve">. </w:t>
      </w:r>
      <w:hyperlink r:id="rId9" w:history="1">
        <w:r w:rsidRPr="006A7E18">
          <w:rPr>
            <w:rFonts w:ascii="Times New Roman" w:hAnsi="Times New Roman" w:cs="Times New Roman"/>
            <w:b/>
            <w:sz w:val="24"/>
            <w:szCs w:val="24"/>
            <w:lang w:val="en-US"/>
          </w:rPr>
          <w:t>146</w:t>
        </w:r>
      </w:hyperlink>
      <w:hyperlink r:id="rId10" w:history="1">
        <w:r w:rsidRPr="006A7E18">
          <w:rPr>
            <w:rFonts w:ascii="Times New Roman" w:hAnsi="Times New Roman" w:cs="Times New Roman"/>
            <w:sz w:val="24"/>
            <w:szCs w:val="24"/>
            <w:lang w:val="en-US"/>
          </w:rPr>
          <w:t xml:space="preserve">, </w:t>
        </w:r>
      </w:hyperlink>
      <w:r w:rsidRPr="006A7E18">
        <w:rPr>
          <w:rFonts w:ascii="Times New Roman" w:hAnsi="Times New Roman" w:cs="Times New Roman"/>
          <w:sz w:val="24"/>
          <w:szCs w:val="24"/>
          <w:lang w:val="en-US"/>
        </w:rPr>
        <w:t>547</w:t>
      </w:r>
      <w:hyperlink r:id="rId11" w:history="1">
        <w:r w:rsidRPr="006A7E18">
          <w:rPr>
            <w:rFonts w:ascii="Times New Roman" w:hAnsi="Times New Roman" w:cs="Times New Roman"/>
            <w:sz w:val="24"/>
            <w:szCs w:val="24"/>
            <w:lang w:val="en-US"/>
          </w:rPr>
          <w:t>–</w:t>
        </w:r>
      </w:hyperlink>
      <w:r w:rsidRPr="006A7E18">
        <w:rPr>
          <w:rFonts w:ascii="Times New Roman" w:hAnsi="Times New Roman" w:cs="Times New Roman"/>
          <w:sz w:val="24"/>
          <w:szCs w:val="24"/>
          <w:lang w:val="en-US"/>
        </w:rPr>
        <w:t xml:space="preserve">556; </w:t>
      </w:r>
      <w:hyperlink r:id="rId12" w:history="1">
        <w:r w:rsidRPr="006A7E18">
          <w:rPr>
            <w:rFonts w:ascii="Times New Roman" w:hAnsi="Times New Roman" w:cs="Times New Roman"/>
            <w:sz w:val="24"/>
            <w:szCs w:val="24"/>
            <w:lang w:val="en-US"/>
          </w:rPr>
          <w:t xml:space="preserve">10.1111/jen.12977 </w:t>
        </w:r>
      </w:hyperlink>
      <w:r w:rsidRPr="006A7E18">
        <w:rPr>
          <w:rFonts w:ascii="Times New Roman" w:hAnsi="Times New Roman" w:cs="Times New Roman"/>
          <w:sz w:val="24"/>
          <w:szCs w:val="24"/>
          <w:lang w:val="en-US"/>
        </w:rPr>
        <w:t>(2022).</w:t>
      </w:r>
      <w:bookmarkStart w:id="2" w:name="_heading=h.2abw58d1ymax" w:colFirst="0" w:colLast="0"/>
      <w:bookmarkEnd w:id="2"/>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n-US"/>
        </w:rPr>
        <w:t xml:space="preserve">Moguilevsky, D., Fernández, N. V., Puntieri, J. G., Outes, V. &amp; Fontenla, S.B. Surviving after an eruption: Ecosystem dynamics and mycorrhizae in </w:t>
      </w:r>
      <w:r w:rsidRPr="006A7E18">
        <w:rPr>
          <w:rFonts w:ascii="Times New Roman" w:hAnsi="Times New Roman" w:cs="Times New Roman"/>
          <w:i/>
          <w:sz w:val="24"/>
          <w:szCs w:val="24"/>
          <w:lang w:val="en-US"/>
        </w:rPr>
        <w:t>Nothofagus pumilio</w:t>
      </w:r>
      <w:r w:rsidRPr="006A7E18">
        <w:rPr>
          <w:rFonts w:ascii="Times New Roman" w:hAnsi="Times New Roman" w:cs="Times New Roman"/>
          <w:sz w:val="24"/>
          <w:szCs w:val="24"/>
          <w:lang w:val="en-US"/>
        </w:rPr>
        <w:t xml:space="preserve"> forests affected by the 2011 Puyehue Cordón-Caulle tephra. </w:t>
      </w:r>
      <w:r w:rsidRPr="006A7E18">
        <w:rPr>
          <w:rFonts w:ascii="Times New Roman" w:hAnsi="Times New Roman" w:cs="Times New Roman"/>
          <w:i/>
          <w:sz w:val="24"/>
          <w:szCs w:val="24"/>
        </w:rPr>
        <w:t>For. Ecol. Manag</w:t>
      </w:r>
      <w:r w:rsidRPr="006A7E18">
        <w:rPr>
          <w:rFonts w:ascii="Times New Roman" w:hAnsi="Times New Roman" w:cs="Times New Roman"/>
          <w:sz w:val="24"/>
          <w:szCs w:val="24"/>
        </w:rPr>
        <w:t xml:space="preserve">. </w:t>
      </w:r>
      <w:r w:rsidRPr="006A7E18">
        <w:rPr>
          <w:rFonts w:ascii="Times New Roman" w:hAnsi="Times New Roman" w:cs="Times New Roman"/>
          <w:b/>
          <w:sz w:val="24"/>
          <w:szCs w:val="24"/>
          <w:lang w:val="es-AR"/>
        </w:rPr>
        <w:t>479</w:t>
      </w:r>
      <w:r w:rsidRPr="006A7E18">
        <w:rPr>
          <w:rFonts w:ascii="Times New Roman" w:hAnsi="Times New Roman" w:cs="Times New Roman"/>
          <w:sz w:val="24"/>
          <w:szCs w:val="24"/>
          <w:lang w:val="es-AR"/>
        </w:rPr>
        <w:t>, 118535; 10.1016/j.foreco.2020.118535 (2021).</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Plan de gestión del Parque Nacional Nahuel Huapi. Administración de Parques Nacionales, Argentina (2019).</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Relva, M. A. &amp; Nuñez, M. A. Factores que facilitan y retrasan la invasión de coníferas exóticas en la Isla Victoria. </w:t>
      </w:r>
      <w:r w:rsidRPr="006A7E18">
        <w:rPr>
          <w:rFonts w:ascii="Times New Roman" w:hAnsi="Times New Roman" w:cs="Times New Roman"/>
          <w:i/>
          <w:sz w:val="24"/>
          <w:szCs w:val="24"/>
          <w:lang w:val="es-AR"/>
        </w:rPr>
        <w:t>Ecol. Austral</w:t>
      </w:r>
      <w:r w:rsidRPr="006A7E18">
        <w:rPr>
          <w:rFonts w:ascii="Times New Roman" w:hAnsi="Times New Roman" w:cs="Times New Roman"/>
          <w:sz w:val="24"/>
          <w:szCs w:val="24"/>
          <w:lang w:val="es-AR"/>
        </w:rPr>
        <w:t xml:space="preserve"> </w:t>
      </w:r>
      <w:r w:rsidRPr="006A7E18">
        <w:rPr>
          <w:rFonts w:ascii="Times New Roman" w:hAnsi="Times New Roman" w:cs="Times New Roman"/>
          <w:b/>
          <w:sz w:val="24"/>
          <w:szCs w:val="24"/>
          <w:lang w:val="es-AR"/>
        </w:rPr>
        <w:t>24</w:t>
      </w:r>
      <w:r w:rsidRPr="006A7E18">
        <w:rPr>
          <w:rFonts w:ascii="Times New Roman" w:hAnsi="Times New Roman" w:cs="Times New Roman"/>
          <w:sz w:val="24"/>
          <w:szCs w:val="24"/>
          <w:lang w:val="es-AR"/>
        </w:rPr>
        <w:t>, 145–153 (2014).</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Rovere, A., Namiot, G., Ocampo, M. &amp; Girscht, A. M. Planificación y gestión para la restauración en el Parque Nacional Lago Puelo. Eco gestión 2009. Primera reunión sobre planificación y legislación forestal, Chubut, Argentina (2009).</w:t>
      </w:r>
    </w:p>
    <w:p w:rsidR="00571859" w:rsidRPr="006A7E18" w:rsidRDefault="00571859" w:rsidP="00571859">
      <w:pPr>
        <w:shd w:val="clear" w:color="auto" w:fill="FFFFFF"/>
        <w:spacing w:line="360" w:lineRule="auto"/>
        <w:rPr>
          <w:rFonts w:ascii="Times New Roman" w:hAnsi="Times New Roman" w:cs="Times New Roman"/>
          <w:sz w:val="24"/>
          <w:szCs w:val="24"/>
          <w:lang w:val="en-US"/>
        </w:rPr>
      </w:pPr>
      <w:r w:rsidRPr="006A7E18">
        <w:rPr>
          <w:rFonts w:ascii="Times New Roman" w:hAnsi="Times New Roman" w:cs="Times New Roman"/>
          <w:sz w:val="24"/>
          <w:szCs w:val="24"/>
          <w:lang w:val="es-AR"/>
        </w:rPr>
        <w:t xml:space="preserve">Simberloff, D., Relva, M.A. &amp; Nuñez, M. Gringos en el bosque: introduced tree invasion in a native </w:t>
      </w:r>
      <w:r w:rsidRPr="006A7E18">
        <w:rPr>
          <w:rFonts w:ascii="Times New Roman" w:hAnsi="Times New Roman" w:cs="Times New Roman"/>
          <w:i/>
          <w:sz w:val="24"/>
          <w:szCs w:val="24"/>
          <w:lang w:val="es-AR"/>
        </w:rPr>
        <w:t>Nothofagus/Austrocedrus</w:t>
      </w:r>
      <w:r w:rsidRPr="006A7E18">
        <w:rPr>
          <w:rFonts w:ascii="Times New Roman" w:hAnsi="Times New Roman" w:cs="Times New Roman"/>
          <w:sz w:val="24"/>
          <w:szCs w:val="24"/>
          <w:lang w:val="es-AR"/>
        </w:rPr>
        <w:t xml:space="preserve"> forest. </w:t>
      </w:r>
      <w:r w:rsidRPr="006A7E18">
        <w:rPr>
          <w:rFonts w:ascii="Times New Roman" w:hAnsi="Times New Roman" w:cs="Times New Roman"/>
          <w:i/>
          <w:sz w:val="24"/>
          <w:szCs w:val="24"/>
          <w:lang w:val="en-US"/>
        </w:rPr>
        <w:t>Biol. Invasions</w:t>
      </w:r>
      <w:r w:rsidRPr="006A7E18">
        <w:rPr>
          <w:rFonts w:ascii="Times New Roman" w:hAnsi="Times New Roman" w:cs="Times New Roman"/>
          <w:sz w:val="24"/>
          <w:szCs w:val="24"/>
          <w:lang w:val="en-US"/>
        </w:rPr>
        <w:t xml:space="preserve"> </w:t>
      </w:r>
      <w:r w:rsidRPr="006A7E18">
        <w:rPr>
          <w:rFonts w:ascii="Times New Roman" w:hAnsi="Times New Roman" w:cs="Times New Roman"/>
          <w:b/>
          <w:sz w:val="24"/>
          <w:szCs w:val="24"/>
          <w:lang w:val="en-US"/>
        </w:rPr>
        <w:t>4</w:t>
      </w:r>
      <w:r w:rsidRPr="006A7E18">
        <w:rPr>
          <w:rFonts w:ascii="Times New Roman" w:hAnsi="Times New Roman" w:cs="Times New Roman"/>
          <w:sz w:val="24"/>
          <w:szCs w:val="24"/>
          <w:lang w:val="en-US"/>
        </w:rPr>
        <w:t>, 35–53; 10.1023/A:1020576408884 (2002).</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n-US"/>
        </w:rPr>
        <w:t xml:space="preserve">Simberloff, D., Relva, M. &amp; Nuñez, M. Introduced species and management of a </w:t>
      </w:r>
      <w:r w:rsidRPr="006A7E18">
        <w:rPr>
          <w:rFonts w:ascii="Times New Roman" w:hAnsi="Times New Roman" w:cs="Times New Roman"/>
          <w:i/>
          <w:sz w:val="24"/>
          <w:szCs w:val="24"/>
          <w:lang w:val="en-US"/>
        </w:rPr>
        <w:t>Nothofagus/Austrocedrus</w:t>
      </w:r>
      <w:r w:rsidRPr="006A7E18">
        <w:rPr>
          <w:rFonts w:ascii="Times New Roman" w:hAnsi="Times New Roman" w:cs="Times New Roman"/>
          <w:sz w:val="24"/>
          <w:szCs w:val="24"/>
          <w:lang w:val="en-US"/>
        </w:rPr>
        <w:t xml:space="preserve"> forest. </w:t>
      </w:r>
      <w:r w:rsidRPr="006A7E18">
        <w:rPr>
          <w:rFonts w:ascii="Times New Roman" w:hAnsi="Times New Roman" w:cs="Times New Roman"/>
          <w:i/>
          <w:sz w:val="24"/>
          <w:szCs w:val="24"/>
          <w:lang w:val="es-AR"/>
        </w:rPr>
        <w:t>Environ. Manage.</w:t>
      </w:r>
      <w:r w:rsidRPr="006A7E18">
        <w:rPr>
          <w:rFonts w:ascii="Times New Roman" w:hAnsi="Times New Roman" w:cs="Times New Roman"/>
          <w:sz w:val="24"/>
          <w:szCs w:val="24"/>
          <w:lang w:val="es-AR"/>
        </w:rPr>
        <w:t xml:space="preserve"> </w:t>
      </w:r>
      <w:r w:rsidRPr="006A7E18">
        <w:rPr>
          <w:rFonts w:ascii="Times New Roman" w:hAnsi="Times New Roman" w:cs="Times New Roman"/>
          <w:b/>
          <w:sz w:val="24"/>
          <w:szCs w:val="24"/>
          <w:lang w:val="es-AR"/>
        </w:rPr>
        <w:t>31</w:t>
      </w:r>
      <w:r w:rsidRPr="006A7E18">
        <w:rPr>
          <w:rFonts w:ascii="Times New Roman" w:hAnsi="Times New Roman" w:cs="Times New Roman"/>
          <w:sz w:val="24"/>
          <w:szCs w:val="24"/>
          <w:lang w:val="es-AR"/>
        </w:rPr>
        <w:t>, 0263–0275; 10.1007/s00267-002-2794-4 (2003).</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Stecconi, M. </w:t>
      </w:r>
      <w:r w:rsidRPr="006A7E18">
        <w:rPr>
          <w:rFonts w:ascii="Times New Roman" w:hAnsi="Times New Roman" w:cs="Times New Roman"/>
          <w:i/>
          <w:sz w:val="24"/>
          <w:szCs w:val="24"/>
          <w:lang w:val="es-AR"/>
        </w:rPr>
        <w:t>et al</w:t>
      </w:r>
      <w:r w:rsidRPr="006A7E18">
        <w:rPr>
          <w:rFonts w:ascii="Times New Roman" w:hAnsi="Times New Roman" w:cs="Times New Roman"/>
          <w:sz w:val="24"/>
          <w:szCs w:val="24"/>
          <w:lang w:val="es-AR"/>
        </w:rPr>
        <w:t xml:space="preserve">. Desarrollo de especies leñosas nativas y exóticas en cipresales patagónicos. </w:t>
      </w:r>
      <w:r w:rsidRPr="006A7E18">
        <w:rPr>
          <w:rFonts w:ascii="Times New Roman" w:hAnsi="Times New Roman" w:cs="Times New Roman"/>
          <w:i/>
          <w:sz w:val="24"/>
          <w:szCs w:val="24"/>
          <w:lang w:val="es-AR"/>
        </w:rPr>
        <w:t xml:space="preserve">Bol. Soc. </w:t>
      </w:r>
      <w:r w:rsidRPr="006A7E18">
        <w:rPr>
          <w:rFonts w:ascii="Times New Roman" w:hAnsi="Times New Roman" w:cs="Times New Roman"/>
          <w:i/>
          <w:sz w:val="24"/>
          <w:szCs w:val="24"/>
        </w:rPr>
        <w:t xml:space="preserve">Argent. </w:t>
      </w:r>
      <w:r w:rsidRPr="006A7E18">
        <w:rPr>
          <w:rFonts w:ascii="Times New Roman" w:hAnsi="Times New Roman" w:cs="Times New Roman"/>
          <w:i/>
          <w:sz w:val="24"/>
          <w:szCs w:val="24"/>
          <w:lang w:val="es-AR"/>
        </w:rPr>
        <w:t>Bot.</w:t>
      </w:r>
      <w:r w:rsidRPr="006A7E18">
        <w:rPr>
          <w:rFonts w:ascii="Times New Roman" w:hAnsi="Times New Roman" w:cs="Times New Roman"/>
          <w:sz w:val="24"/>
          <w:szCs w:val="24"/>
          <w:lang w:val="es-AR"/>
        </w:rPr>
        <w:t xml:space="preserve"> </w:t>
      </w:r>
      <w:r w:rsidRPr="006A7E18">
        <w:rPr>
          <w:rFonts w:ascii="Times New Roman" w:hAnsi="Times New Roman" w:cs="Times New Roman"/>
          <w:b/>
          <w:sz w:val="24"/>
          <w:szCs w:val="24"/>
          <w:lang w:val="es-AR"/>
        </w:rPr>
        <w:t>52</w:t>
      </w:r>
      <w:r w:rsidRPr="006A7E18">
        <w:rPr>
          <w:rFonts w:ascii="Times New Roman" w:hAnsi="Times New Roman" w:cs="Times New Roman"/>
          <w:sz w:val="24"/>
          <w:szCs w:val="24"/>
          <w:lang w:val="es-AR"/>
        </w:rPr>
        <w:t>, 507–522 (2017).</w:t>
      </w:r>
    </w:p>
    <w:p w:rsidR="00571859" w:rsidRPr="006A7E18" w:rsidRDefault="00571859" w:rsidP="00571859">
      <w:pPr>
        <w:shd w:val="clear" w:color="auto" w:fill="FFFFFF"/>
        <w:spacing w:line="360" w:lineRule="auto"/>
        <w:rPr>
          <w:rFonts w:ascii="Times New Roman" w:hAnsi="Times New Roman" w:cs="Times New Roman"/>
          <w:sz w:val="24"/>
          <w:szCs w:val="24"/>
          <w:lang w:val="es-AR"/>
        </w:rPr>
      </w:pPr>
      <w:r w:rsidRPr="006A7E18">
        <w:rPr>
          <w:rFonts w:ascii="Times New Roman" w:hAnsi="Times New Roman" w:cs="Times New Roman"/>
          <w:sz w:val="24"/>
          <w:szCs w:val="24"/>
          <w:lang w:val="es-AR"/>
        </w:rPr>
        <w:t xml:space="preserve">Toledo, C. &amp; Kutschker, A. Plantas Medicinales en el Parque Nacional Los Alerces, Chubut, Patagonia Argentina. </w:t>
      </w:r>
      <w:r w:rsidRPr="006A7E18">
        <w:rPr>
          <w:rFonts w:ascii="Times New Roman" w:hAnsi="Times New Roman" w:cs="Times New Roman"/>
          <w:i/>
          <w:sz w:val="24"/>
          <w:szCs w:val="24"/>
        </w:rPr>
        <w:t xml:space="preserve">Bol. Soc. Argent. </w:t>
      </w:r>
      <w:r w:rsidRPr="006A7E18">
        <w:rPr>
          <w:rFonts w:ascii="Times New Roman" w:hAnsi="Times New Roman" w:cs="Times New Roman"/>
          <w:i/>
          <w:sz w:val="24"/>
          <w:szCs w:val="24"/>
          <w:lang w:val="es-AR"/>
        </w:rPr>
        <w:t>Bot.</w:t>
      </w:r>
      <w:r w:rsidRPr="006A7E18">
        <w:rPr>
          <w:rFonts w:ascii="Times New Roman" w:hAnsi="Times New Roman" w:cs="Times New Roman"/>
          <w:sz w:val="24"/>
          <w:szCs w:val="24"/>
          <w:lang w:val="es-AR"/>
        </w:rPr>
        <w:t xml:space="preserve"> </w:t>
      </w:r>
      <w:r w:rsidRPr="006A7E18">
        <w:rPr>
          <w:rFonts w:ascii="Times New Roman" w:hAnsi="Times New Roman" w:cs="Times New Roman"/>
          <w:b/>
          <w:sz w:val="24"/>
          <w:szCs w:val="24"/>
          <w:lang w:val="es-AR"/>
        </w:rPr>
        <w:t>47</w:t>
      </w:r>
      <w:r w:rsidRPr="006A7E18">
        <w:rPr>
          <w:rFonts w:ascii="Times New Roman" w:hAnsi="Times New Roman" w:cs="Times New Roman"/>
          <w:sz w:val="24"/>
          <w:szCs w:val="24"/>
          <w:lang w:val="es-AR"/>
        </w:rPr>
        <w:t>, 461–470 (2012).</w:t>
      </w:r>
    </w:p>
    <w:p w:rsidR="00D5246F" w:rsidRPr="006A7E18" w:rsidRDefault="006A7E18" w:rsidP="00571859">
      <w:pPr>
        <w:pBdr>
          <w:top w:val="nil"/>
          <w:left w:val="nil"/>
          <w:bottom w:val="nil"/>
          <w:right w:val="nil"/>
          <w:between w:val="nil"/>
        </w:pBdr>
        <w:spacing w:line="360" w:lineRule="auto"/>
        <w:rPr>
          <w:rFonts w:ascii="Times New Roman" w:hAnsi="Times New Roman" w:cs="Times New Roman"/>
          <w:sz w:val="24"/>
          <w:szCs w:val="24"/>
          <w:lang w:val="en-US"/>
        </w:rPr>
      </w:pPr>
      <w:hyperlink r:id="rId13" w:history="1">
        <w:r w:rsidR="00D5246F" w:rsidRPr="006A7E18">
          <w:rPr>
            <w:rFonts w:ascii="Times New Roman" w:hAnsi="Times New Roman" w:cs="Times New Roman"/>
            <w:sz w:val="24"/>
            <w:szCs w:val="24"/>
            <w:lang w:val="es-AR"/>
          </w:rPr>
          <w:t>Vazquez, S. M.</w:t>
        </w:r>
      </w:hyperlink>
      <w:r w:rsidR="00D5246F" w:rsidRPr="006A7E18">
        <w:rPr>
          <w:rFonts w:ascii="Times New Roman" w:hAnsi="Times New Roman" w:cs="Times New Roman"/>
          <w:sz w:val="24"/>
          <w:szCs w:val="24"/>
          <w:lang w:val="es-AR"/>
        </w:rPr>
        <w:t xml:space="preserve">, </w:t>
      </w:r>
      <w:hyperlink r:id="rId14" w:history="1">
        <w:r w:rsidR="00D5246F" w:rsidRPr="006A7E18">
          <w:rPr>
            <w:rFonts w:ascii="Times New Roman" w:hAnsi="Times New Roman" w:cs="Times New Roman"/>
            <w:sz w:val="24"/>
            <w:szCs w:val="24"/>
            <w:lang w:val="es-AR"/>
          </w:rPr>
          <w:t>Mariano A. Rodriguez-Cabal</w:t>
        </w:r>
      </w:hyperlink>
      <w:r w:rsidR="00D5246F" w:rsidRPr="006A7E18">
        <w:rPr>
          <w:rFonts w:ascii="Times New Roman" w:hAnsi="Times New Roman" w:cs="Times New Roman"/>
          <w:sz w:val="24"/>
          <w:szCs w:val="24"/>
          <w:lang w:val="es-AR"/>
        </w:rPr>
        <w:t xml:space="preserve">, M. A. &amp; </w:t>
      </w:r>
      <w:hyperlink r:id="rId15" w:history="1">
        <w:r w:rsidR="00D5246F" w:rsidRPr="006A7E18">
          <w:rPr>
            <w:rFonts w:ascii="Times New Roman" w:hAnsi="Times New Roman" w:cs="Times New Roman"/>
            <w:sz w:val="24"/>
            <w:szCs w:val="24"/>
            <w:lang w:val="es-AR"/>
          </w:rPr>
          <w:t xml:space="preserve">Amico, G. C. </w:t>
        </w:r>
      </w:hyperlink>
      <w:r w:rsidR="00D5246F" w:rsidRPr="006A7E18">
        <w:rPr>
          <w:rFonts w:ascii="Times New Roman" w:hAnsi="Times New Roman" w:cs="Times New Roman"/>
          <w:sz w:val="24"/>
          <w:szCs w:val="24"/>
          <w:lang w:val="en-US"/>
        </w:rPr>
        <w:t xml:space="preserve">The forest gardener: A marsupial with a key seed-dispersing role in the Patagonian temperate forest. </w:t>
      </w:r>
      <w:r w:rsidR="00D5246F" w:rsidRPr="006A7E18">
        <w:rPr>
          <w:rFonts w:ascii="Times New Roman" w:hAnsi="Times New Roman" w:cs="Times New Roman"/>
          <w:i/>
          <w:sz w:val="24"/>
          <w:szCs w:val="24"/>
          <w:lang w:val="en-US"/>
        </w:rPr>
        <w:t>Ecol. Res.</w:t>
      </w:r>
      <w:r w:rsidR="00D5246F" w:rsidRPr="006A7E18">
        <w:rPr>
          <w:rFonts w:ascii="Times New Roman" w:hAnsi="Times New Roman" w:cs="Times New Roman"/>
          <w:sz w:val="24"/>
          <w:szCs w:val="24"/>
          <w:lang w:val="en-US"/>
        </w:rPr>
        <w:t xml:space="preserve"> 37, 270</w:t>
      </w:r>
      <w:hyperlink r:id="rId16" w:history="1">
        <w:r w:rsidR="00D5246F" w:rsidRPr="006A7E18">
          <w:rPr>
            <w:rFonts w:ascii="Times New Roman" w:hAnsi="Times New Roman" w:cs="Times New Roman"/>
            <w:sz w:val="24"/>
            <w:szCs w:val="24"/>
            <w:lang w:val="en-US"/>
          </w:rPr>
          <w:t>–</w:t>
        </w:r>
      </w:hyperlink>
      <w:r w:rsidR="00D5246F" w:rsidRPr="006A7E18">
        <w:rPr>
          <w:rFonts w:ascii="Times New Roman" w:hAnsi="Times New Roman" w:cs="Times New Roman"/>
          <w:sz w:val="24"/>
          <w:szCs w:val="24"/>
          <w:lang w:val="en-US"/>
        </w:rPr>
        <w:t xml:space="preserve">283; </w:t>
      </w:r>
      <w:hyperlink r:id="rId17" w:history="1">
        <w:r w:rsidR="00D5246F" w:rsidRPr="006A7E18">
          <w:rPr>
            <w:rFonts w:ascii="Times New Roman" w:hAnsi="Times New Roman" w:cs="Times New Roman"/>
            <w:sz w:val="24"/>
            <w:szCs w:val="24"/>
            <w:lang w:val="en-US"/>
          </w:rPr>
          <w:t>10.1111/1440-1703.12289 (2021).</w:t>
        </w:r>
      </w:hyperlink>
    </w:p>
    <w:p w:rsidR="00571859" w:rsidRPr="006A7E18" w:rsidRDefault="00571859">
      <w:pPr>
        <w:shd w:val="clear" w:color="auto" w:fill="FFFFFF"/>
        <w:spacing w:line="360" w:lineRule="auto"/>
        <w:rPr>
          <w:rFonts w:ascii="Times New Roman" w:hAnsi="Times New Roman" w:cs="Times New Roman"/>
          <w:sz w:val="24"/>
          <w:szCs w:val="24"/>
          <w:lang w:val="en-US"/>
        </w:rPr>
      </w:pPr>
    </w:p>
    <w:sectPr w:rsidR="00571859" w:rsidRPr="006A7E18" w:rsidSect="006A7E18">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0000500000000000000"/>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4D"/>
    <w:rsid w:val="000825AC"/>
    <w:rsid w:val="00122F4D"/>
    <w:rsid w:val="00571859"/>
    <w:rsid w:val="006A7E18"/>
    <w:rsid w:val="008B4DEC"/>
    <w:rsid w:val="00AB2C73"/>
    <w:rsid w:val="00D5246F"/>
    <w:rsid w:val="00EC48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C5B95-5EBA-43E6-AC6D-84668526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semiHidden/>
    <w:unhideWhenUsed/>
    <w:rsid w:val="004A3B20"/>
    <w:rPr>
      <w:color w:val="0563C1"/>
      <w:u w:val="single"/>
    </w:rPr>
  </w:style>
  <w:style w:type="character" w:styleId="FollowedHyperlink">
    <w:name w:val="FollowedHyperlink"/>
    <w:basedOn w:val="DefaultParagraphFont"/>
    <w:uiPriority w:val="99"/>
    <w:semiHidden/>
    <w:unhideWhenUsed/>
    <w:rsid w:val="004A3B20"/>
    <w:rPr>
      <w:color w:val="0563C1"/>
      <w:u w:val="single"/>
    </w:rPr>
  </w:style>
  <w:style w:type="paragraph" w:customStyle="1" w:styleId="msonormal0">
    <w:name w:val="msonormal"/>
    <w:basedOn w:val="Normal"/>
    <w:rsid w:val="004A3B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4A3B20"/>
    <w:pPr>
      <w:spacing w:before="100" w:beforeAutospacing="1" w:after="100" w:afterAutospacing="1" w:line="240" w:lineRule="auto"/>
    </w:pPr>
    <w:rPr>
      <w:rFonts w:ascii="Times Roman" w:eastAsia="Times New Roman" w:hAnsi="Times Roman" w:cs="Times New Roman"/>
      <w:sz w:val="20"/>
      <w:szCs w:val="20"/>
    </w:rPr>
  </w:style>
  <w:style w:type="paragraph" w:customStyle="1" w:styleId="xl66">
    <w:name w:val="xl66"/>
    <w:basedOn w:val="Normal"/>
    <w:rsid w:val="004A3B20"/>
    <w:pPr>
      <w:spacing w:before="100" w:beforeAutospacing="1" w:after="100" w:afterAutospacing="1" w:line="240" w:lineRule="auto"/>
      <w:jc w:val="right"/>
    </w:pPr>
    <w:rPr>
      <w:rFonts w:ascii="Times Roman" w:eastAsia="Times New Roman" w:hAnsi="Times Roman" w:cs="Times New Roman"/>
      <w:sz w:val="20"/>
      <w:szCs w:val="20"/>
    </w:rPr>
  </w:style>
  <w:style w:type="paragraph" w:customStyle="1" w:styleId="xl67">
    <w:name w:val="xl67"/>
    <w:basedOn w:val="Normal"/>
    <w:rsid w:val="004A3B20"/>
    <w:pPr>
      <w:spacing w:before="100" w:beforeAutospacing="1" w:after="100" w:afterAutospacing="1" w:line="240" w:lineRule="auto"/>
      <w:jc w:val="right"/>
    </w:pPr>
    <w:rPr>
      <w:rFonts w:ascii="Times Roman" w:eastAsia="Times New Roman" w:hAnsi="Times Roman" w:cs="Times New Roman"/>
      <w:sz w:val="20"/>
      <w:szCs w:val="20"/>
    </w:rPr>
  </w:style>
  <w:style w:type="paragraph" w:customStyle="1" w:styleId="xl68">
    <w:name w:val="xl68"/>
    <w:basedOn w:val="Normal"/>
    <w:rsid w:val="004A3B20"/>
    <w:pPr>
      <w:spacing w:before="100" w:beforeAutospacing="1" w:after="100" w:afterAutospacing="1" w:line="240" w:lineRule="auto"/>
      <w:jc w:val="right"/>
    </w:pPr>
    <w:rPr>
      <w:rFonts w:ascii="Times Roman" w:eastAsia="Times New Roman" w:hAnsi="Times Roman" w:cs="Times New Roman"/>
      <w:sz w:val="20"/>
      <w:szCs w:val="20"/>
    </w:rPr>
  </w:style>
  <w:style w:type="paragraph" w:customStyle="1" w:styleId="xl69">
    <w:name w:val="xl69"/>
    <w:basedOn w:val="Normal"/>
    <w:rsid w:val="004A3B20"/>
    <w:pPr>
      <w:spacing w:before="100" w:beforeAutospacing="1" w:after="100" w:afterAutospacing="1" w:line="240" w:lineRule="auto"/>
      <w:jc w:val="right"/>
    </w:pPr>
    <w:rPr>
      <w:rFonts w:ascii="Times Roman" w:eastAsia="Times New Roman" w:hAnsi="Times Roman" w:cs="Times New Roman"/>
      <w:sz w:val="20"/>
      <w:szCs w:val="20"/>
    </w:rPr>
  </w:style>
  <w:style w:type="paragraph" w:customStyle="1" w:styleId="xl70">
    <w:name w:val="xl70"/>
    <w:basedOn w:val="Normal"/>
    <w:rsid w:val="004A3B20"/>
    <w:pPr>
      <w:spacing w:before="100" w:beforeAutospacing="1" w:after="100" w:afterAutospacing="1" w:line="240" w:lineRule="auto"/>
    </w:pPr>
    <w:rPr>
      <w:rFonts w:ascii="Times Roman" w:eastAsia="Times New Roman" w:hAnsi="Times Roman" w:cs="Times New Roman"/>
      <w:color w:val="000000"/>
      <w:sz w:val="20"/>
      <w:szCs w:val="20"/>
    </w:rPr>
  </w:style>
  <w:style w:type="paragraph" w:customStyle="1" w:styleId="xl71">
    <w:name w:val="xl71"/>
    <w:basedOn w:val="Normal"/>
    <w:rsid w:val="004A3B20"/>
    <w:pPr>
      <w:spacing w:before="100" w:beforeAutospacing="1" w:after="100" w:afterAutospacing="1" w:line="240" w:lineRule="auto"/>
      <w:jc w:val="right"/>
    </w:pPr>
    <w:rPr>
      <w:rFonts w:ascii="Times Roman" w:eastAsia="Times New Roman" w:hAnsi="Times Roman" w:cs="Times New Roman"/>
      <w:sz w:val="20"/>
      <w:szCs w:val="20"/>
    </w:rPr>
  </w:style>
  <w:style w:type="paragraph" w:customStyle="1" w:styleId="xl72">
    <w:name w:val="xl72"/>
    <w:basedOn w:val="Normal"/>
    <w:rsid w:val="004A3B20"/>
    <w:pPr>
      <w:spacing w:before="100" w:beforeAutospacing="1" w:after="100" w:afterAutospacing="1" w:line="240" w:lineRule="auto"/>
    </w:pPr>
    <w:rPr>
      <w:rFonts w:ascii="Times Roman" w:eastAsia="Times New Roman" w:hAnsi="Times Roman" w:cs="Times New Roman"/>
      <w:sz w:val="20"/>
      <w:szCs w:val="20"/>
    </w:rPr>
  </w:style>
  <w:style w:type="paragraph" w:customStyle="1" w:styleId="xl73">
    <w:name w:val="xl73"/>
    <w:basedOn w:val="Normal"/>
    <w:rsid w:val="004A3B20"/>
    <w:pPr>
      <w:spacing w:before="100" w:beforeAutospacing="1" w:after="100" w:afterAutospacing="1" w:line="240" w:lineRule="auto"/>
    </w:pPr>
    <w:rPr>
      <w:rFonts w:ascii="Times Roman" w:eastAsia="Times New Roman" w:hAnsi="Times Roman" w:cs="Times New Roman"/>
      <w:sz w:val="24"/>
      <w:szCs w:val="24"/>
    </w:rPr>
  </w:style>
  <w:style w:type="paragraph" w:customStyle="1" w:styleId="xl74">
    <w:name w:val="xl74"/>
    <w:basedOn w:val="Normal"/>
    <w:rsid w:val="004A3B20"/>
    <w:pPr>
      <w:pBdr>
        <w:top w:val="single" w:sz="4" w:space="0" w:color="auto"/>
        <w:bottom w:val="single" w:sz="4" w:space="0" w:color="auto"/>
      </w:pBdr>
      <w:shd w:val="clear" w:color="D9D9D9" w:fill="EDEDED"/>
      <w:spacing w:before="100" w:beforeAutospacing="1" w:after="100" w:afterAutospacing="1" w:line="240" w:lineRule="auto"/>
    </w:pPr>
    <w:rPr>
      <w:rFonts w:ascii="Times Roman" w:eastAsia="Times New Roman" w:hAnsi="Times Roman" w:cs="Times New Roman"/>
      <w:sz w:val="20"/>
      <w:szCs w:val="20"/>
    </w:rPr>
  </w:style>
  <w:style w:type="paragraph" w:customStyle="1" w:styleId="xl75">
    <w:name w:val="xl75"/>
    <w:basedOn w:val="Normal"/>
    <w:rsid w:val="004A3B20"/>
    <w:pPr>
      <w:pBdr>
        <w:top w:val="single" w:sz="4" w:space="0" w:color="auto"/>
        <w:bottom w:val="single" w:sz="4" w:space="0" w:color="auto"/>
      </w:pBdr>
      <w:shd w:val="clear" w:color="D9EAD3" w:fill="EDEDED"/>
      <w:spacing w:before="100" w:beforeAutospacing="1" w:after="100" w:afterAutospacing="1" w:line="240" w:lineRule="auto"/>
    </w:pPr>
    <w:rPr>
      <w:rFonts w:ascii="Times Roman" w:eastAsia="Times New Roman" w:hAnsi="Times Roman" w:cs="Times New Roman"/>
      <w:sz w:val="20"/>
      <w:szCs w:val="20"/>
    </w:rPr>
  </w:style>
  <w:style w:type="character" w:styleId="CommentReference">
    <w:name w:val="annotation reference"/>
    <w:basedOn w:val="DefaultParagraphFont"/>
    <w:uiPriority w:val="99"/>
    <w:semiHidden/>
    <w:unhideWhenUsed/>
    <w:rsid w:val="00C94F14"/>
    <w:rPr>
      <w:sz w:val="16"/>
      <w:szCs w:val="16"/>
    </w:rPr>
  </w:style>
  <w:style w:type="paragraph" w:styleId="CommentText">
    <w:name w:val="annotation text"/>
    <w:basedOn w:val="Normal"/>
    <w:link w:val="CommentTextChar"/>
    <w:uiPriority w:val="99"/>
    <w:semiHidden/>
    <w:unhideWhenUsed/>
    <w:rsid w:val="00C94F14"/>
    <w:pPr>
      <w:spacing w:line="240" w:lineRule="auto"/>
    </w:pPr>
    <w:rPr>
      <w:sz w:val="20"/>
      <w:szCs w:val="20"/>
    </w:rPr>
  </w:style>
  <w:style w:type="character" w:customStyle="1" w:styleId="CommentTextChar">
    <w:name w:val="Comment Text Char"/>
    <w:basedOn w:val="DefaultParagraphFont"/>
    <w:link w:val="CommentText"/>
    <w:uiPriority w:val="99"/>
    <w:semiHidden/>
    <w:rsid w:val="00C94F14"/>
    <w:rPr>
      <w:sz w:val="20"/>
      <w:szCs w:val="20"/>
    </w:rPr>
  </w:style>
  <w:style w:type="paragraph" w:styleId="CommentSubject">
    <w:name w:val="annotation subject"/>
    <w:basedOn w:val="CommentText"/>
    <w:next w:val="CommentText"/>
    <w:link w:val="CommentSubjectChar"/>
    <w:uiPriority w:val="99"/>
    <w:semiHidden/>
    <w:unhideWhenUsed/>
    <w:rsid w:val="00C94F14"/>
    <w:rPr>
      <w:b/>
      <w:bCs/>
    </w:rPr>
  </w:style>
  <w:style w:type="character" w:customStyle="1" w:styleId="CommentSubjectChar">
    <w:name w:val="Comment Subject Char"/>
    <w:basedOn w:val="CommentTextChar"/>
    <w:link w:val="CommentSubject"/>
    <w:uiPriority w:val="99"/>
    <w:semiHidden/>
    <w:rsid w:val="00C94F14"/>
    <w:rPr>
      <w:b/>
      <w:bCs/>
      <w:sz w:val="20"/>
      <w:szCs w:val="20"/>
    </w:rPr>
  </w:style>
  <w:style w:type="paragraph" w:styleId="BalloonText">
    <w:name w:val="Balloon Text"/>
    <w:basedOn w:val="Normal"/>
    <w:link w:val="BalloonTextChar"/>
    <w:uiPriority w:val="99"/>
    <w:semiHidden/>
    <w:unhideWhenUsed/>
    <w:rsid w:val="00C94F1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F14"/>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ciwheel.com/work/bibliography/14498723" TargetMode="External"/><Relationship Id="rId13" Type="http://schemas.openxmlformats.org/officeDocument/2006/relationships/hyperlink" Target="https://esj-journals.onlinelibrary.wiley.com/authored-by/ContribAuthorRaw/Vazquez/Miriam+Soled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oi.org/10.1111/jen.12977" TargetMode="External"/><Relationship Id="rId17" Type="http://schemas.openxmlformats.org/officeDocument/2006/relationships/hyperlink" Target="https://doi.org/10.1111/1440-1703.12289" TargetMode="External"/><Relationship Id="rId2" Type="http://schemas.openxmlformats.org/officeDocument/2006/relationships/customXml" Target="../customXml/item2.xml"/><Relationship Id="rId16" Type="http://schemas.openxmlformats.org/officeDocument/2006/relationships/hyperlink" Target="https://sciwheel.com/work/bibliography/698959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ciwheel.com/work/bibliography/6989599" TargetMode="External"/><Relationship Id="rId5" Type="http://schemas.openxmlformats.org/officeDocument/2006/relationships/webSettings" Target="webSettings.xml"/><Relationship Id="rId15" Type="http://schemas.openxmlformats.org/officeDocument/2006/relationships/hyperlink" Target="https://esj-journals.onlinelibrary.wiley.com/authored-by/ContribAuthorRaw/Amico/Guillermo+C." TargetMode="External"/><Relationship Id="rId10" Type="http://schemas.openxmlformats.org/officeDocument/2006/relationships/hyperlink" Target="https://onlinelibrary.wiley.com/toc/14390418/2022/146/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linelibrary.wiley.com/toc/14390418/2022/146/5" TargetMode="External"/><Relationship Id="rId14" Type="http://schemas.openxmlformats.org/officeDocument/2006/relationships/hyperlink" Target="https://esj-journals.onlinelibrary.wiley.com/authored-by/ContribAuthorRaw/Rodriguez%E2%80%90Cabal/Marian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QlBVd4uQkGskd4NmYVl8sCd6Sw==">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E594DB-9F92-4940-9BC2-43E73712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2308</Words>
  <Characters>13159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Dhanalakshmi Vairavan</cp:lastModifiedBy>
  <cp:revision>7</cp:revision>
  <dcterms:created xsi:type="dcterms:W3CDTF">2023-03-13T14:15:00Z</dcterms:created>
  <dcterms:modified xsi:type="dcterms:W3CDTF">2023-06-15T10:26:00Z</dcterms:modified>
</cp:coreProperties>
</file>