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DB587" w14:textId="77777777" w:rsidR="003A47C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Induced Alpha </w:t>
      </w:r>
      <w:proofErr w:type="gramStart"/>
      <w:r>
        <w:rPr>
          <w:b/>
          <w:sz w:val="28"/>
          <w:szCs w:val="28"/>
        </w:rPr>
        <w:t>And</w:t>
      </w:r>
      <w:proofErr w:type="gramEnd"/>
      <w:r>
        <w:rPr>
          <w:b/>
          <w:sz w:val="28"/>
          <w:szCs w:val="28"/>
        </w:rPr>
        <w:t xml:space="preserve"> Beta Electroencephalographic Rhythms Covary With Single-Trial Speech Intelligibility In Competition</w:t>
      </w:r>
    </w:p>
    <w:p w14:paraId="0E39BFA2" w14:textId="77777777" w:rsidR="003A47C3" w:rsidRDefault="003A47C3">
      <w:pPr>
        <w:jc w:val="both"/>
      </w:pPr>
    </w:p>
    <w:p w14:paraId="5879572F" w14:textId="77777777" w:rsidR="003A47C3" w:rsidRDefault="003A47C3"/>
    <w:p w14:paraId="42127BCB" w14:textId="0D893F9C" w:rsidR="003A47C3" w:rsidRDefault="00000000">
      <w:pPr>
        <w:jc w:val="center"/>
      </w:pPr>
      <w:r>
        <w:t>Vibha Viswanathan [</w:t>
      </w:r>
      <w:proofErr w:type="gramStart"/>
      <w:r>
        <w:t>1,*</w:t>
      </w:r>
      <w:proofErr w:type="gramEnd"/>
      <w:r>
        <w:t>], Hari M. Bharadwaj [2], Michael G. Heinz [3], Barbara G. Shinn-Cunningham [</w:t>
      </w:r>
      <w:r w:rsidR="00444F10">
        <w:t>1</w:t>
      </w:r>
      <w:r>
        <w:t>]</w:t>
      </w:r>
    </w:p>
    <w:p w14:paraId="5A23ECCB" w14:textId="77777777" w:rsidR="003A47C3" w:rsidRDefault="003A47C3">
      <w:pPr>
        <w:jc w:val="both"/>
        <w:rPr>
          <w:b/>
          <w:sz w:val="28"/>
          <w:szCs w:val="28"/>
        </w:rPr>
      </w:pPr>
    </w:p>
    <w:p w14:paraId="2F3FFD9E" w14:textId="1D241204" w:rsidR="003A47C3" w:rsidRDefault="00000000">
      <w:pPr>
        <w:jc w:val="both"/>
      </w:pPr>
      <w:r>
        <w:t xml:space="preserve">[1] </w:t>
      </w:r>
      <w:r w:rsidR="00444F10">
        <w:t xml:space="preserve">Neuroscience Institute, Carnegie Mellon University, </w:t>
      </w:r>
      <w:proofErr w:type="spellStart"/>
      <w:r w:rsidR="00444F10">
        <w:t>Pitttsburgh</w:t>
      </w:r>
      <w:proofErr w:type="spellEnd"/>
      <w:r w:rsidR="00444F10">
        <w:t>, PA 15213.</w:t>
      </w:r>
      <w:r>
        <w:t xml:space="preserve"> [2] Department of Communication Science and Disorders, University of Pittsburgh, </w:t>
      </w:r>
      <w:proofErr w:type="spellStart"/>
      <w:r>
        <w:t>Pitttsburgh</w:t>
      </w:r>
      <w:proofErr w:type="spellEnd"/>
      <w:r>
        <w:t>, PA 15260. [3] Department of Speech, Language, and Hearing Sciences, Purdue University, West Lafayette, IN 47907.</w:t>
      </w:r>
    </w:p>
    <w:p w14:paraId="44F15005" w14:textId="77777777" w:rsidR="003A47C3" w:rsidRDefault="003A47C3">
      <w:pPr>
        <w:jc w:val="both"/>
      </w:pPr>
    </w:p>
    <w:p w14:paraId="78979D70" w14:textId="65558A0F" w:rsidR="003A47C3" w:rsidRDefault="00000000">
      <w:pPr>
        <w:jc w:val="both"/>
      </w:pPr>
      <w:r>
        <w:t>*Correspondence: vi</w:t>
      </w:r>
      <w:r w:rsidR="0089208E">
        <w:t>bhavis</w:t>
      </w:r>
      <w:r>
        <w:t>@</w:t>
      </w:r>
      <w:r w:rsidR="0089208E">
        <w:t>andrew.cmu</w:t>
      </w:r>
      <w:r>
        <w:t>.edu</w:t>
      </w:r>
    </w:p>
    <w:p w14:paraId="6B7FD8C8" w14:textId="77777777" w:rsidR="003A47C3" w:rsidRDefault="003A47C3">
      <w:pPr>
        <w:jc w:val="both"/>
        <w:rPr>
          <w:b/>
          <w:sz w:val="26"/>
          <w:szCs w:val="26"/>
        </w:rPr>
      </w:pPr>
    </w:p>
    <w:p w14:paraId="22AC5DAE" w14:textId="77777777" w:rsidR="003A47C3" w:rsidRDefault="003A47C3">
      <w:pPr>
        <w:jc w:val="both"/>
        <w:rPr>
          <w:b/>
          <w:sz w:val="26"/>
          <w:szCs w:val="26"/>
        </w:rPr>
      </w:pPr>
    </w:p>
    <w:p w14:paraId="49929AC7" w14:textId="77777777" w:rsidR="003A47C3" w:rsidRDefault="0000000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Supplementary Information</w:t>
      </w:r>
    </w:p>
    <w:p w14:paraId="18489179" w14:textId="77777777" w:rsidR="003A47C3" w:rsidRDefault="003A47C3">
      <w:pPr>
        <w:jc w:val="both"/>
      </w:pPr>
    </w:p>
    <w:p w14:paraId="330185E1" w14:textId="77777777" w:rsidR="003A47C3" w:rsidRDefault="003A47C3">
      <w:pPr>
        <w:jc w:val="both"/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3A47C3" w14:paraId="4BC7EFFF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9E80C" w14:textId="77777777" w:rsidR="003A47C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5B6F2EB5" wp14:editId="535FC194">
                  <wp:extent cx="4937760" cy="3555187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7760" cy="35551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47C3" w14:paraId="7E51274A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EE918" w14:textId="77777777" w:rsidR="003A47C3" w:rsidRDefault="00000000">
            <w:pPr>
              <w:jc w:val="both"/>
            </w:pPr>
            <w:r>
              <w:rPr>
                <w:b/>
                <w:sz w:val="20"/>
                <w:szCs w:val="20"/>
              </w:rPr>
              <w:t>Supplementary Figure S1.</w:t>
            </w:r>
            <w:r>
              <w:rPr>
                <w:sz w:val="20"/>
                <w:szCs w:val="20"/>
              </w:rPr>
              <w:t xml:space="preserve"> Pre-stimulus alpha (A) and pre-stimulus beta (B) power [mean and standard error of the mean (STE)] versus percent-correct score in different trials across subjects. Data are shown separately for each experimental condition (</w:t>
            </w:r>
            <w:proofErr w:type="spellStart"/>
            <w:r>
              <w:rPr>
                <w:sz w:val="20"/>
                <w:szCs w:val="20"/>
              </w:rPr>
              <w:t>SiB</w:t>
            </w:r>
            <w:proofErr w:type="spellEnd"/>
            <w:r>
              <w:rPr>
                <w:sz w:val="20"/>
                <w:szCs w:val="20"/>
              </w:rPr>
              <w:t xml:space="preserve"> versus </w:t>
            </w:r>
            <w:proofErr w:type="spellStart"/>
            <w:r>
              <w:rPr>
                <w:sz w:val="20"/>
                <w:szCs w:val="20"/>
              </w:rPr>
              <w:t>SiSSN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</w:tbl>
    <w:p w14:paraId="0A5D3F77" w14:textId="77777777" w:rsidR="003A47C3" w:rsidRDefault="003A47C3">
      <w:pPr>
        <w:jc w:val="both"/>
      </w:pPr>
    </w:p>
    <w:p w14:paraId="36587C31" w14:textId="77777777" w:rsidR="003A47C3" w:rsidRDefault="003A47C3">
      <w:pPr>
        <w:jc w:val="both"/>
      </w:pPr>
    </w:p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3A47C3" w14:paraId="7253BEEE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133F9" w14:textId="77777777" w:rsidR="003A47C3" w:rsidRDefault="00000000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1B9223DC" wp14:editId="50766146">
                  <wp:extent cx="4937760" cy="3565063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7760" cy="35650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47C3" w14:paraId="0D360598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0AAD2" w14:textId="77777777" w:rsidR="003A47C3" w:rsidRDefault="00000000">
            <w:pPr>
              <w:jc w:val="both"/>
            </w:pPr>
            <w:r>
              <w:rPr>
                <w:b/>
                <w:sz w:val="20"/>
                <w:szCs w:val="20"/>
              </w:rPr>
              <w:t>Supplementary Figure S2.</w:t>
            </w:r>
            <w:r>
              <w:rPr>
                <w:sz w:val="20"/>
                <w:szCs w:val="20"/>
              </w:rPr>
              <w:t xml:space="preserve"> During-stimulus alpha (A) and during-stimulus beta (B) power (mean and STE) versus percent-correct score in different trials across subjects. Data are shown separately for each experimental condition (</w:t>
            </w:r>
            <w:proofErr w:type="spellStart"/>
            <w:r>
              <w:rPr>
                <w:sz w:val="20"/>
                <w:szCs w:val="20"/>
              </w:rPr>
              <w:t>SiB</w:t>
            </w:r>
            <w:proofErr w:type="spellEnd"/>
            <w:r>
              <w:rPr>
                <w:sz w:val="20"/>
                <w:szCs w:val="20"/>
              </w:rPr>
              <w:t xml:space="preserve"> versus </w:t>
            </w:r>
            <w:proofErr w:type="spellStart"/>
            <w:r>
              <w:rPr>
                <w:sz w:val="20"/>
                <w:szCs w:val="20"/>
              </w:rPr>
              <w:t>SiSSN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</w:tbl>
    <w:p w14:paraId="6C8160BF" w14:textId="77777777" w:rsidR="003A47C3" w:rsidRDefault="003A47C3">
      <w:pPr>
        <w:jc w:val="both"/>
      </w:pPr>
    </w:p>
    <w:p w14:paraId="3A6978FF" w14:textId="77777777" w:rsidR="003A47C3" w:rsidRDefault="003A47C3">
      <w:pPr>
        <w:jc w:val="both"/>
        <w:rPr>
          <w:highlight w:val="white"/>
        </w:rPr>
      </w:pPr>
    </w:p>
    <w:tbl>
      <w:tblPr>
        <w:tblStyle w:val="a1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A47C3" w14:paraId="5253AEED" w14:textId="77777777">
        <w:trPr>
          <w:trHeight w:val="420"/>
        </w:trPr>
        <w:tc>
          <w:tcPr>
            <w:tcW w:w="936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3A0FB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Supplementary Table S1.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Analysis of deviance table (Type II tests) for the multinomial linear regression analysis to test whether during-stimulus alpha power </w:t>
            </w:r>
            <w:r>
              <w:rPr>
                <w:color w:val="222222"/>
                <w:sz w:val="20"/>
                <w:szCs w:val="20"/>
                <w:highlight w:val="white"/>
              </w:rPr>
              <w:t xml:space="preserve">contributes additionally to predicting percent-correct score over the contribution of pre-stimulus </w:t>
            </w:r>
            <w:r>
              <w:rPr>
                <w:sz w:val="20"/>
                <w:szCs w:val="20"/>
                <w:highlight w:val="white"/>
              </w:rPr>
              <w:t>alpha power alone, and vice-versa.</w:t>
            </w:r>
          </w:p>
        </w:tc>
      </w:tr>
      <w:tr w:rsidR="003A47C3" w14:paraId="3520C374" w14:textId="77777777">
        <w:trPr>
          <w:trHeight w:val="420"/>
        </w:trPr>
        <w:tc>
          <w:tcPr>
            <w:tcW w:w="936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A89BE" w14:textId="77777777" w:rsidR="003A47C3" w:rsidRDefault="00000000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R </w:t>
            </w:r>
            <w:r>
              <w:rPr>
                <w:sz w:val="20"/>
                <w:szCs w:val="20"/>
              </w:rPr>
              <w:t>code (uses the “</w:t>
            </w:r>
            <w:proofErr w:type="spellStart"/>
            <w:r>
              <w:rPr>
                <w:sz w:val="20"/>
                <w:szCs w:val="20"/>
              </w:rPr>
              <w:t>nnet</w:t>
            </w:r>
            <w:proofErr w:type="spellEnd"/>
            <w:r>
              <w:rPr>
                <w:sz w:val="20"/>
                <w:szCs w:val="20"/>
              </w:rPr>
              <w:t>” package):</w:t>
            </w:r>
          </w:p>
          <w:p w14:paraId="65334172" w14:textId="77777777" w:rsidR="003A47C3" w:rsidRDefault="00000000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model &lt;- </w:t>
            </w:r>
            <w:proofErr w:type="spellStart"/>
            <w:proofErr w:type="gramStart"/>
            <w:r>
              <w:rPr>
                <w:sz w:val="20"/>
                <w:szCs w:val="20"/>
                <w:highlight w:val="white"/>
              </w:rPr>
              <w:t>multinom</w:t>
            </w:r>
            <w:proofErr w:type="spellEnd"/>
            <w:r>
              <w:rPr>
                <w:sz w:val="20"/>
                <w:szCs w:val="20"/>
                <w:highlight w:val="white"/>
              </w:rPr>
              <w:t>(</w:t>
            </w:r>
            <w:proofErr w:type="gramEnd"/>
            <w:r>
              <w:rPr>
                <w:sz w:val="20"/>
                <w:szCs w:val="20"/>
                <w:highlight w:val="white"/>
              </w:rPr>
              <w:t xml:space="preserve">formula = </w:t>
            </w:r>
            <w:proofErr w:type="spellStart"/>
            <w:r>
              <w:rPr>
                <w:sz w:val="20"/>
                <w:szCs w:val="20"/>
                <w:highlight w:val="white"/>
              </w:rPr>
              <w:t>percentcorrect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~ </w:t>
            </w:r>
            <w:proofErr w:type="spellStart"/>
            <w:r>
              <w:rPr>
                <w:sz w:val="20"/>
                <w:szCs w:val="20"/>
                <w:highlight w:val="white"/>
              </w:rPr>
              <w:t>duringstimulus_alpha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+ </w:t>
            </w:r>
            <w:proofErr w:type="spellStart"/>
            <w:r>
              <w:rPr>
                <w:sz w:val="20"/>
                <w:szCs w:val="20"/>
                <w:highlight w:val="white"/>
              </w:rPr>
              <w:t>prestimulus_alpha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+ condition, data = data)</w:t>
            </w:r>
          </w:p>
          <w:p w14:paraId="7A62A354" w14:textId="77777777" w:rsidR="003A47C3" w:rsidRDefault="00000000">
            <w:pPr>
              <w:rPr>
                <w:sz w:val="20"/>
                <w:szCs w:val="20"/>
                <w:highlight w:val="white"/>
              </w:rPr>
            </w:pPr>
            <w:proofErr w:type="spellStart"/>
            <w:r>
              <w:rPr>
                <w:sz w:val="20"/>
                <w:szCs w:val="20"/>
              </w:rPr>
              <w:t>Anova</w:t>
            </w:r>
            <w:proofErr w:type="spellEnd"/>
            <w:r>
              <w:rPr>
                <w:sz w:val="20"/>
                <w:szCs w:val="20"/>
              </w:rPr>
              <w:t>(model)</w:t>
            </w:r>
          </w:p>
        </w:tc>
      </w:tr>
      <w:tr w:rsidR="003A47C3" w14:paraId="7D6568E7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70F62" w14:textId="77777777" w:rsidR="003A47C3" w:rsidRDefault="003A47C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5FF10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Chi-square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6E832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Degree of freedom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6A8C6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Probability(&gt;Chi-square)</w:t>
            </w:r>
          </w:p>
        </w:tc>
      </w:tr>
      <w:tr w:rsidR="003A47C3" w14:paraId="3E167159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64FDE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duringstimulus_alpha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2D9BA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13.912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7ABDB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8D0FD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0.01618</w:t>
            </w:r>
          </w:p>
        </w:tc>
      </w:tr>
      <w:tr w:rsidR="003A47C3" w14:paraId="1FD499AC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72B56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prestimulus_alpha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6716F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9.933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A9E72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D3D46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0.07717</w:t>
            </w:r>
          </w:p>
        </w:tc>
      </w:tr>
      <w:tr w:rsidR="003A47C3" w14:paraId="7699FA2A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81CE6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condition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96CFC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38.673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6D9AF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9FC20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2.763e-07</w:t>
            </w:r>
          </w:p>
        </w:tc>
      </w:tr>
    </w:tbl>
    <w:p w14:paraId="0C1F1359" w14:textId="77777777" w:rsidR="003A47C3" w:rsidRDefault="003A47C3">
      <w:pPr>
        <w:jc w:val="both"/>
      </w:pPr>
    </w:p>
    <w:p w14:paraId="1F35FB00" w14:textId="77777777" w:rsidR="003A47C3" w:rsidRDefault="003A47C3">
      <w:pPr>
        <w:jc w:val="both"/>
      </w:pPr>
    </w:p>
    <w:tbl>
      <w:tblPr>
        <w:tblStyle w:val="a2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A47C3" w14:paraId="74D0B387" w14:textId="77777777">
        <w:trPr>
          <w:trHeight w:val="420"/>
        </w:trPr>
        <w:tc>
          <w:tcPr>
            <w:tcW w:w="936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AF548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Supplementary Table S2.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Analysis of deviance table (Type II tests) for the multinomial linear regression analysis to test whether during-stimulus beta power </w:t>
            </w:r>
            <w:r>
              <w:rPr>
                <w:color w:val="222222"/>
                <w:sz w:val="20"/>
                <w:szCs w:val="20"/>
                <w:highlight w:val="white"/>
              </w:rPr>
              <w:t xml:space="preserve">contributes additionally to predicting percent-correct score over the contribution of pre-stimulus </w:t>
            </w:r>
            <w:r>
              <w:rPr>
                <w:sz w:val="20"/>
                <w:szCs w:val="20"/>
                <w:highlight w:val="white"/>
              </w:rPr>
              <w:t>beta power alone, and vice-versa.</w:t>
            </w:r>
          </w:p>
        </w:tc>
      </w:tr>
      <w:tr w:rsidR="003A47C3" w14:paraId="6FE38B8F" w14:textId="77777777">
        <w:trPr>
          <w:trHeight w:val="420"/>
        </w:trPr>
        <w:tc>
          <w:tcPr>
            <w:tcW w:w="936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4434C" w14:textId="77777777" w:rsidR="003A47C3" w:rsidRDefault="00000000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R </w:t>
            </w:r>
            <w:r>
              <w:rPr>
                <w:sz w:val="20"/>
                <w:szCs w:val="20"/>
              </w:rPr>
              <w:t>code (uses the “</w:t>
            </w:r>
            <w:proofErr w:type="spellStart"/>
            <w:r>
              <w:rPr>
                <w:sz w:val="20"/>
                <w:szCs w:val="20"/>
              </w:rPr>
              <w:t>nnet</w:t>
            </w:r>
            <w:proofErr w:type="spellEnd"/>
            <w:r>
              <w:rPr>
                <w:sz w:val="20"/>
                <w:szCs w:val="20"/>
              </w:rPr>
              <w:t>” package):</w:t>
            </w:r>
          </w:p>
          <w:p w14:paraId="3E167AD3" w14:textId="77777777" w:rsidR="003A47C3" w:rsidRDefault="00000000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model &lt;- </w:t>
            </w:r>
            <w:proofErr w:type="spellStart"/>
            <w:proofErr w:type="gramStart"/>
            <w:r>
              <w:rPr>
                <w:sz w:val="20"/>
                <w:szCs w:val="20"/>
                <w:highlight w:val="white"/>
              </w:rPr>
              <w:t>multinom</w:t>
            </w:r>
            <w:proofErr w:type="spellEnd"/>
            <w:r>
              <w:rPr>
                <w:sz w:val="20"/>
                <w:szCs w:val="20"/>
                <w:highlight w:val="white"/>
              </w:rPr>
              <w:t>(</w:t>
            </w:r>
            <w:proofErr w:type="gramEnd"/>
            <w:r>
              <w:rPr>
                <w:sz w:val="20"/>
                <w:szCs w:val="20"/>
                <w:highlight w:val="white"/>
              </w:rPr>
              <w:t xml:space="preserve">formula = </w:t>
            </w:r>
            <w:proofErr w:type="spellStart"/>
            <w:r>
              <w:rPr>
                <w:sz w:val="20"/>
                <w:szCs w:val="20"/>
                <w:highlight w:val="white"/>
              </w:rPr>
              <w:t>percentcorrect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~ </w:t>
            </w:r>
            <w:proofErr w:type="spellStart"/>
            <w:r>
              <w:rPr>
                <w:sz w:val="20"/>
                <w:szCs w:val="20"/>
                <w:highlight w:val="white"/>
              </w:rPr>
              <w:t>duringstimulus_beta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+ </w:t>
            </w:r>
            <w:proofErr w:type="spellStart"/>
            <w:r>
              <w:rPr>
                <w:sz w:val="20"/>
                <w:szCs w:val="20"/>
                <w:highlight w:val="white"/>
              </w:rPr>
              <w:t>prestimulus_beta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+ condition, data = data)</w:t>
            </w:r>
          </w:p>
          <w:p w14:paraId="7F72BDAD" w14:textId="77777777" w:rsidR="003A47C3" w:rsidRDefault="00000000">
            <w:pPr>
              <w:rPr>
                <w:sz w:val="20"/>
                <w:szCs w:val="20"/>
                <w:highlight w:val="white"/>
              </w:rPr>
            </w:pPr>
            <w:proofErr w:type="spellStart"/>
            <w:r>
              <w:rPr>
                <w:sz w:val="20"/>
                <w:szCs w:val="20"/>
              </w:rPr>
              <w:t>Anova</w:t>
            </w:r>
            <w:proofErr w:type="spellEnd"/>
            <w:r>
              <w:rPr>
                <w:sz w:val="20"/>
                <w:szCs w:val="20"/>
              </w:rPr>
              <w:t>(model)</w:t>
            </w:r>
          </w:p>
        </w:tc>
      </w:tr>
      <w:tr w:rsidR="003A47C3" w14:paraId="5115FBB6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DD494" w14:textId="77777777" w:rsidR="003A47C3" w:rsidRDefault="003A47C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0ED56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Chi-square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DBF3B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Degree of freedom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DFCBE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Probability(&gt;Chi-square)</w:t>
            </w:r>
          </w:p>
        </w:tc>
      </w:tr>
      <w:tr w:rsidR="003A47C3" w14:paraId="77463294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6442A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duringstimulus_beta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1F14D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12.931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2DBFC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E1131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0.02404</w:t>
            </w:r>
          </w:p>
        </w:tc>
      </w:tr>
      <w:tr w:rsidR="003A47C3" w14:paraId="2A36B5FF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F574B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prestimulus_beta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4B814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4.089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6BD51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9B58C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0.53674</w:t>
            </w:r>
          </w:p>
        </w:tc>
      </w:tr>
      <w:tr w:rsidR="003A47C3" w14:paraId="2BEA5323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0AE1D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condition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44409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38.371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2DB44" w14:textId="77777777" w:rsidR="003A47C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2C348" w14:textId="77777777" w:rsidR="003A47C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3.178e-07</w:t>
            </w:r>
          </w:p>
        </w:tc>
      </w:tr>
    </w:tbl>
    <w:p w14:paraId="57841F1C" w14:textId="77777777" w:rsidR="003A47C3" w:rsidRDefault="003A47C3">
      <w:pPr>
        <w:jc w:val="both"/>
        <w:rPr>
          <w:highlight w:val="white"/>
        </w:rPr>
      </w:pPr>
    </w:p>
    <w:p w14:paraId="02AA5443" w14:textId="77777777" w:rsidR="003A47C3" w:rsidRDefault="003A47C3">
      <w:pPr>
        <w:jc w:val="both"/>
        <w:rPr>
          <w:highlight w:val="white"/>
        </w:rPr>
      </w:pPr>
    </w:p>
    <w:sectPr w:rsidR="003A47C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7C3"/>
    <w:rsid w:val="003A47C3"/>
    <w:rsid w:val="00444F10"/>
    <w:rsid w:val="0089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66E899"/>
  <w15:docId w15:val="{31FEF73A-20E1-F344-BC18-09C15AB1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Viswanathan, Vibha</cp:lastModifiedBy>
  <cp:revision>3</cp:revision>
  <dcterms:created xsi:type="dcterms:W3CDTF">2023-05-22T13:18:00Z</dcterms:created>
  <dcterms:modified xsi:type="dcterms:W3CDTF">2023-05-22T13:18:00Z</dcterms:modified>
</cp:coreProperties>
</file>