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16BC" w14:textId="410A2F70" w:rsidR="008C4359" w:rsidRPr="008C4359" w:rsidRDefault="008C4359" w:rsidP="008C4359">
      <w:pPr>
        <w:spacing w:line="480" w:lineRule="auto"/>
        <w:rPr>
          <w:rFonts w:ascii="Times" w:hAnsi="Times"/>
          <w:b/>
          <w:bCs/>
        </w:rPr>
      </w:pPr>
      <w:r w:rsidRPr="008C4359">
        <w:rPr>
          <w:rFonts w:ascii="Times" w:hAnsi="Times"/>
          <w:b/>
          <w:bCs/>
        </w:rPr>
        <w:t xml:space="preserve">A neonicotinoid pesticide alters </w:t>
      </w:r>
      <w:r w:rsidRPr="008C4359">
        <w:rPr>
          <w:rFonts w:ascii="Times" w:hAnsi="Times"/>
          <w:b/>
          <w:bCs/>
          <w:i/>
          <w:iCs/>
        </w:rPr>
        <w:t>Drosophila</w:t>
      </w:r>
      <w:r w:rsidRPr="008C4359">
        <w:rPr>
          <w:rFonts w:ascii="Times" w:hAnsi="Times"/>
          <w:b/>
          <w:bCs/>
        </w:rPr>
        <w:t xml:space="preserve"> olfactory processing</w:t>
      </w:r>
    </w:p>
    <w:p w14:paraId="567278A1" w14:textId="59DC6B3B" w:rsidR="008C4359" w:rsidRPr="008C4359" w:rsidRDefault="008C4359" w:rsidP="002A7230">
      <w:pPr>
        <w:spacing w:line="480" w:lineRule="auto"/>
        <w:rPr>
          <w:rFonts w:ascii="Times" w:hAnsi="Times"/>
          <w:vertAlign w:val="superscript"/>
        </w:rPr>
      </w:pPr>
      <w:r w:rsidRPr="008C4359">
        <w:rPr>
          <w:rFonts w:ascii="Times" w:hAnsi="Times"/>
        </w:rPr>
        <w:t>Anna R. Tatarko*, Anne S. Leonard, Dennis Mathew</w:t>
      </w:r>
    </w:p>
    <w:p w14:paraId="45E3D243" w14:textId="77777777" w:rsidR="008C4359" w:rsidRPr="008C4359" w:rsidRDefault="008C4359" w:rsidP="002A7230">
      <w:pPr>
        <w:spacing w:line="480" w:lineRule="auto"/>
        <w:rPr>
          <w:rFonts w:ascii="Times" w:hAnsi="Times"/>
          <w:b/>
          <w:bCs/>
        </w:rPr>
      </w:pPr>
    </w:p>
    <w:p w14:paraId="7B3974E2" w14:textId="149811FB" w:rsidR="002A7230" w:rsidRPr="000B3FAD" w:rsidRDefault="002A7230" w:rsidP="002A7230">
      <w:pPr>
        <w:spacing w:line="480" w:lineRule="auto"/>
        <w:rPr>
          <w:rFonts w:ascii="Times" w:hAnsi="Times"/>
          <w:b/>
          <w:bCs/>
        </w:rPr>
      </w:pPr>
      <w:r w:rsidRPr="008C4359">
        <w:rPr>
          <w:rFonts w:ascii="Times" w:hAnsi="Times"/>
          <w:b/>
          <w:bCs/>
        </w:rPr>
        <w:t>Supplement</w:t>
      </w:r>
      <w:r w:rsidR="008C4359" w:rsidRPr="008C4359">
        <w:rPr>
          <w:rFonts w:ascii="Times" w:hAnsi="Times"/>
          <w:b/>
          <w:bCs/>
        </w:rPr>
        <w:t>ary Material</w:t>
      </w:r>
    </w:p>
    <w:p w14:paraId="27885403" w14:textId="287CA418" w:rsidR="002A7230" w:rsidRPr="008C4359" w:rsidRDefault="002432BE" w:rsidP="002A7230">
      <w:pPr>
        <w:spacing w:line="480" w:lineRule="auto"/>
        <w:rPr>
          <w:rFonts w:ascii="Times" w:hAnsi="Times"/>
        </w:rPr>
      </w:pPr>
      <w:r w:rsidRPr="008C4359">
        <w:rPr>
          <w:rFonts w:ascii="Times" w:hAnsi="Times"/>
          <w:noProof/>
        </w:rPr>
        <w:drawing>
          <wp:inline distT="0" distB="0" distL="0" distR="0" wp14:anchorId="50AFE597" wp14:editId="29920C8F">
            <wp:extent cx="5943600" cy="5580380"/>
            <wp:effectExtent l="0" t="0" r="0" b="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D025" w14:textId="6EF479AA" w:rsidR="005B39A8" w:rsidRDefault="002A7230" w:rsidP="00872299">
      <w:pPr>
        <w:spacing w:line="480" w:lineRule="auto"/>
        <w:rPr>
          <w:rFonts w:ascii="Times" w:hAnsi="Times"/>
        </w:rPr>
      </w:pPr>
      <w:r w:rsidRPr="008C4359">
        <w:rPr>
          <w:rFonts w:ascii="Times" w:hAnsi="Times"/>
        </w:rPr>
        <w:t>Fig S</w:t>
      </w:r>
      <w:r w:rsidR="00A72D8C">
        <w:rPr>
          <w:rFonts w:ascii="Times" w:hAnsi="Times"/>
        </w:rPr>
        <w:t>1</w:t>
      </w:r>
      <w:r w:rsidRPr="008C4359">
        <w:rPr>
          <w:rFonts w:ascii="Times" w:hAnsi="Times"/>
        </w:rPr>
        <w:t>. Example</w:t>
      </w:r>
      <w:r w:rsidR="008C4359">
        <w:rPr>
          <w:rFonts w:ascii="Times" w:hAnsi="Times"/>
        </w:rPr>
        <w:t>s</w:t>
      </w:r>
      <w:r w:rsidRPr="008C4359">
        <w:rPr>
          <w:rFonts w:ascii="Times" w:hAnsi="Times"/>
        </w:rPr>
        <w:t xml:space="preserve"> of the AB3 neuron’s activity in response to odor</w:t>
      </w:r>
      <w:r w:rsidR="008C4359">
        <w:rPr>
          <w:rFonts w:ascii="Times" w:hAnsi="Times"/>
        </w:rPr>
        <w:t xml:space="preserve"> stimulus</w:t>
      </w:r>
      <w:r w:rsidRPr="008C4359">
        <w:rPr>
          <w:rFonts w:ascii="Times" w:hAnsi="Times"/>
        </w:rPr>
        <w:t xml:space="preserve"> </w:t>
      </w:r>
      <w:r w:rsidR="00EF4C8C">
        <w:rPr>
          <w:rFonts w:ascii="Times" w:hAnsi="Times"/>
        </w:rPr>
        <w:t xml:space="preserve">in Exp. 2 </w:t>
      </w:r>
      <w:r w:rsidRPr="008C4359">
        <w:rPr>
          <w:rFonts w:ascii="Times" w:hAnsi="Times"/>
        </w:rPr>
        <w:t>(</w:t>
      </w:r>
      <w:r w:rsidR="008C4359">
        <w:rPr>
          <w:rFonts w:ascii="Times" w:hAnsi="Times"/>
        </w:rPr>
        <w:t xml:space="preserve">odor presented at </w:t>
      </w:r>
      <w:r w:rsidRPr="008C4359">
        <w:rPr>
          <w:rFonts w:ascii="Times" w:hAnsi="Times"/>
        </w:rPr>
        <w:t>T</w:t>
      </w:r>
      <w:r w:rsidR="008C4359">
        <w:rPr>
          <w:rFonts w:ascii="Times" w:hAnsi="Times"/>
        </w:rPr>
        <w:t xml:space="preserve"> </w:t>
      </w:r>
      <w:r w:rsidRPr="008C4359">
        <w:rPr>
          <w:rFonts w:ascii="Times" w:hAnsi="Times"/>
        </w:rPr>
        <w:t xml:space="preserve">= 1 second, </w:t>
      </w:r>
      <w:r w:rsidR="008C4359">
        <w:rPr>
          <w:rFonts w:ascii="Times" w:hAnsi="Times"/>
        </w:rPr>
        <w:t xml:space="preserve">denoted with an </w:t>
      </w:r>
      <w:r w:rsidRPr="008C4359">
        <w:rPr>
          <w:rFonts w:ascii="Times" w:hAnsi="Times"/>
        </w:rPr>
        <w:t>orange box) over ten seconds</w:t>
      </w:r>
      <w:r w:rsidR="008C4359">
        <w:rPr>
          <w:rFonts w:ascii="Times" w:hAnsi="Times"/>
        </w:rPr>
        <w:t xml:space="preserve"> (a)</w:t>
      </w:r>
      <w:r w:rsidRPr="008C4359">
        <w:rPr>
          <w:rFonts w:ascii="Times" w:hAnsi="Times"/>
        </w:rPr>
        <w:t xml:space="preserve">. We quantified </w:t>
      </w:r>
      <w:r w:rsidR="00C01EA2">
        <w:rPr>
          <w:rFonts w:ascii="Times" w:hAnsi="Times"/>
        </w:rPr>
        <w:t xml:space="preserve">the </w:t>
      </w:r>
      <w:r w:rsidRPr="008C4359">
        <w:rPr>
          <w:rFonts w:ascii="Times" w:hAnsi="Times"/>
        </w:rPr>
        <w:t xml:space="preserve">response in the first </w:t>
      </w:r>
      <w:r w:rsidR="008C4359">
        <w:rPr>
          <w:rFonts w:ascii="Times" w:hAnsi="Times"/>
        </w:rPr>
        <w:t>500</w:t>
      </w:r>
      <w:r w:rsidRPr="008C4359">
        <w:rPr>
          <w:rFonts w:ascii="Times" w:hAnsi="Times"/>
        </w:rPr>
        <w:t xml:space="preserve"> </w:t>
      </w:r>
      <w:r w:rsidR="008C4359">
        <w:rPr>
          <w:rFonts w:ascii="Times" w:hAnsi="Times"/>
        </w:rPr>
        <w:t>mill</w:t>
      </w:r>
      <w:r w:rsidR="008C4359" w:rsidRPr="008C4359">
        <w:rPr>
          <w:rFonts w:ascii="Times" w:hAnsi="Times"/>
        </w:rPr>
        <w:t>iseconds</w:t>
      </w:r>
      <w:r w:rsidRPr="008C4359">
        <w:rPr>
          <w:rFonts w:ascii="Times" w:hAnsi="Times"/>
        </w:rPr>
        <w:t xml:space="preserve"> of odor detection (</w:t>
      </w:r>
      <w:r w:rsidR="008C4359">
        <w:rPr>
          <w:rFonts w:ascii="Times" w:hAnsi="Times"/>
        </w:rPr>
        <w:t xml:space="preserve">denoted with a </w:t>
      </w:r>
      <w:r w:rsidR="002432BE" w:rsidRPr="008C4359">
        <w:rPr>
          <w:rFonts w:ascii="Times" w:hAnsi="Times"/>
        </w:rPr>
        <w:t xml:space="preserve">shaded </w:t>
      </w:r>
      <w:r w:rsidRPr="008C4359">
        <w:rPr>
          <w:rFonts w:ascii="Times" w:hAnsi="Times"/>
        </w:rPr>
        <w:t xml:space="preserve">gray box). </w:t>
      </w:r>
      <w:r w:rsidRPr="008C4359">
        <w:rPr>
          <w:rFonts w:ascii="Times" w:hAnsi="Times"/>
        </w:rPr>
        <w:lastRenderedPageBreak/>
        <w:t>Responses are shown in a fly dosed with 0</w:t>
      </w:r>
      <w:r w:rsidR="008C4359">
        <w:rPr>
          <w:rFonts w:ascii="Times" w:hAnsi="Times"/>
        </w:rPr>
        <w:t xml:space="preserve"> </w:t>
      </w:r>
      <w:r w:rsidR="008C4359" w:rsidRPr="008C4359">
        <w:rPr>
          <w:rFonts w:ascii="Times" w:hAnsi="Times" w:cs="Calibri"/>
        </w:rPr>
        <w:t>µ</w:t>
      </w:r>
      <w:r w:rsidRPr="008C4359">
        <w:rPr>
          <w:rFonts w:ascii="Times" w:hAnsi="Times"/>
        </w:rPr>
        <w:t xml:space="preserve">M </w:t>
      </w:r>
      <w:r w:rsidR="008C4359">
        <w:rPr>
          <w:rFonts w:ascii="Times" w:hAnsi="Times"/>
        </w:rPr>
        <w:t xml:space="preserve">(top) </w:t>
      </w:r>
      <w:r w:rsidRPr="008C4359">
        <w:rPr>
          <w:rFonts w:ascii="Times" w:hAnsi="Times"/>
        </w:rPr>
        <w:t xml:space="preserve">of imidacloprid and a fly dosed with 100 </w:t>
      </w:r>
      <w:r w:rsidR="002432BE" w:rsidRPr="008C4359">
        <w:rPr>
          <w:rFonts w:ascii="Times" w:hAnsi="Times" w:cs="Calibri"/>
        </w:rPr>
        <w:t>µ</w:t>
      </w:r>
      <w:r w:rsidRPr="008C4359">
        <w:rPr>
          <w:rFonts w:ascii="Times" w:hAnsi="Times"/>
        </w:rPr>
        <w:t xml:space="preserve">M </w:t>
      </w:r>
      <w:r w:rsidR="008C4359">
        <w:rPr>
          <w:rFonts w:ascii="Times" w:hAnsi="Times"/>
        </w:rPr>
        <w:t xml:space="preserve">(bottom) </w:t>
      </w:r>
      <w:r w:rsidRPr="008C4359">
        <w:rPr>
          <w:rFonts w:ascii="Times" w:hAnsi="Times"/>
        </w:rPr>
        <w:t xml:space="preserve">of </w:t>
      </w:r>
      <w:r w:rsidR="00215E07">
        <w:rPr>
          <w:rFonts w:ascii="Times" w:hAnsi="Times"/>
        </w:rPr>
        <w:t>IMD</w:t>
      </w:r>
      <w:r w:rsidRPr="008C4359">
        <w:rPr>
          <w:rFonts w:ascii="Times" w:hAnsi="Times"/>
        </w:rPr>
        <w:t>.</w:t>
      </w:r>
      <w:r w:rsidR="00EF4C8C">
        <w:rPr>
          <w:rFonts w:ascii="Times" w:hAnsi="Times"/>
        </w:rPr>
        <w:t xml:space="preserve"> (b) </w:t>
      </w:r>
      <w:r w:rsidRPr="008C4359">
        <w:rPr>
          <w:rFonts w:ascii="Times" w:hAnsi="Times"/>
        </w:rPr>
        <w:t xml:space="preserve">EAG response to an odor in response to an odor </w:t>
      </w:r>
      <w:r w:rsidR="00EF4C8C">
        <w:rPr>
          <w:rFonts w:ascii="Times" w:hAnsi="Times"/>
        </w:rPr>
        <w:t xml:space="preserve">measured in Exp. 3 </w:t>
      </w:r>
      <w:r w:rsidRPr="008C4359">
        <w:rPr>
          <w:rFonts w:ascii="Times" w:hAnsi="Times"/>
        </w:rPr>
        <w:t>(</w:t>
      </w:r>
      <w:r w:rsidR="008C4359">
        <w:rPr>
          <w:rFonts w:ascii="Times" w:hAnsi="Times"/>
        </w:rPr>
        <w:t xml:space="preserve">odor presented at </w:t>
      </w:r>
      <w:r w:rsidR="008C4359" w:rsidRPr="008C4359">
        <w:rPr>
          <w:rFonts w:ascii="Times" w:hAnsi="Times"/>
        </w:rPr>
        <w:t>T</w:t>
      </w:r>
      <w:r w:rsidR="008C4359">
        <w:rPr>
          <w:rFonts w:ascii="Times" w:hAnsi="Times"/>
        </w:rPr>
        <w:t xml:space="preserve"> </w:t>
      </w:r>
      <w:r w:rsidR="008C4359" w:rsidRPr="008C4359">
        <w:rPr>
          <w:rFonts w:ascii="Times" w:hAnsi="Times"/>
        </w:rPr>
        <w:t xml:space="preserve">= 1 second, </w:t>
      </w:r>
      <w:r w:rsidR="008C4359">
        <w:rPr>
          <w:rFonts w:ascii="Times" w:hAnsi="Times"/>
        </w:rPr>
        <w:t xml:space="preserve">denoted with an </w:t>
      </w:r>
      <w:r w:rsidR="008C4359" w:rsidRPr="008C4359">
        <w:rPr>
          <w:rFonts w:ascii="Times" w:hAnsi="Times"/>
        </w:rPr>
        <w:t>orange box</w:t>
      </w:r>
      <w:r w:rsidRPr="008C4359">
        <w:rPr>
          <w:rFonts w:ascii="Times" w:hAnsi="Times"/>
        </w:rPr>
        <w:t>)</w:t>
      </w:r>
      <w:r w:rsidR="00EF4C8C">
        <w:rPr>
          <w:rFonts w:ascii="Times" w:hAnsi="Times"/>
        </w:rPr>
        <w:t>.</w:t>
      </w:r>
      <w:r w:rsidRPr="008C4359">
        <w:rPr>
          <w:rFonts w:ascii="Times" w:hAnsi="Times"/>
        </w:rPr>
        <w:t xml:space="preserve"> </w:t>
      </w:r>
      <w:r w:rsidR="00EF4C8C">
        <w:rPr>
          <w:rFonts w:ascii="Times" w:hAnsi="Times"/>
        </w:rPr>
        <w:t>F</w:t>
      </w:r>
      <w:r w:rsidRPr="008C4359">
        <w:rPr>
          <w:rFonts w:ascii="Times" w:hAnsi="Times"/>
        </w:rPr>
        <w:t xml:space="preserve">lies </w:t>
      </w:r>
      <w:r w:rsidR="00EF4C8C">
        <w:rPr>
          <w:rFonts w:ascii="Times" w:hAnsi="Times"/>
        </w:rPr>
        <w:t xml:space="preserve">were </w:t>
      </w:r>
      <w:r w:rsidRPr="008C4359">
        <w:rPr>
          <w:rFonts w:ascii="Times" w:hAnsi="Times"/>
        </w:rPr>
        <w:t xml:space="preserve">dosed with 0 </w:t>
      </w:r>
      <w:r w:rsidR="008C4359" w:rsidRPr="008C4359">
        <w:rPr>
          <w:rFonts w:ascii="Times" w:hAnsi="Times" w:cs="Calibri"/>
        </w:rPr>
        <w:t>µ</w:t>
      </w:r>
      <w:r w:rsidRPr="008C4359">
        <w:rPr>
          <w:rFonts w:ascii="Times" w:hAnsi="Times"/>
        </w:rPr>
        <w:t>m (with individual response in a purple cloud with mean response in bold)</w:t>
      </w:r>
      <w:r w:rsidR="00EF4C8C">
        <w:rPr>
          <w:rFonts w:ascii="Times" w:hAnsi="Times"/>
        </w:rPr>
        <w:t xml:space="preserve"> or </w:t>
      </w:r>
      <w:r w:rsidRPr="008C4359">
        <w:rPr>
          <w:rFonts w:ascii="Times" w:hAnsi="Times"/>
        </w:rPr>
        <w:t xml:space="preserve">100 </w:t>
      </w:r>
      <w:r w:rsidR="002432BE" w:rsidRPr="008C4359">
        <w:rPr>
          <w:rFonts w:ascii="Times" w:hAnsi="Times" w:cs="Calibri"/>
        </w:rPr>
        <w:t>µ</w:t>
      </w:r>
      <w:r w:rsidR="002432BE" w:rsidRPr="008C4359">
        <w:rPr>
          <w:rFonts w:ascii="Times" w:hAnsi="Times"/>
        </w:rPr>
        <w:t xml:space="preserve">M </w:t>
      </w:r>
      <w:r w:rsidR="00580E8C">
        <w:rPr>
          <w:rFonts w:ascii="Times" w:hAnsi="Times"/>
        </w:rPr>
        <w:t xml:space="preserve">IMD </w:t>
      </w:r>
      <w:r w:rsidRPr="008C4359">
        <w:rPr>
          <w:rFonts w:ascii="Times" w:hAnsi="Times"/>
        </w:rPr>
        <w:t xml:space="preserve">(with individual response in a </w:t>
      </w:r>
      <w:r w:rsidR="008C4359">
        <w:rPr>
          <w:rFonts w:ascii="Times" w:hAnsi="Times"/>
        </w:rPr>
        <w:t>yellow</w:t>
      </w:r>
      <w:r w:rsidRPr="008C4359">
        <w:rPr>
          <w:rFonts w:ascii="Times" w:hAnsi="Times"/>
        </w:rPr>
        <w:t xml:space="preserve"> cloud with mean response in bold</w:t>
      </w:r>
      <w:r w:rsidR="00EF4C8C">
        <w:rPr>
          <w:rFonts w:ascii="Times" w:hAnsi="Times"/>
        </w:rPr>
        <w:t>)</w:t>
      </w:r>
      <w:r w:rsidRPr="008C4359">
        <w:rPr>
          <w:rFonts w:ascii="Times" w:hAnsi="Times"/>
        </w:rPr>
        <w:t>.</w:t>
      </w:r>
    </w:p>
    <w:p w14:paraId="33B05BC1" w14:textId="77777777" w:rsidR="001E6968" w:rsidRPr="00C4710F" w:rsidRDefault="001E6968" w:rsidP="00872299">
      <w:pPr>
        <w:spacing w:line="480" w:lineRule="auto"/>
        <w:rPr>
          <w:rFonts w:ascii="Times" w:hAnsi="Times"/>
          <w:color w:val="000000" w:themeColor="text1"/>
        </w:rPr>
      </w:pPr>
    </w:p>
    <w:p w14:paraId="5945135C" w14:textId="7995BDCF" w:rsidR="001E6968" w:rsidRPr="00C4710F" w:rsidRDefault="001E6968" w:rsidP="00872299">
      <w:pPr>
        <w:spacing w:line="480" w:lineRule="auto"/>
        <w:rPr>
          <w:rFonts w:ascii="Times" w:hAnsi="Times"/>
          <w:color w:val="000000" w:themeColor="text1"/>
        </w:rPr>
      </w:pPr>
    </w:p>
    <w:p w14:paraId="0F38B6FF" w14:textId="3047CD87" w:rsidR="001E6968" w:rsidRPr="00C4710F" w:rsidRDefault="00425241" w:rsidP="00872299">
      <w:pPr>
        <w:spacing w:line="480" w:lineRule="auto"/>
        <w:rPr>
          <w:rFonts w:ascii="Times" w:hAnsi="Times"/>
          <w:color w:val="000000" w:themeColor="text1"/>
        </w:rPr>
      </w:pPr>
      <w:r w:rsidRPr="00C4710F">
        <w:rPr>
          <w:rFonts w:ascii="Times" w:hAnsi="Times"/>
          <w:color w:val="000000" w:themeColor="text1"/>
        </w:rPr>
        <w:t>Table</w:t>
      </w:r>
      <w:r w:rsidR="00237682" w:rsidRPr="00C4710F">
        <w:rPr>
          <w:rFonts w:ascii="Times" w:hAnsi="Times"/>
          <w:color w:val="000000" w:themeColor="text1"/>
        </w:rPr>
        <w:t xml:space="preserve"> </w:t>
      </w:r>
      <w:r w:rsidR="002672A4" w:rsidRPr="00C4710F">
        <w:rPr>
          <w:rFonts w:ascii="Times" w:hAnsi="Times"/>
          <w:color w:val="000000" w:themeColor="text1"/>
        </w:rPr>
        <w:t>S</w:t>
      </w:r>
      <w:r w:rsidR="006E3D20" w:rsidRPr="00C4710F">
        <w:rPr>
          <w:rFonts w:ascii="Times" w:hAnsi="Times"/>
          <w:color w:val="000000" w:themeColor="text1"/>
        </w:rPr>
        <w:t>1</w:t>
      </w:r>
      <w:r w:rsidR="00237682" w:rsidRPr="00C4710F">
        <w:rPr>
          <w:rFonts w:ascii="Times" w:hAnsi="Times"/>
          <w:color w:val="000000" w:themeColor="text1"/>
        </w:rPr>
        <w:t xml:space="preserve">. </w:t>
      </w:r>
      <w:r w:rsidRPr="00C4710F">
        <w:rPr>
          <w:rFonts w:ascii="Times" w:hAnsi="Times"/>
          <w:color w:val="000000" w:themeColor="text1"/>
        </w:rPr>
        <w:t>E</w:t>
      </w:r>
      <w:r w:rsidR="00237682" w:rsidRPr="00C4710F">
        <w:rPr>
          <w:rFonts w:ascii="Times" w:hAnsi="Times"/>
          <w:color w:val="000000" w:themeColor="text1"/>
        </w:rPr>
        <w:t>xpression of the Dα1</w:t>
      </w:r>
      <w:r w:rsidRPr="00C4710F">
        <w:rPr>
          <w:rFonts w:ascii="Times" w:hAnsi="Times"/>
          <w:color w:val="000000" w:themeColor="text1"/>
        </w:rPr>
        <w:t>,</w:t>
      </w:r>
      <w:r w:rsidR="00237682" w:rsidRPr="00C4710F">
        <w:rPr>
          <w:rFonts w:ascii="Times" w:hAnsi="Times"/>
          <w:color w:val="000000" w:themeColor="text1"/>
        </w:rPr>
        <w:t xml:space="preserve"> Dα2</w:t>
      </w:r>
      <w:r w:rsidRPr="00C4710F">
        <w:rPr>
          <w:rFonts w:ascii="Times" w:hAnsi="Times"/>
          <w:color w:val="000000" w:themeColor="text1"/>
        </w:rPr>
        <w:t>,</w:t>
      </w:r>
      <w:r w:rsidR="00237682" w:rsidRPr="00C4710F">
        <w:rPr>
          <w:rFonts w:ascii="Times" w:hAnsi="Times"/>
          <w:color w:val="000000" w:themeColor="text1"/>
        </w:rPr>
        <w:t xml:space="preserve"> Dβ1</w:t>
      </w:r>
      <w:r w:rsidRPr="00C4710F">
        <w:rPr>
          <w:rFonts w:ascii="Times" w:hAnsi="Times"/>
          <w:color w:val="000000" w:themeColor="text1"/>
        </w:rPr>
        <w:t>,</w:t>
      </w:r>
      <w:r w:rsidR="00237682" w:rsidRPr="00C4710F">
        <w:rPr>
          <w:rFonts w:ascii="Times" w:hAnsi="Times"/>
          <w:color w:val="000000" w:themeColor="text1"/>
        </w:rPr>
        <w:t xml:space="preserve"> and Dβ2 subunits of antennal </w:t>
      </w:r>
      <w:r w:rsidR="00B609A1" w:rsidRPr="00C4710F">
        <w:rPr>
          <w:rFonts w:ascii="Times" w:hAnsi="Times"/>
          <w:color w:val="000000" w:themeColor="text1"/>
        </w:rPr>
        <w:t>nicotinic acetylcholine receptors (</w:t>
      </w:r>
      <w:proofErr w:type="spellStart"/>
      <w:r w:rsidR="00237682" w:rsidRPr="00C4710F">
        <w:rPr>
          <w:rFonts w:ascii="Times" w:hAnsi="Times"/>
          <w:color w:val="000000" w:themeColor="text1"/>
        </w:rPr>
        <w:t>nAChRs</w:t>
      </w:r>
      <w:proofErr w:type="spellEnd"/>
      <w:r w:rsidR="00B609A1" w:rsidRPr="00C4710F">
        <w:rPr>
          <w:rFonts w:ascii="Times" w:hAnsi="Times"/>
          <w:color w:val="000000" w:themeColor="text1"/>
        </w:rPr>
        <w:t>)</w:t>
      </w:r>
      <w:r w:rsidRPr="00C4710F">
        <w:rPr>
          <w:rFonts w:ascii="Times" w:hAnsi="Times"/>
          <w:color w:val="000000" w:themeColor="text1"/>
        </w:rPr>
        <w:t xml:space="preserve"> by cell type examined. Specifically, our </w:t>
      </w:r>
      <w:r w:rsidR="006E3D20" w:rsidRPr="00C4710F">
        <w:rPr>
          <w:rFonts w:ascii="Times" w:hAnsi="Times"/>
          <w:color w:val="000000" w:themeColor="text1"/>
        </w:rPr>
        <w:t xml:space="preserve">single-unit </w:t>
      </w:r>
      <w:r w:rsidRPr="00C4710F">
        <w:rPr>
          <w:rFonts w:ascii="Times" w:hAnsi="Times"/>
          <w:color w:val="000000" w:themeColor="text1"/>
        </w:rPr>
        <w:t xml:space="preserve">recordings were from </w:t>
      </w:r>
      <w:r w:rsidR="001E4B20" w:rsidRPr="00C4710F">
        <w:rPr>
          <w:rFonts w:ascii="Times" w:hAnsi="Times"/>
          <w:color w:val="000000" w:themeColor="text1"/>
        </w:rPr>
        <w:t xml:space="preserve">the olfactory receptor neuron </w:t>
      </w:r>
      <w:r w:rsidRPr="00C4710F">
        <w:rPr>
          <w:rFonts w:ascii="Times" w:hAnsi="Times"/>
          <w:color w:val="000000" w:themeColor="text1"/>
        </w:rPr>
        <w:t>Or22a which we have bolded and highlighted here</w:t>
      </w:r>
      <w:r w:rsidR="006E3D20" w:rsidRPr="00C4710F">
        <w:rPr>
          <w:rFonts w:ascii="Times" w:hAnsi="Times"/>
          <w:color w:val="000000" w:themeColor="text1"/>
        </w:rPr>
        <w:t xml:space="preserve">. </w:t>
      </w:r>
      <w:r w:rsidRPr="00C4710F">
        <w:rPr>
          <w:rFonts w:ascii="Times" w:hAnsi="Times"/>
          <w:color w:val="000000" w:themeColor="text1"/>
        </w:rPr>
        <w:t xml:space="preserve">Data were compiled from </w:t>
      </w:r>
      <w:r w:rsidR="00237682" w:rsidRPr="00C4710F">
        <w:rPr>
          <w:rFonts w:ascii="Times" w:hAnsi="Times"/>
          <w:color w:val="000000" w:themeColor="text1"/>
        </w:rPr>
        <w:t>Fly Cell Atlas</w:t>
      </w:r>
      <w:r w:rsidRPr="00C4710F">
        <w:rPr>
          <w:rFonts w:ascii="Times" w:hAnsi="Times"/>
          <w:color w:val="000000" w:themeColor="text1"/>
        </w:rPr>
        <w:t xml:space="preserve"> online interactive Automated Single-Cell Analysis Pipeline “ASAP” </w:t>
      </w:r>
      <w:r w:rsidR="003D4E9F" w:rsidRPr="00C4710F">
        <w:rPr>
          <w:rFonts w:ascii="Times" w:hAnsi="Times"/>
          <w:color w:val="000000" w:themeColor="text1"/>
        </w:rPr>
        <w:t>(see reference 4</w:t>
      </w:r>
      <w:r w:rsidR="00B609A1" w:rsidRPr="00C4710F">
        <w:rPr>
          <w:rFonts w:ascii="Times" w:hAnsi="Times"/>
          <w:color w:val="000000" w:themeColor="text1"/>
        </w:rPr>
        <w:t>3</w:t>
      </w:r>
      <w:r w:rsidR="003D4E9F" w:rsidRPr="00C4710F">
        <w:rPr>
          <w:rFonts w:ascii="Times" w:hAnsi="Times"/>
          <w:color w:val="000000" w:themeColor="text1"/>
        </w:rPr>
        <w:t>).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4940"/>
        <w:gridCol w:w="827"/>
        <w:gridCol w:w="827"/>
        <w:gridCol w:w="813"/>
        <w:gridCol w:w="813"/>
      </w:tblGrid>
      <w:tr w:rsidR="006E3D20" w14:paraId="17A791B7" w14:textId="77777777" w:rsidTr="006E3D20">
        <w:trPr>
          <w:trHeight w:val="32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2AF3" w14:textId="77777777" w:rsidR="006E3D20" w:rsidRDefault="006E3D20"/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7B07" w14:textId="62E400D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 xml:space="preserve">Subunit of </w:t>
            </w:r>
            <w:proofErr w:type="spellStart"/>
            <w:r>
              <w:rPr>
                <w:rFonts w:ascii="Times Roman" w:hAnsi="Times Roman" w:cs="Calibri"/>
                <w:b/>
                <w:bCs/>
                <w:color w:val="000000"/>
              </w:rPr>
              <w:t>nAChR</w:t>
            </w:r>
            <w:proofErr w:type="spellEnd"/>
            <w:r>
              <w:rPr>
                <w:rFonts w:ascii="Times Roman" w:hAnsi="Times Roman" w:cs="Calibri"/>
                <w:b/>
                <w:bCs/>
                <w:color w:val="000000"/>
              </w:rPr>
              <w:t xml:space="preserve"> Expressed</w:t>
            </w:r>
          </w:p>
        </w:tc>
      </w:tr>
      <w:tr w:rsidR="006E3D20" w14:paraId="4981773F" w14:textId="77777777" w:rsidTr="006E3D20">
        <w:trPr>
          <w:trHeight w:val="32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DC89D" w14:textId="77777777" w:rsidR="006E3D20" w:rsidRDefault="006E3D20">
            <w:pPr>
              <w:jc w:val="right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Cell Type Examined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55EC2D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Dα1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525C94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Dα2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678A0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Dβ1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E6A50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Dβ2</w:t>
            </w:r>
          </w:p>
        </w:tc>
      </w:tr>
      <w:tr w:rsidR="006E3D20" w14:paraId="6D87655B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89337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Antennal Glial Cell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6AF6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523C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78CBB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BFF9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4112A9EA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48533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Glial Cell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D21E6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A41F6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1FD5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F0153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1872FD27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0D4AE8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Gr21a/63a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F520B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B267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FA57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B4781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423111E0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667A1E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Adult Olfactory Receptor Neuron Ir56a+,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Orco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>-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7862D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32571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0499F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566A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65068B61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87916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Ir75d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1B36C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D071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58A1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F9011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2C58B67E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1DF2B6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Ir84a, Ir31a, Ir76a, Ir76b, Ir8a, Or35a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50E3A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FA64D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D302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AB11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689E1A85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5DD24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Or13a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87A62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BC8DD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56FCD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EB0B6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20F07CF4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9C9C9"/>
            <w:hideMark/>
          </w:tcPr>
          <w:p w14:paraId="146C4972" w14:textId="77777777" w:rsidR="006E3D20" w:rsidRDefault="006E3D20">
            <w:pPr>
              <w:jc w:val="right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Adult Olfactory Receptor Neuron Or22a, Or42b, Or59b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hideMark/>
          </w:tcPr>
          <w:p w14:paraId="194A47D3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hideMark/>
          </w:tcPr>
          <w:p w14:paraId="51B21FF9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hideMark/>
          </w:tcPr>
          <w:p w14:paraId="398187BF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hideMark/>
          </w:tcPr>
          <w:p w14:paraId="394180A1" w14:textId="77777777" w:rsidR="006E3D20" w:rsidRDefault="006E3D20">
            <w:pPr>
              <w:jc w:val="center"/>
              <w:rPr>
                <w:rFonts w:ascii="Times Roman" w:hAnsi="Times Roman" w:cs="Calibri"/>
                <w:b/>
                <w:bCs/>
                <w:color w:val="000000"/>
              </w:rPr>
            </w:pPr>
            <w:r>
              <w:rPr>
                <w:rFonts w:ascii="Times Roman" w:hAnsi="Times Roman" w:cs="Calibri"/>
                <w:b/>
                <w:bCs/>
                <w:color w:val="000000"/>
              </w:rPr>
              <w:t>X</w:t>
            </w:r>
          </w:p>
        </w:tc>
      </w:tr>
      <w:tr w:rsidR="006E3D20" w14:paraId="182D7FDC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F655A9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Or47a, Or56a and likely other ORN types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11700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C3657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D6B32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0A7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</w:tr>
      <w:tr w:rsidR="006E3D20" w14:paraId="2D8EFF71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8EDD9C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Or47b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8767A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5E0C3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C8CC2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0A1E1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1BB4E948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EA6F8F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6B529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0DB88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2D12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E18A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</w:tr>
      <w:tr w:rsidR="006E3D20" w14:paraId="01B0F65B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63990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Or67a and likely other unknown ORN types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B0AF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FEA9D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856C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31D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37F1EC4D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E7B954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lastRenderedPageBreak/>
              <w:t>Adult Olfactory Receptor Neuron Or67d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DB52A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C0185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2F6B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F0F7C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3D2DF3E3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032129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Or83c, Or82a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FDE8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88939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FE50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1C2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</w:tr>
      <w:tr w:rsidR="006E3D20" w14:paraId="3C64838B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F21EA3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Or85a, Or43b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1E8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9CD9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0415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C458A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356AECAA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173F1D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Or88a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D30A6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0268C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A551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A1A2C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788E4A13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061810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 Or92a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603A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7EA7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5787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AA4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</w:tr>
      <w:tr w:rsidR="006E3D20" w14:paraId="15FAB30E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BCAFA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Adult Olfactory Receptor Neuron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unkown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type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Orco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>-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B006B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BDA8A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BDFE3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8D5B1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32B407B9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3EC10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Adult Olfactory Receptor Neuron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unkown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type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Orco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>+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402B3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83B2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34FB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610ED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4BA489B1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9923D1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Neuron, Acid-Sensing Ir64a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FDA12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DD9E1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C519A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31A7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061DCC8C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4323B8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Adult Olfactory Receptor Neuron, Acid-Sensing Ir75a/b/c, Ir64a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0A35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A6E38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33874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99961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08E2D25A" w14:textId="77777777" w:rsidTr="006E3D20">
        <w:trPr>
          <w:trHeight w:val="68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3CD413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Arista and Sacculus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Thermosensory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and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Hygrosensory</w:t>
            </w:r>
            <w:proofErr w:type="spellEnd"/>
            <w:r>
              <w:rPr>
                <w:rFonts w:ascii="Times Roman" w:hAnsi="Times Roman" w:cs="Calibri"/>
                <w:color w:val="000000"/>
              </w:rPr>
              <w:t xml:space="preserve"> Neuron Ir21a, Ir40a, Gr28b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0C619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CAE2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319B8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E56BF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405B04BA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AC8F01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Epithelial Cell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6D7B3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DF306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12271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32D3B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7ABAADDA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D13AAB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Hemocyte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4AFED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DF00B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7A69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AF2A0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136105D2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AC7A3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Johnston Organ Neuron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92065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C6DB4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94FE9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B6CFE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3068CE82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290FF3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Muscle Cell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59BC5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59AC6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7F56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4E52E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7236F8E6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C71EED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 xml:space="preserve">Olfactory Receptor Neuron, </w:t>
            </w:r>
            <w:proofErr w:type="spellStart"/>
            <w:r>
              <w:rPr>
                <w:rFonts w:ascii="Times Roman" w:hAnsi="Times Roman" w:cs="Calibri"/>
                <w:color w:val="000000"/>
              </w:rPr>
              <w:t>Coeloconics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A51CC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0E7F0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E9A15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A04CD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</w:tr>
      <w:tr w:rsidR="006E3D20" w14:paraId="070221C8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F773E2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Sacculus/Arista Neuron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58755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5A6BD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A78DA" w14:textId="77777777" w:rsidR="006E3D20" w:rsidRDefault="006E3D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1505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  <w:tr w:rsidR="006E3D20" w14:paraId="2375AAD2" w14:textId="77777777" w:rsidTr="006E3D20">
        <w:trPr>
          <w:trHeight w:val="340"/>
        </w:trPr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D6BBA3" w14:textId="77777777" w:rsidR="006E3D20" w:rsidRDefault="006E3D20">
            <w:pPr>
              <w:jc w:val="right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Unannotated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95A96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4D9D3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5495F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C938E" w14:textId="77777777" w:rsidR="006E3D20" w:rsidRDefault="006E3D20">
            <w:pPr>
              <w:jc w:val="center"/>
              <w:rPr>
                <w:rFonts w:ascii="Times Roman" w:hAnsi="Times Roman" w:cs="Calibri"/>
                <w:color w:val="000000"/>
              </w:rPr>
            </w:pPr>
            <w:r>
              <w:rPr>
                <w:rFonts w:ascii="Times Roman" w:hAnsi="Times Roman" w:cs="Calibri"/>
                <w:color w:val="000000"/>
              </w:rPr>
              <w:t>X</w:t>
            </w:r>
          </w:p>
        </w:tc>
      </w:tr>
    </w:tbl>
    <w:p w14:paraId="19279C00" w14:textId="77777777" w:rsidR="00425241" w:rsidRPr="00425241" w:rsidRDefault="00425241" w:rsidP="00872299">
      <w:pPr>
        <w:spacing w:line="480" w:lineRule="auto"/>
        <w:rPr>
          <w:rFonts w:ascii="Times" w:hAnsi="Times"/>
          <w:color w:val="FF0000"/>
        </w:rPr>
      </w:pPr>
    </w:p>
    <w:sectPr w:rsidR="00425241" w:rsidRPr="00425241" w:rsidSect="008C435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Roman">
    <w:altName w:val="Times New Roman"/>
    <w:panose1 w:val="0000050000000002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30"/>
    <w:rsid w:val="00065DD6"/>
    <w:rsid w:val="000A62CF"/>
    <w:rsid w:val="000B3FAD"/>
    <w:rsid w:val="001E4B20"/>
    <w:rsid w:val="001E6968"/>
    <w:rsid w:val="002069A2"/>
    <w:rsid w:val="00215E07"/>
    <w:rsid w:val="00237682"/>
    <w:rsid w:val="002432BE"/>
    <w:rsid w:val="002672A4"/>
    <w:rsid w:val="002A7230"/>
    <w:rsid w:val="003D0F89"/>
    <w:rsid w:val="003D4E9F"/>
    <w:rsid w:val="00425241"/>
    <w:rsid w:val="004D69DC"/>
    <w:rsid w:val="0056134C"/>
    <w:rsid w:val="00580E8C"/>
    <w:rsid w:val="005D4F8A"/>
    <w:rsid w:val="006E3D20"/>
    <w:rsid w:val="007E38E3"/>
    <w:rsid w:val="008209D5"/>
    <w:rsid w:val="00872299"/>
    <w:rsid w:val="008C4359"/>
    <w:rsid w:val="00A44F74"/>
    <w:rsid w:val="00A72D8C"/>
    <w:rsid w:val="00B609A1"/>
    <w:rsid w:val="00BA2C27"/>
    <w:rsid w:val="00C01EA2"/>
    <w:rsid w:val="00C17205"/>
    <w:rsid w:val="00C4710F"/>
    <w:rsid w:val="00D440F1"/>
    <w:rsid w:val="00DC3A07"/>
    <w:rsid w:val="00E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BDC2A"/>
  <w15:chartTrackingRefBased/>
  <w15:docId w15:val="{2642887C-F879-8D49-8E02-86BB16AA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4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7230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C4359"/>
  </w:style>
  <w:style w:type="paragraph" w:styleId="Revision">
    <w:name w:val="Revision"/>
    <w:hidden/>
    <w:uiPriority w:val="99"/>
    <w:semiHidden/>
    <w:rsid w:val="007E3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207BB7-74D1-2E40-AD5E-79FDB529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</dc:creator>
  <cp:keywords/>
  <dc:description/>
  <cp:lastModifiedBy>Anna T</cp:lastModifiedBy>
  <cp:revision>3</cp:revision>
  <dcterms:created xsi:type="dcterms:W3CDTF">2023-06-14T22:01:00Z</dcterms:created>
  <dcterms:modified xsi:type="dcterms:W3CDTF">2023-06-29T23:40:00Z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http://www.zotero.org/styles/current-opinion-in-insect-science</vt:lpwstr>
  </property>
  <property fmtid="{D5CDD505-2E9C-101B-9397-08002B2CF9AE}" pid="13" name="Mendeley Recent Style Name 5_1">
    <vt:lpwstr>Current Opinion in Insect Science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