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7C45C5" w14:textId="77777777" w:rsidR="00FD5796" w:rsidRDefault="00FD5796" w:rsidP="00B9554E">
      <w:pPr>
        <w:rPr>
          <w:b/>
          <w:bCs/>
          <w:sz w:val="40"/>
          <w:szCs w:val="40"/>
          <w:lang w:val="en-US"/>
        </w:rPr>
      </w:pPr>
    </w:p>
    <w:p w14:paraId="648160F1" w14:textId="74A3717D" w:rsidR="00E05716" w:rsidRDefault="000444B4" w:rsidP="000444B4">
      <w:pPr>
        <w:jc w:val="center"/>
        <w:rPr>
          <w:b/>
          <w:bCs/>
          <w:sz w:val="40"/>
          <w:szCs w:val="40"/>
          <w:lang w:val="en-US"/>
        </w:rPr>
      </w:pPr>
      <w:r w:rsidRPr="00B56AED">
        <w:rPr>
          <w:b/>
          <w:bCs/>
          <w:sz w:val="40"/>
          <w:szCs w:val="40"/>
          <w:lang w:val="en-US"/>
        </w:rPr>
        <w:t>Supplementa</w:t>
      </w:r>
      <w:r w:rsidR="00DA15EA">
        <w:rPr>
          <w:b/>
          <w:bCs/>
          <w:sz w:val="40"/>
          <w:szCs w:val="40"/>
          <w:lang w:val="en-US"/>
        </w:rPr>
        <w:t>ry</w:t>
      </w:r>
      <w:r w:rsidRPr="00B56AED">
        <w:rPr>
          <w:b/>
          <w:bCs/>
          <w:sz w:val="40"/>
          <w:szCs w:val="40"/>
          <w:lang w:val="en-US"/>
        </w:rPr>
        <w:t xml:space="preserve"> material</w:t>
      </w:r>
    </w:p>
    <w:p w14:paraId="3D45C3BE" w14:textId="38732944" w:rsidR="00FD5796" w:rsidRDefault="00FD5796" w:rsidP="000444B4">
      <w:pPr>
        <w:jc w:val="center"/>
        <w:rPr>
          <w:b/>
          <w:bCs/>
          <w:sz w:val="40"/>
          <w:szCs w:val="40"/>
          <w:lang w:val="en-US"/>
        </w:rPr>
      </w:pPr>
    </w:p>
    <w:p w14:paraId="191ABF7F" w14:textId="77777777" w:rsidR="00FD5796" w:rsidRDefault="00FD5796" w:rsidP="00FD5796">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 xml:space="preserve">Bayesian inference of plasma parameters from collective </w:t>
      </w:r>
      <w:r w:rsidRPr="00031EA3">
        <w:rPr>
          <w:rFonts w:ascii="Times New Roman" w:hAnsi="Times New Roman" w:cs="Times New Roman"/>
          <w:b/>
          <w:bCs/>
          <w:sz w:val="28"/>
          <w:szCs w:val="28"/>
          <w:lang w:val="en-US"/>
        </w:rPr>
        <w:t>Thomson scattering</w:t>
      </w:r>
      <w:r>
        <w:rPr>
          <w:rFonts w:ascii="Times New Roman" w:hAnsi="Times New Roman" w:cs="Times New Roman"/>
          <w:b/>
          <w:bCs/>
          <w:sz w:val="28"/>
          <w:szCs w:val="28"/>
          <w:lang w:val="en-US"/>
        </w:rPr>
        <w:t xml:space="preserve"> technique on a gas-puff near stagnation</w:t>
      </w:r>
    </w:p>
    <w:p w14:paraId="32312D73" w14:textId="77777777" w:rsidR="00FD5796" w:rsidRDefault="00FD5796" w:rsidP="00FD5796">
      <w:pPr>
        <w:jc w:val="center"/>
        <w:rPr>
          <w:rFonts w:ascii="Times New Roman" w:hAnsi="Times New Roman" w:cs="Times New Roman"/>
          <w:b/>
          <w:bCs/>
          <w:sz w:val="28"/>
          <w:szCs w:val="28"/>
          <w:lang w:val="en-US"/>
        </w:rPr>
      </w:pPr>
    </w:p>
    <w:p w14:paraId="23A9651A" w14:textId="77777777" w:rsidR="00FD5796" w:rsidRPr="00B56F2F" w:rsidRDefault="00FD5796" w:rsidP="00FD5796">
      <w:pPr>
        <w:jc w:val="center"/>
        <w:rPr>
          <w:i/>
        </w:rPr>
      </w:pPr>
      <w:r w:rsidRPr="00B56F2F">
        <w:rPr>
          <w:i/>
        </w:rPr>
        <w:t>M. Escalona</w:t>
      </w:r>
      <w:r w:rsidRPr="00B56F2F">
        <w:rPr>
          <w:i/>
          <w:vertAlign w:val="superscript"/>
        </w:rPr>
        <w:t>1</w:t>
      </w:r>
      <w:r w:rsidRPr="00B56F2F">
        <w:rPr>
          <w:i/>
        </w:rPr>
        <w:t>, J. C. Valenzuela</w:t>
      </w:r>
      <w:r w:rsidRPr="00B56F2F">
        <w:rPr>
          <w:i/>
          <w:vertAlign w:val="superscript"/>
        </w:rPr>
        <w:t>1*</w:t>
      </w:r>
      <w:r w:rsidRPr="00B56F2F">
        <w:rPr>
          <w:i/>
        </w:rPr>
        <w:t>, G. Avaria</w:t>
      </w:r>
      <w:r>
        <w:rPr>
          <w:i/>
          <w:vertAlign w:val="superscript"/>
        </w:rPr>
        <w:t>2</w:t>
      </w:r>
      <w:r w:rsidRPr="00B56F2F">
        <w:rPr>
          <w:i/>
        </w:rPr>
        <w:t>, F. Veloso</w:t>
      </w:r>
      <w:r w:rsidRPr="00B56F2F">
        <w:rPr>
          <w:i/>
          <w:vertAlign w:val="superscript"/>
        </w:rPr>
        <w:t>1</w:t>
      </w:r>
      <w:r>
        <w:rPr>
          <w:i/>
        </w:rPr>
        <w:t xml:space="preserve"> and</w:t>
      </w:r>
      <w:r w:rsidRPr="00B56F2F">
        <w:rPr>
          <w:i/>
        </w:rPr>
        <w:t xml:space="preserve"> </w:t>
      </w:r>
      <w:r>
        <w:rPr>
          <w:i/>
        </w:rPr>
        <w:t>E</w:t>
      </w:r>
      <w:r w:rsidRPr="00B56F2F">
        <w:rPr>
          <w:i/>
        </w:rPr>
        <w:t>.</w:t>
      </w:r>
      <w:r>
        <w:rPr>
          <w:i/>
        </w:rPr>
        <w:t xml:space="preserve"> S.</w:t>
      </w:r>
      <w:r w:rsidRPr="00B56F2F">
        <w:rPr>
          <w:i/>
        </w:rPr>
        <w:t xml:space="preserve"> </w:t>
      </w:r>
      <w:r>
        <w:rPr>
          <w:i/>
        </w:rPr>
        <w:t>Wyndham</w:t>
      </w:r>
      <w:r w:rsidRPr="00B56F2F">
        <w:rPr>
          <w:i/>
          <w:vertAlign w:val="superscript"/>
        </w:rPr>
        <w:t>1</w:t>
      </w:r>
    </w:p>
    <w:p w14:paraId="3498657F" w14:textId="77777777" w:rsidR="00FD5796" w:rsidRPr="00B56F2F" w:rsidRDefault="00FD5796" w:rsidP="00FD5796">
      <w:pPr>
        <w:jc w:val="center"/>
        <w:rPr>
          <w:i/>
          <w:sz w:val="20"/>
          <w:szCs w:val="20"/>
          <w:lang w:val="en-US"/>
        </w:rPr>
      </w:pPr>
      <w:r w:rsidRPr="00B56F2F">
        <w:rPr>
          <w:i/>
          <w:sz w:val="20"/>
          <w:szCs w:val="20"/>
          <w:vertAlign w:val="superscript"/>
        </w:rPr>
        <w:t>1</w:t>
      </w:r>
      <w:r>
        <w:rPr>
          <w:i/>
          <w:sz w:val="20"/>
          <w:szCs w:val="20"/>
        </w:rPr>
        <w:t>Instituto de Física, P</w:t>
      </w:r>
      <w:r w:rsidRPr="00B56F2F">
        <w:rPr>
          <w:i/>
          <w:sz w:val="20"/>
          <w:szCs w:val="20"/>
        </w:rPr>
        <w:t>ontificia Universidad Católica de Chile</w:t>
      </w:r>
      <w:r>
        <w:rPr>
          <w:i/>
          <w:sz w:val="20"/>
          <w:szCs w:val="20"/>
        </w:rPr>
        <w:t xml:space="preserve">, Av. </w:t>
      </w:r>
      <w:r w:rsidRPr="00B56F2F">
        <w:rPr>
          <w:i/>
          <w:sz w:val="20"/>
          <w:szCs w:val="20"/>
          <w:lang w:val="en-US"/>
        </w:rPr>
        <w:t>Vicuña Mackenna 4860</w:t>
      </w:r>
    </w:p>
    <w:p w14:paraId="557A84D0" w14:textId="77777777" w:rsidR="00FD5796" w:rsidRPr="00B56F2F" w:rsidRDefault="00FD5796" w:rsidP="00FD5796">
      <w:pPr>
        <w:jc w:val="center"/>
        <w:rPr>
          <w:i/>
          <w:sz w:val="20"/>
          <w:szCs w:val="20"/>
          <w:lang w:val="en-US"/>
        </w:rPr>
      </w:pPr>
      <w:r w:rsidRPr="00B56F2F">
        <w:rPr>
          <w:i/>
          <w:sz w:val="20"/>
          <w:szCs w:val="20"/>
          <w:vertAlign w:val="superscript"/>
          <w:lang w:val="en-US"/>
        </w:rPr>
        <w:t>2</w:t>
      </w:r>
      <w:r>
        <w:rPr>
          <w:i/>
          <w:sz w:val="20"/>
          <w:szCs w:val="20"/>
          <w:lang w:val="en-US"/>
        </w:rPr>
        <w:t xml:space="preserve">Research Center on the Intersection in Plasma Physics, Matter and Complexity, P2mc, </w:t>
      </w:r>
      <w:proofErr w:type="spellStart"/>
      <w:r>
        <w:rPr>
          <w:i/>
          <w:sz w:val="20"/>
          <w:szCs w:val="20"/>
          <w:lang w:val="en-US"/>
        </w:rPr>
        <w:t>Comisión</w:t>
      </w:r>
      <w:proofErr w:type="spellEnd"/>
      <w:r>
        <w:rPr>
          <w:i/>
          <w:sz w:val="20"/>
          <w:szCs w:val="20"/>
          <w:lang w:val="en-US"/>
        </w:rPr>
        <w:t xml:space="preserve"> </w:t>
      </w:r>
      <w:proofErr w:type="spellStart"/>
      <w:r>
        <w:rPr>
          <w:i/>
          <w:sz w:val="20"/>
          <w:szCs w:val="20"/>
          <w:lang w:val="en-US"/>
        </w:rPr>
        <w:t>Chilena</w:t>
      </w:r>
      <w:proofErr w:type="spellEnd"/>
      <w:r>
        <w:rPr>
          <w:i/>
          <w:sz w:val="20"/>
          <w:szCs w:val="20"/>
          <w:lang w:val="en-US"/>
        </w:rPr>
        <w:t xml:space="preserve"> de </w:t>
      </w:r>
      <w:proofErr w:type="spellStart"/>
      <w:r>
        <w:rPr>
          <w:i/>
          <w:sz w:val="20"/>
          <w:szCs w:val="20"/>
          <w:lang w:val="en-US"/>
        </w:rPr>
        <w:t>Energía</w:t>
      </w:r>
      <w:proofErr w:type="spellEnd"/>
      <w:r>
        <w:rPr>
          <w:i/>
          <w:sz w:val="20"/>
          <w:szCs w:val="20"/>
          <w:lang w:val="en-US"/>
        </w:rPr>
        <w:t xml:space="preserve"> Nuclear, </w:t>
      </w:r>
      <w:proofErr w:type="spellStart"/>
      <w:r>
        <w:rPr>
          <w:i/>
          <w:sz w:val="20"/>
          <w:szCs w:val="20"/>
          <w:lang w:val="en-US"/>
        </w:rPr>
        <w:t>Casilla</w:t>
      </w:r>
      <w:proofErr w:type="spellEnd"/>
      <w:r>
        <w:rPr>
          <w:i/>
          <w:sz w:val="20"/>
          <w:szCs w:val="20"/>
          <w:lang w:val="en-US"/>
        </w:rPr>
        <w:t xml:space="preserve"> 188-D, Santiago, Chile </w:t>
      </w:r>
    </w:p>
    <w:p w14:paraId="58460AEF" w14:textId="77777777" w:rsidR="00FD5796" w:rsidRPr="00B56F2F" w:rsidRDefault="00FD5796" w:rsidP="00FD5796">
      <w:pPr>
        <w:jc w:val="center"/>
        <w:rPr>
          <w:rFonts w:ascii="Calibri" w:hAnsi="Calibri" w:cs="Calibri"/>
          <w:i/>
          <w:iCs/>
          <w:sz w:val="20"/>
          <w:szCs w:val="20"/>
          <w:lang w:val="en-US"/>
        </w:rPr>
      </w:pPr>
      <w:r w:rsidRPr="00B56F2F">
        <w:rPr>
          <w:rFonts w:ascii="Calibri" w:hAnsi="Calibri" w:cs="Calibri"/>
          <w:i/>
          <w:iCs/>
          <w:sz w:val="20"/>
          <w:szCs w:val="20"/>
          <w:lang w:val="en-US"/>
        </w:rPr>
        <w:t>*jcvalenzuela@fis.uc.cl</w:t>
      </w:r>
    </w:p>
    <w:p w14:paraId="3502D5FE" w14:textId="77777777" w:rsidR="00FD5796" w:rsidRDefault="00FD5796" w:rsidP="000444B4">
      <w:pPr>
        <w:jc w:val="center"/>
        <w:rPr>
          <w:b/>
          <w:bCs/>
          <w:sz w:val="40"/>
          <w:szCs w:val="40"/>
          <w:lang w:val="en-US"/>
        </w:rPr>
      </w:pPr>
    </w:p>
    <w:p w14:paraId="2C81E6D2" w14:textId="77777777" w:rsidR="00B56AED" w:rsidRPr="00B56AED" w:rsidRDefault="00B56AED" w:rsidP="000444B4">
      <w:pPr>
        <w:jc w:val="center"/>
        <w:rPr>
          <w:b/>
          <w:bCs/>
          <w:sz w:val="40"/>
          <w:szCs w:val="40"/>
          <w:lang w:val="en-US"/>
        </w:rPr>
      </w:pPr>
    </w:p>
    <w:p w14:paraId="753E4632" w14:textId="478BDAB3" w:rsidR="000444B4" w:rsidRDefault="000444B4">
      <w:pPr>
        <w:rPr>
          <w:lang w:val="en-US"/>
        </w:rPr>
      </w:pPr>
    </w:p>
    <w:p w14:paraId="5B51DD71" w14:textId="26119BEA" w:rsidR="000444B4" w:rsidRPr="000444B4" w:rsidRDefault="000444B4">
      <w:pPr>
        <w:rPr>
          <w:b/>
          <w:bCs/>
          <w:lang w:val="en-US"/>
        </w:rPr>
      </w:pPr>
      <w:r w:rsidRPr="000444B4">
        <w:rPr>
          <w:b/>
          <w:bCs/>
          <w:lang w:val="en-US"/>
        </w:rPr>
        <w:t>Alpha parameter</w:t>
      </w:r>
    </w:p>
    <w:p w14:paraId="690E9341" w14:textId="7FDBC0E5" w:rsidR="000444B4" w:rsidRDefault="000444B4">
      <w:pPr>
        <w:rPr>
          <w:rFonts w:ascii="Times New Roman" w:hAnsi="Times New Roman" w:cs="Times New Roman"/>
          <w:lang w:val="en-US"/>
        </w:rPr>
      </w:pPr>
      <w:r w:rsidRPr="00401438">
        <w:rPr>
          <w:rFonts w:ascii="Times New Roman" w:hAnsi="Times New Roman" w:cs="Times New Roman"/>
          <w:lang w:val="en-US"/>
        </w:rPr>
        <w:t xml:space="preserve">In our </w:t>
      </w:r>
      <w:r>
        <w:rPr>
          <w:rFonts w:ascii="Times New Roman" w:hAnsi="Times New Roman" w:cs="Times New Roman"/>
          <w:lang w:val="en-US"/>
        </w:rPr>
        <w:t>experiment,</w:t>
      </w:r>
      <w:r w:rsidRPr="00401438">
        <w:rPr>
          <w:rFonts w:ascii="Times New Roman" w:hAnsi="Times New Roman" w:cs="Times New Roman"/>
          <w:lang w:val="en-US"/>
        </w:rPr>
        <w:t xml:space="preserve"> </w:t>
      </w:r>
      <w:r>
        <w:rPr>
          <w:rFonts w:ascii="Times New Roman" w:hAnsi="Times New Roman" w:cs="Times New Roman"/>
          <w:lang w:val="en-US"/>
        </w:rPr>
        <w:t>when</w:t>
      </w:r>
      <w:r w:rsidRPr="00401438">
        <w:rPr>
          <w:rFonts w:ascii="Times New Roman" w:hAnsi="Times New Roman" w:cs="Times New Roman"/>
          <w:lang w:val="en-US"/>
        </w:rPr>
        <w:t xml:space="preserve"> </w:t>
      </w:r>
      <m:oMath>
        <m:sSub>
          <m:sSubPr>
            <m:ctrlPr>
              <w:rPr>
                <w:rFonts w:ascii="Cambria Math" w:hAnsi="Cambria Math" w:cs="Times New Roman"/>
                <w:i/>
                <w:lang w:val="en-US"/>
              </w:rPr>
            </m:ctrlPr>
          </m:sSubPr>
          <m:e>
            <m:r>
              <w:rPr>
                <w:rFonts w:ascii="Cambria Math" w:hAnsi="Cambria Math" w:cs="Times New Roman"/>
                <w:lang w:val="en-US"/>
              </w:rPr>
              <m:t>λ</m:t>
            </m:r>
          </m:e>
          <m:sub>
            <m:r>
              <w:rPr>
                <w:rFonts w:ascii="Cambria Math" w:hAnsi="Cambria Math" w:cs="Times New Roman"/>
                <w:lang w:val="en-US"/>
              </w:rPr>
              <m:t>l</m:t>
            </m:r>
          </m:sub>
        </m:sSub>
        <m:r>
          <w:rPr>
            <w:rFonts w:ascii="Cambria Math" w:hAnsi="Cambria Math" w:cs="Times New Roman"/>
            <w:lang w:val="en-US"/>
          </w:rPr>
          <m:t xml:space="preserve">=532 nm </m:t>
        </m:r>
      </m:oMath>
      <w:r>
        <w:rPr>
          <w:rFonts w:ascii="Times New Roman" w:eastAsiaTheme="minorEastAsia" w:hAnsi="Times New Roman" w:cs="Times New Roman"/>
          <w:lang w:val="en-US"/>
        </w:rPr>
        <w:t xml:space="preserve"> and  </w:t>
      </w:r>
      <m:oMath>
        <m:r>
          <w:rPr>
            <w:rFonts w:ascii="Cambria Math" w:eastAsiaTheme="minorEastAsia" w:hAnsi="Cambria Math" w:cs="Times New Roman"/>
            <w:lang w:val="en-US"/>
          </w:rPr>
          <m:t>θ=90°</m:t>
        </m:r>
      </m:oMath>
      <w:r>
        <w:rPr>
          <w:rFonts w:ascii="Times New Roman" w:hAnsi="Times New Roman" w:cs="Times New Roman"/>
          <w:lang w:val="en-US"/>
        </w:rPr>
        <w:t xml:space="preserve">, the alpha parameter can be rewritten as </w:t>
      </w:r>
      <m:oMath>
        <m:r>
          <w:rPr>
            <w:rFonts w:ascii="Cambria Math" w:hAnsi="Cambria Math" w:cs="Times New Roman"/>
            <w:lang w:val="en-US"/>
          </w:rPr>
          <m:t xml:space="preserve">α=8.05 x </m:t>
        </m:r>
        <m:sSup>
          <m:sSupPr>
            <m:ctrlPr>
              <w:rPr>
                <w:rFonts w:ascii="Cambria Math" w:hAnsi="Cambria Math" w:cs="Times New Roman"/>
                <w:i/>
                <w:lang w:val="en-US"/>
              </w:rPr>
            </m:ctrlPr>
          </m:sSupPr>
          <m:e>
            <m:r>
              <w:rPr>
                <w:rFonts w:ascii="Cambria Math" w:hAnsi="Cambria Math" w:cs="Times New Roman"/>
                <w:lang w:val="en-US"/>
              </w:rPr>
              <m:t>10</m:t>
            </m:r>
          </m:e>
          <m:sup>
            <m:r>
              <w:rPr>
                <w:rFonts w:ascii="Cambria Math" w:hAnsi="Cambria Math" w:cs="Times New Roman"/>
                <w:lang w:val="en-US"/>
              </w:rPr>
              <m:t>-9</m:t>
            </m:r>
          </m:sup>
        </m:sSup>
        <m:r>
          <w:rPr>
            <w:rFonts w:ascii="Cambria Math" w:hAnsi="Cambria Math" w:cs="Times New Roman"/>
            <w:lang w:val="en-US"/>
          </w:rPr>
          <m:t xml:space="preserve"> </m:t>
        </m:r>
        <m:rad>
          <m:radPr>
            <m:degHide m:val="1"/>
            <m:ctrlPr>
              <w:rPr>
                <w:rFonts w:ascii="Cambria Math" w:hAnsi="Cambria Math" w:cs="Times New Roman"/>
                <w:i/>
                <w:lang w:val="en-US"/>
              </w:rPr>
            </m:ctrlPr>
          </m:radPr>
          <m:deg/>
          <m:e>
            <m:f>
              <m:fPr>
                <m:type m:val="lin"/>
                <m:ctrlPr>
                  <w:rPr>
                    <w:rFonts w:ascii="Cambria Math" w:hAnsi="Cambria Math" w:cs="Times New Roman"/>
                    <w:i/>
                    <w:lang w:val="en-US"/>
                  </w:rPr>
                </m:ctrlPr>
              </m:fPr>
              <m:num>
                <m:sSub>
                  <m:sSubPr>
                    <m:ctrlPr>
                      <w:rPr>
                        <w:rFonts w:ascii="Cambria Math" w:hAnsi="Cambria Math" w:cs="Times New Roman"/>
                        <w:i/>
                        <w:lang w:val="en-US"/>
                      </w:rPr>
                    </m:ctrlPr>
                  </m:sSubPr>
                  <m:e>
                    <m:r>
                      <w:rPr>
                        <w:rFonts w:ascii="Cambria Math" w:hAnsi="Cambria Math" w:cs="Times New Roman"/>
                        <w:lang w:val="en-US"/>
                      </w:rPr>
                      <m:t>N</m:t>
                    </m:r>
                  </m:e>
                  <m:sub>
                    <m:r>
                      <w:rPr>
                        <w:rFonts w:ascii="Cambria Math" w:hAnsi="Cambria Math" w:cs="Times New Roman"/>
                        <w:lang w:val="en-US"/>
                      </w:rPr>
                      <m:t>e</m:t>
                    </m:r>
                  </m:sub>
                </m:sSub>
                <m:r>
                  <w:rPr>
                    <w:rFonts w:ascii="Cambria Math" w:hAnsi="Cambria Math" w:cs="Times New Roman"/>
                    <w:lang w:val="en-US"/>
                  </w:rPr>
                  <m:t>[</m:t>
                </m:r>
                <m:sSup>
                  <m:sSupPr>
                    <m:ctrlPr>
                      <w:rPr>
                        <w:rFonts w:ascii="Cambria Math" w:hAnsi="Cambria Math" w:cs="Times New Roman"/>
                        <w:i/>
                        <w:lang w:val="en-US"/>
                      </w:rPr>
                    </m:ctrlPr>
                  </m:sSupPr>
                  <m:e>
                    <m:r>
                      <w:rPr>
                        <w:rFonts w:ascii="Cambria Math" w:hAnsi="Cambria Math" w:cs="Times New Roman"/>
                        <w:lang w:val="en-US"/>
                      </w:rPr>
                      <m:t>cm</m:t>
                    </m:r>
                  </m:e>
                  <m:sup>
                    <m:r>
                      <w:rPr>
                        <w:rFonts w:ascii="Cambria Math" w:hAnsi="Cambria Math" w:cs="Times New Roman"/>
                        <w:lang w:val="en-US"/>
                      </w:rPr>
                      <m:t>-3</m:t>
                    </m:r>
                  </m:sup>
                </m:sSup>
                <m:r>
                  <w:rPr>
                    <w:rFonts w:ascii="Cambria Math" w:hAnsi="Cambria Math" w:cs="Times New Roman"/>
                    <w:lang w:val="en-US"/>
                  </w:rPr>
                  <m:t>]</m:t>
                </m:r>
              </m:num>
              <m:den>
                <m:sSub>
                  <m:sSubPr>
                    <m:ctrlPr>
                      <w:rPr>
                        <w:rFonts w:ascii="Cambria Math" w:hAnsi="Cambria Math" w:cs="Times New Roman"/>
                        <w:i/>
                        <w:lang w:val="en-US"/>
                      </w:rPr>
                    </m:ctrlPr>
                  </m:sSubPr>
                  <m:e>
                    <m:r>
                      <w:rPr>
                        <w:rFonts w:ascii="Cambria Math" w:hAnsi="Cambria Math" w:cs="Times New Roman"/>
                        <w:lang w:val="en-US"/>
                      </w:rPr>
                      <m:t>T</m:t>
                    </m:r>
                  </m:e>
                  <m:sub>
                    <m:r>
                      <w:rPr>
                        <w:rFonts w:ascii="Cambria Math" w:hAnsi="Cambria Math" w:cs="Times New Roman"/>
                        <w:lang w:val="en-US"/>
                      </w:rPr>
                      <m:t>e</m:t>
                    </m:r>
                  </m:sub>
                </m:sSub>
                <m:r>
                  <w:rPr>
                    <w:rFonts w:ascii="Cambria Math" w:hAnsi="Cambria Math" w:cs="Times New Roman"/>
                    <w:lang w:val="en-US"/>
                  </w:rPr>
                  <m:t>[eV]</m:t>
                </m:r>
              </m:den>
            </m:f>
          </m:e>
        </m:rad>
      </m:oMath>
      <w:r>
        <w:rPr>
          <w:rFonts w:ascii="Times New Roman" w:hAnsi="Times New Roman" w:cs="Times New Roman"/>
          <w:lang w:val="en-US"/>
        </w:rPr>
        <w:t xml:space="preserve"> ,which </w:t>
      </w:r>
      <w:r w:rsidRPr="00066D9D">
        <w:rPr>
          <w:rFonts w:ascii="Times New Roman" w:hAnsi="Times New Roman" w:cs="Times New Roman"/>
          <w:lang w:val="en-US"/>
        </w:rPr>
        <w:t>is graphically represented</w:t>
      </w:r>
      <w:r>
        <w:rPr>
          <w:rFonts w:ascii="Times New Roman" w:hAnsi="Times New Roman" w:cs="Times New Roman"/>
          <w:lang w:val="en-US"/>
        </w:rPr>
        <w:t xml:space="preserve"> in Fig</w:t>
      </w:r>
      <w:r w:rsidR="00626A28">
        <w:rPr>
          <w:rFonts w:ascii="Times New Roman" w:hAnsi="Times New Roman" w:cs="Times New Roman"/>
          <w:lang w:val="en-US"/>
        </w:rPr>
        <w:t>.</w:t>
      </w:r>
      <w:r>
        <w:rPr>
          <w:rFonts w:ascii="Times New Roman" w:hAnsi="Times New Roman" w:cs="Times New Roman"/>
          <w:lang w:val="en-US"/>
        </w:rPr>
        <w:t xml:space="preserve"> </w:t>
      </w:r>
      <w:r w:rsidR="00574AA8">
        <w:rPr>
          <w:rFonts w:ascii="Times New Roman" w:hAnsi="Times New Roman" w:cs="Times New Roman"/>
          <w:lang w:val="en-US"/>
        </w:rPr>
        <w:t>1</w:t>
      </w:r>
      <w:r>
        <w:rPr>
          <w:rFonts w:ascii="Times New Roman" w:hAnsi="Times New Roman" w:cs="Times New Roman"/>
          <w:color w:val="FF0000"/>
          <w:lang w:val="en-US"/>
        </w:rPr>
        <w:t xml:space="preserve"> </w:t>
      </w:r>
      <w:r w:rsidRPr="00C07A02">
        <w:rPr>
          <w:rFonts w:ascii="Times New Roman" w:hAnsi="Times New Roman" w:cs="Times New Roman"/>
          <w:lang w:val="en-US"/>
        </w:rPr>
        <w:t xml:space="preserve">for typical values of electronic densities and </w:t>
      </w:r>
      <w:r w:rsidRPr="00492495">
        <w:rPr>
          <w:rFonts w:ascii="Times New Roman" w:hAnsi="Times New Roman" w:cs="Times New Roman"/>
          <w:lang w:val="en-US"/>
        </w:rPr>
        <w:t xml:space="preserve">temperatures </w:t>
      </w:r>
      <w:r>
        <w:rPr>
          <w:rFonts w:ascii="Times New Roman" w:hAnsi="Times New Roman" w:cs="Times New Roman"/>
          <w:lang w:val="en-US"/>
        </w:rPr>
        <w:t>found in gas-puffs.</w:t>
      </w:r>
      <w:r w:rsidRPr="00492495">
        <w:rPr>
          <w:rFonts w:ascii="Times New Roman" w:hAnsi="Times New Roman" w:cs="Times New Roman"/>
          <w:lang w:val="en-US"/>
        </w:rPr>
        <w:t xml:space="preserve"> </w:t>
      </w:r>
      <w:r>
        <w:rPr>
          <w:rFonts w:ascii="Times New Roman" w:hAnsi="Times New Roman" w:cs="Times New Roman"/>
          <w:lang w:val="en-US"/>
        </w:rPr>
        <w:t xml:space="preserve">We find that for the plasma parameters in our experiment </w:t>
      </w:r>
      <w:r w:rsidRPr="00491918">
        <w:rPr>
          <w:rFonts w:ascii="Times New Roman" w:hAnsi="Times New Roman" w:cs="Times New Roman"/>
          <w:lang w:val="en-US"/>
        </w:rPr>
        <w:t>scattering</w:t>
      </w:r>
      <w:r>
        <w:rPr>
          <w:rFonts w:ascii="Times New Roman" w:hAnsi="Times New Roman" w:cs="Times New Roman"/>
          <w:lang w:val="en-US"/>
        </w:rPr>
        <w:t xml:space="preserve"> is</w:t>
      </w:r>
      <w:r w:rsidRPr="00491918">
        <w:rPr>
          <w:rFonts w:ascii="Times New Roman" w:hAnsi="Times New Roman" w:cs="Times New Roman"/>
          <w:lang w:val="en-US"/>
        </w:rPr>
        <w:t xml:space="preserve"> collective</w:t>
      </w:r>
      <w:r>
        <w:rPr>
          <w:rFonts w:ascii="Times New Roman" w:hAnsi="Times New Roman" w:cs="Times New Roman"/>
          <w:lang w:val="en-US"/>
        </w:rPr>
        <w:t>.</w:t>
      </w:r>
    </w:p>
    <w:p w14:paraId="39175F40" w14:textId="77777777" w:rsidR="000444B4" w:rsidRDefault="000444B4">
      <w:pPr>
        <w:rPr>
          <w:rFonts w:ascii="Times New Roman" w:hAnsi="Times New Roman" w:cs="Times New Roman"/>
          <w:lang w:val="en-US"/>
        </w:rPr>
      </w:pPr>
    </w:p>
    <w:p w14:paraId="35BB6DAA" w14:textId="726AF210" w:rsidR="000444B4" w:rsidRDefault="000444B4">
      <w:pPr>
        <w:rPr>
          <w:rFonts w:ascii="Times New Roman" w:hAnsi="Times New Roman" w:cs="Times New Roman"/>
          <w:lang w:val="en-US"/>
        </w:rPr>
      </w:pPr>
    </w:p>
    <w:p w14:paraId="11B07819" w14:textId="77777777" w:rsidR="000444B4" w:rsidRDefault="000444B4" w:rsidP="000444B4">
      <w:pPr>
        <w:jc w:val="center"/>
        <w:rPr>
          <w:rFonts w:ascii="Times New Roman" w:hAnsi="Times New Roman" w:cs="Times New Roman"/>
          <w:lang w:val="en-US"/>
        </w:rPr>
      </w:pPr>
      <w:r>
        <w:rPr>
          <w:noProof/>
          <w:lang w:eastAsia="es-CL"/>
        </w:rPr>
        <w:drawing>
          <wp:inline distT="0" distB="0" distL="0" distR="0" wp14:anchorId="1894DA70" wp14:editId="218CBF06">
            <wp:extent cx="3506225" cy="2468880"/>
            <wp:effectExtent l="0" t="0" r="0" b="762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516134" cy="2475857"/>
                    </a:xfrm>
                    <a:prstGeom prst="rect">
                      <a:avLst/>
                    </a:prstGeom>
                    <a:noFill/>
                    <a:ln>
                      <a:noFill/>
                    </a:ln>
                  </pic:spPr>
                </pic:pic>
              </a:graphicData>
            </a:graphic>
          </wp:inline>
        </w:drawing>
      </w:r>
    </w:p>
    <w:p w14:paraId="39FC2143" w14:textId="5A575287" w:rsidR="000444B4" w:rsidRDefault="002101E8" w:rsidP="000444B4">
      <w:pPr>
        <w:jc w:val="both"/>
        <w:rPr>
          <w:rFonts w:ascii="Times New Roman" w:hAnsi="Times New Roman" w:cs="Times New Roman"/>
          <w:lang w:val="en-US"/>
        </w:rPr>
      </w:pPr>
      <w:r>
        <w:rPr>
          <w:rFonts w:ascii="Times New Roman" w:hAnsi="Times New Roman" w:cs="Times New Roman"/>
          <w:lang w:val="en-US"/>
        </w:rPr>
        <w:t>Supplementary f</w:t>
      </w:r>
      <w:r w:rsidR="000444B4" w:rsidRPr="00BF5D47">
        <w:rPr>
          <w:rFonts w:ascii="Times New Roman" w:hAnsi="Times New Roman" w:cs="Times New Roman"/>
          <w:lang w:val="en-US"/>
        </w:rPr>
        <w:t>ig</w:t>
      </w:r>
      <w:r>
        <w:rPr>
          <w:rFonts w:ascii="Times New Roman" w:hAnsi="Times New Roman" w:cs="Times New Roman"/>
          <w:lang w:val="en-US"/>
        </w:rPr>
        <w:t>ure</w:t>
      </w:r>
      <w:r w:rsidR="000444B4">
        <w:rPr>
          <w:rFonts w:ascii="Times New Roman" w:hAnsi="Times New Roman" w:cs="Times New Roman"/>
          <w:lang w:val="en-US"/>
        </w:rPr>
        <w:t xml:space="preserve"> </w:t>
      </w:r>
      <w:r w:rsidR="00574AA8">
        <w:rPr>
          <w:rFonts w:ascii="Times New Roman" w:hAnsi="Times New Roman" w:cs="Times New Roman"/>
          <w:lang w:val="en-US"/>
        </w:rPr>
        <w:t>1</w:t>
      </w:r>
      <w:r w:rsidR="000444B4" w:rsidRPr="00BF5D47">
        <w:rPr>
          <w:rFonts w:ascii="Times New Roman" w:hAnsi="Times New Roman" w:cs="Times New Roman"/>
          <w:lang w:val="en-US"/>
        </w:rPr>
        <w:t xml:space="preserve">. </w:t>
      </w:r>
      <w:r w:rsidR="000444B4">
        <w:rPr>
          <w:rFonts w:ascii="Times New Roman" w:hAnsi="Times New Roman" w:cs="Times New Roman"/>
          <w:lang w:val="en-US"/>
        </w:rPr>
        <w:t xml:space="preserve">Colormap of the alpha parameter </w:t>
      </w:r>
      <w:r w:rsidR="000444B4" w:rsidRPr="00C07A02">
        <w:rPr>
          <w:rFonts w:ascii="Times New Roman" w:hAnsi="Times New Roman" w:cs="Times New Roman"/>
          <w:lang w:val="en-US"/>
        </w:rPr>
        <w:t>for typical values of electronic densities and temperatures of the experimental setup</w:t>
      </w:r>
      <w:r w:rsidR="000444B4">
        <w:rPr>
          <w:rFonts w:ascii="Times New Roman" w:hAnsi="Times New Roman" w:cs="Times New Roman"/>
          <w:lang w:val="en-US"/>
        </w:rPr>
        <w:t xml:space="preserve"> (</w:t>
      </w:r>
      <m:oMath>
        <m:sSub>
          <m:sSubPr>
            <m:ctrlPr>
              <w:rPr>
                <w:rFonts w:ascii="Cambria Math" w:hAnsi="Cambria Math" w:cs="Times New Roman"/>
                <w:i/>
                <w:lang w:val="en-US"/>
              </w:rPr>
            </m:ctrlPr>
          </m:sSubPr>
          <m:e>
            <m:r>
              <w:rPr>
                <w:rFonts w:ascii="Cambria Math" w:hAnsi="Cambria Math" w:cs="Times New Roman"/>
                <w:lang w:val="en-US"/>
              </w:rPr>
              <m:t>λ</m:t>
            </m:r>
          </m:e>
          <m:sub>
            <m:r>
              <w:rPr>
                <w:rFonts w:ascii="Cambria Math" w:hAnsi="Cambria Math" w:cs="Times New Roman"/>
                <w:lang w:val="en-US"/>
              </w:rPr>
              <m:t>l</m:t>
            </m:r>
          </m:sub>
        </m:sSub>
        <m:r>
          <w:rPr>
            <w:rFonts w:ascii="Cambria Math" w:hAnsi="Cambria Math" w:cs="Times New Roman"/>
            <w:lang w:val="en-US"/>
          </w:rPr>
          <m:t xml:space="preserve">=532 nm </m:t>
        </m:r>
      </m:oMath>
      <w:r w:rsidR="000444B4">
        <w:rPr>
          <w:rFonts w:ascii="Times New Roman" w:eastAsiaTheme="minorEastAsia" w:hAnsi="Times New Roman" w:cs="Times New Roman"/>
          <w:lang w:val="en-US"/>
        </w:rPr>
        <w:t xml:space="preserve"> and  </w:t>
      </w:r>
      <m:oMath>
        <m:r>
          <w:rPr>
            <w:rFonts w:ascii="Cambria Math" w:eastAsiaTheme="minorEastAsia" w:hAnsi="Cambria Math" w:cs="Times New Roman"/>
            <w:lang w:val="en-US"/>
          </w:rPr>
          <m:t>θ=90°</m:t>
        </m:r>
      </m:oMath>
      <w:r w:rsidR="000444B4">
        <w:rPr>
          <w:rFonts w:ascii="Times New Roman" w:eastAsiaTheme="minorEastAsia" w:hAnsi="Times New Roman" w:cs="Times New Roman"/>
          <w:lang w:val="en-US"/>
        </w:rPr>
        <w:t>)</w:t>
      </w:r>
      <w:r w:rsidR="000444B4">
        <w:rPr>
          <w:rFonts w:ascii="Times New Roman" w:hAnsi="Times New Roman" w:cs="Times New Roman"/>
          <w:lang w:val="en-US"/>
        </w:rPr>
        <w:t xml:space="preserve">. White color represents values with  </w:t>
      </w:r>
      <m:oMath>
        <m:r>
          <w:rPr>
            <w:rFonts w:ascii="Cambria Math" w:hAnsi="Cambria Math" w:cs="Times New Roman"/>
            <w:lang w:val="en-US"/>
          </w:rPr>
          <m:t>α=1</m:t>
        </m:r>
      </m:oMath>
      <w:r w:rsidR="000444B4">
        <w:rPr>
          <w:rFonts w:ascii="Times New Roman" w:eastAsiaTheme="minorEastAsia" w:hAnsi="Times New Roman" w:cs="Times New Roman"/>
          <w:lang w:val="en-US"/>
        </w:rPr>
        <w:t>, while dark red and dark blue represent collective and non-collective regions, respectively.</w:t>
      </w:r>
    </w:p>
    <w:p w14:paraId="0BD551D1" w14:textId="7C9AB4C4" w:rsidR="000444B4" w:rsidRDefault="000444B4">
      <w:pPr>
        <w:rPr>
          <w:lang w:val="en-US"/>
        </w:rPr>
      </w:pPr>
    </w:p>
    <w:p w14:paraId="5615B6AB" w14:textId="1FB2382B" w:rsidR="000444B4" w:rsidRDefault="000444B4">
      <w:pPr>
        <w:rPr>
          <w:lang w:val="en-US"/>
        </w:rPr>
      </w:pPr>
    </w:p>
    <w:p w14:paraId="172671BE" w14:textId="6AE2D7D2" w:rsidR="0011523D" w:rsidRPr="007841A1" w:rsidRDefault="007841A1">
      <w:pPr>
        <w:rPr>
          <w:b/>
          <w:bCs/>
          <w:lang w:val="en-US"/>
        </w:rPr>
      </w:pPr>
      <w:r>
        <w:rPr>
          <w:b/>
          <w:bCs/>
          <w:lang w:val="en-US"/>
        </w:rPr>
        <w:t xml:space="preserve">Complementary </w:t>
      </w:r>
      <w:r w:rsidR="00B57E8F">
        <w:rPr>
          <w:b/>
          <w:bCs/>
          <w:lang w:val="en-US"/>
        </w:rPr>
        <w:t>Diagnostics</w:t>
      </w:r>
    </w:p>
    <w:p w14:paraId="7A7026A8" w14:textId="77777777" w:rsidR="0011523D" w:rsidRDefault="0011523D">
      <w:pPr>
        <w:rPr>
          <w:lang w:val="en-US"/>
        </w:rPr>
      </w:pPr>
    </w:p>
    <w:p w14:paraId="3194740E" w14:textId="77777777" w:rsidR="000444B4" w:rsidRDefault="000444B4" w:rsidP="000444B4">
      <w:pPr>
        <w:autoSpaceDE w:val="0"/>
        <w:autoSpaceDN w:val="0"/>
        <w:adjustRightInd w:val="0"/>
        <w:jc w:val="both"/>
        <w:rPr>
          <w:rFonts w:ascii="Times New Roman" w:hAnsi="Times New Roman" w:cs="Times New Roman"/>
          <w:noProof/>
          <w:lang w:val="en-US"/>
        </w:rPr>
      </w:pPr>
      <w:r w:rsidRPr="00257A98">
        <w:rPr>
          <w:rFonts w:ascii="Times New Roman" w:hAnsi="Times New Roman" w:cs="Times New Roman"/>
          <w:noProof/>
          <w:lang w:val="en-US"/>
        </w:rPr>
        <w:t>Before performing a quantitative analysis of the spectrum, we estimate the velocity and electron density using the XUV imaging and interferometry, respectively</w:t>
      </w:r>
    </w:p>
    <w:p w14:paraId="2734FA14" w14:textId="28C099DF" w:rsidR="000444B4" w:rsidRPr="00257A98" w:rsidRDefault="000444B4" w:rsidP="000444B4">
      <w:pPr>
        <w:autoSpaceDE w:val="0"/>
        <w:autoSpaceDN w:val="0"/>
        <w:adjustRightInd w:val="0"/>
        <w:jc w:val="both"/>
        <w:rPr>
          <w:rFonts w:ascii="Times New Roman" w:hAnsi="Times New Roman" w:cs="Times New Roman"/>
          <w:noProof/>
          <w:lang w:val="en-US"/>
        </w:rPr>
      </w:pPr>
      <w:r w:rsidRPr="00257A98">
        <w:rPr>
          <w:rFonts w:ascii="Times New Roman" w:hAnsi="Times New Roman" w:cs="Times New Roman"/>
          <w:noProof/>
          <w:lang w:val="en-US"/>
        </w:rPr>
        <w:t xml:space="preserve">This helps to constrain the prior parameters distribution and also to compare with the results obtained from TS. The XUV images were processed using a contour detection script on </w:t>
      </w:r>
      <w:r>
        <w:rPr>
          <w:rFonts w:ascii="Times New Roman" w:hAnsi="Times New Roman" w:cs="Times New Roman"/>
          <w:noProof/>
          <w:lang w:val="en-US"/>
        </w:rPr>
        <w:t>P</w:t>
      </w:r>
      <w:r w:rsidRPr="00A318FE">
        <w:rPr>
          <w:rFonts w:ascii="Times New Roman" w:hAnsi="Times New Roman" w:cs="Times New Roman"/>
          <w:noProof/>
          <w:lang w:val="en-US"/>
        </w:rPr>
        <w:t xml:space="preserve">ython to find the outermost edge of the plasma. The results shown in </w:t>
      </w:r>
      <w:r>
        <w:rPr>
          <w:rFonts w:ascii="Times New Roman" w:hAnsi="Times New Roman" w:cs="Times New Roman"/>
          <w:noProof/>
          <w:lang w:val="en-US"/>
        </w:rPr>
        <w:t xml:space="preserve">Fig. </w:t>
      </w:r>
      <w:r w:rsidR="00626A28">
        <w:rPr>
          <w:rFonts w:ascii="Times New Roman" w:hAnsi="Times New Roman" w:cs="Times New Roman"/>
          <w:noProof/>
          <w:lang w:val="en-US"/>
        </w:rPr>
        <w:t>2</w:t>
      </w:r>
      <w:r w:rsidRPr="00A318FE">
        <w:rPr>
          <w:rFonts w:ascii="Times New Roman" w:hAnsi="Times New Roman" w:cs="Times New Roman"/>
          <w:noProof/>
          <w:lang w:val="en-US"/>
        </w:rPr>
        <w:t>(a) contains data from 19 shots, where each shot account</w:t>
      </w:r>
      <w:r>
        <w:rPr>
          <w:rFonts w:ascii="Times New Roman" w:hAnsi="Times New Roman" w:cs="Times New Roman"/>
          <w:noProof/>
          <w:lang w:val="en-US"/>
        </w:rPr>
        <w:t>s</w:t>
      </w:r>
      <w:r w:rsidRPr="00A318FE">
        <w:rPr>
          <w:rFonts w:ascii="Times New Roman" w:hAnsi="Times New Roman" w:cs="Times New Roman"/>
          <w:noProof/>
          <w:lang w:val="en-US"/>
        </w:rPr>
        <w:t xml:space="preserve"> for 4 data point in the plot. Each point represents the average radius along the vertical direcction and the error bars correspond to the standard deviation. The red line represents the best fit using the snowplow model </w:t>
      </w:r>
      <w:sdt>
        <w:sdtPr>
          <w:rPr>
            <w:rFonts w:ascii="Times New Roman" w:hAnsi="Times New Roman" w:cs="Times New Roman"/>
            <w:noProof/>
            <w:color w:val="000000"/>
            <w:lang w:val="en-US"/>
          </w:rPr>
          <w:tag w:val="MENDELEY_CITATION_v3_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"/>
          <w:id w:val="-943758614"/>
          <w:placeholder>
            <w:docPart w:val="DefaultPlaceholder_-1854013440"/>
          </w:placeholder>
        </w:sdtPr>
        <w:sdtContent>
          <w:r w:rsidR="0071654C" w:rsidRPr="00FD5796">
            <w:rPr>
              <w:rFonts w:ascii="Times New Roman" w:hAnsi="Times New Roman" w:cs="Times New Roman"/>
              <w:noProof/>
              <w:color w:val="000000"/>
              <w:lang w:val="en-US"/>
            </w:rPr>
            <w:t>[1]</w:t>
          </w:r>
        </w:sdtContent>
      </w:sdt>
      <w:r w:rsidRPr="00A318FE">
        <w:rPr>
          <w:rFonts w:ascii="Times New Roman" w:hAnsi="Times New Roman" w:cs="Times New Roman"/>
          <w:noProof/>
          <w:lang w:val="en-US"/>
        </w:rPr>
        <w:t xml:space="preserve">, while the blue line shows its derivative, i.e. the implosion velocity as a function of time. It is observed that during the last stage of the implosion, the velocity increases approximately from </w:t>
      </w:r>
      <m:oMath>
        <m:r>
          <w:rPr>
            <w:rFonts w:ascii="Cambria Math" w:hAnsi="Cambria Math" w:cs="Times New Roman"/>
            <w:noProof/>
            <w:lang w:val="en-US"/>
          </w:rPr>
          <m:t>50 km/s</m:t>
        </m:r>
      </m:oMath>
      <w:r w:rsidRPr="00257A98">
        <w:rPr>
          <w:rFonts w:ascii="Times New Roman" w:hAnsi="Times New Roman" w:cs="Times New Roman"/>
          <w:noProof/>
          <w:lang w:val="en-US"/>
        </w:rPr>
        <w:t xml:space="preserve"> to </w:t>
      </w:r>
      <m:oMath>
        <m:r>
          <w:rPr>
            <w:rFonts w:ascii="Cambria Math" w:hAnsi="Cambria Math" w:cs="Times New Roman"/>
            <w:noProof/>
            <w:lang w:val="en-US"/>
          </w:rPr>
          <m:t>380 km/s</m:t>
        </m:r>
      </m:oMath>
      <w:r w:rsidRPr="00257A98">
        <w:rPr>
          <w:rFonts w:ascii="Times New Roman" w:hAnsi="Times New Roman" w:cs="Times New Roman"/>
          <w:noProof/>
          <w:lang w:val="en-US"/>
        </w:rPr>
        <w:t xml:space="preserve"> in </w:t>
      </w:r>
      <m:oMath>
        <m:r>
          <m:rPr>
            <m:sty m:val="p"/>
          </m:rPr>
          <w:rPr>
            <w:rFonts w:ascii="Cambria Math" w:hAnsi="Cambria Math" w:cs="Times New Roman"/>
            <w:noProof/>
          </w:rPr>
          <m:t>Δ</m:t>
        </m:r>
        <m:r>
          <w:rPr>
            <w:rFonts w:ascii="Cambria Math" w:hAnsi="Cambria Math" w:cs="Times New Roman"/>
            <w:noProof/>
          </w:rPr>
          <m:t>t</m:t>
        </m:r>
        <m:r>
          <w:rPr>
            <w:rFonts w:ascii="Cambria Math" w:hAnsi="Cambria Math" w:cs="Times New Roman"/>
            <w:noProof/>
            <w:lang w:val="en-US"/>
          </w:rPr>
          <m:t xml:space="preserve"> ≈50 </m:t>
        </m:r>
        <m:r>
          <w:rPr>
            <w:rFonts w:ascii="Cambria Math" w:hAnsi="Cambria Math" w:cs="Times New Roman"/>
            <w:noProof/>
          </w:rPr>
          <m:t>ns</m:t>
        </m:r>
      </m:oMath>
      <w:r w:rsidRPr="00257A98">
        <w:rPr>
          <w:rFonts w:ascii="Times New Roman" w:hAnsi="Times New Roman" w:cs="Times New Roman"/>
          <w:noProof/>
          <w:lang w:val="en-US"/>
        </w:rPr>
        <w:t>.</w:t>
      </w:r>
    </w:p>
    <w:p w14:paraId="366AA590" w14:textId="77777777" w:rsidR="000444B4" w:rsidRPr="00257A98" w:rsidRDefault="000444B4" w:rsidP="000444B4">
      <w:pPr>
        <w:autoSpaceDE w:val="0"/>
        <w:autoSpaceDN w:val="0"/>
        <w:adjustRightInd w:val="0"/>
        <w:jc w:val="both"/>
        <w:rPr>
          <w:rFonts w:ascii="Times New Roman" w:hAnsi="Times New Roman" w:cs="Times New Roman"/>
          <w:noProof/>
          <w:lang w:val="en-US"/>
        </w:rPr>
      </w:pPr>
    </w:p>
    <w:p w14:paraId="345E460D" w14:textId="2D7A6FC7" w:rsidR="000444B4" w:rsidRPr="00257A98" w:rsidRDefault="000444B4" w:rsidP="000444B4">
      <w:pPr>
        <w:autoSpaceDE w:val="0"/>
        <w:autoSpaceDN w:val="0"/>
        <w:adjustRightInd w:val="0"/>
        <w:jc w:val="both"/>
        <w:rPr>
          <w:rFonts w:ascii="Times New Roman" w:hAnsi="Times New Roman" w:cs="Times New Roman"/>
          <w:noProof/>
          <w:lang w:val="en-US"/>
        </w:rPr>
      </w:pPr>
      <w:r w:rsidRPr="00257A98">
        <w:rPr>
          <w:rFonts w:ascii="Times New Roman" w:hAnsi="Times New Roman" w:cs="Times New Roman"/>
          <w:noProof/>
          <w:lang w:val="en-US"/>
        </w:rPr>
        <w:t xml:space="preserve">On the other hand, Mach Zehnder interferometry was used to measure the electron density. The interference pattern analysis was done with a combination of Interferometric Data Evaluation Algorithms (IDEA) software </w:t>
      </w:r>
      <w:sdt>
        <w:sdtPr>
          <w:rPr>
            <w:rFonts w:ascii="Times New Roman" w:hAnsi="Times New Roman" w:cs="Times New Roman"/>
            <w:noProof/>
            <w:color w:val="000000"/>
            <w:lang w:val="en-US"/>
          </w:rPr>
          <w:tag w:val="MENDELEY_CITATION_v3_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"/>
          <w:id w:val="-2099472650"/>
          <w:placeholder>
            <w:docPart w:val="DefaultPlaceholder_-1854013440"/>
          </w:placeholder>
        </w:sdtPr>
        <w:sdtContent>
          <w:r w:rsidR="0071654C" w:rsidRPr="00B9554E">
            <w:rPr>
              <w:rFonts w:eastAsia="Times New Roman"/>
              <w:color w:val="000000"/>
              <w:lang w:val="en-US"/>
            </w:rPr>
            <w:t>[2], [3]</w:t>
          </w:r>
        </w:sdtContent>
      </w:sdt>
      <w:r w:rsidRPr="00257A98">
        <w:rPr>
          <w:rFonts w:ascii="Times New Roman" w:hAnsi="Times New Roman" w:cs="Times New Roman"/>
          <w:noProof/>
          <w:lang w:val="en-US"/>
        </w:rPr>
        <w:t xml:space="preserve"> and the python pyAbel library to do the inverse Abel transform </w:t>
      </w:r>
      <w:sdt>
        <w:sdtPr>
          <w:rPr>
            <w:rFonts w:ascii="Times New Roman" w:hAnsi="Times New Roman" w:cs="Times New Roman"/>
            <w:noProof/>
            <w:color w:val="000000"/>
            <w:lang w:val="en-US"/>
          </w:rPr>
          <w:tag w:val="MENDELEY_CITATION_v3_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"/>
          <w:id w:val="1981722035"/>
          <w:placeholder>
            <w:docPart w:val="DefaultPlaceholder_-1854013440"/>
          </w:placeholder>
        </w:sdtPr>
        <w:sdtContent>
          <w:r w:rsidR="0071654C" w:rsidRPr="00FD5796">
            <w:rPr>
              <w:rFonts w:ascii="Times New Roman" w:hAnsi="Times New Roman" w:cs="Times New Roman"/>
              <w:noProof/>
              <w:color w:val="000000"/>
              <w:lang w:val="en-US"/>
            </w:rPr>
            <w:t>[4]</w:t>
          </w:r>
        </w:sdtContent>
      </w:sdt>
      <w:r w:rsidRPr="00257A98">
        <w:rPr>
          <w:rFonts w:ascii="Times New Roman" w:hAnsi="Times New Roman" w:cs="Times New Roman"/>
          <w:noProof/>
          <w:lang w:val="en-US"/>
        </w:rPr>
        <w:t xml:space="preserve">. Interferometry measurements were made early in time (-100 ns) since the high density and large gradient caused the laser probe to deviate from the collection cone at times close to stagnation. </w:t>
      </w:r>
      <w:r>
        <w:rPr>
          <w:rFonts w:ascii="Times New Roman" w:hAnsi="Times New Roman" w:cs="Times New Roman"/>
          <w:noProof/>
          <w:lang w:val="en-US"/>
        </w:rPr>
        <w:t xml:space="preserve">Fig. </w:t>
      </w:r>
      <w:r w:rsidR="00574AA8">
        <w:rPr>
          <w:rFonts w:ascii="Times New Roman" w:hAnsi="Times New Roman" w:cs="Times New Roman"/>
          <w:noProof/>
          <w:lang w:val="en-US"/>
        </w:rPr>
        <w:t>2</w:t>
      </w:r>
      <w:r w:rsidRPr="00257A98">
        <w:rPr>
          <w:rFonts w:ascii="Times New Roman" w:hAnsi="Times New Roman" w:cs="Times New Roman"/>
          <w:noProof/>
          <w:lang w:val="en-US"/>
        </w:rPr>
        <w:t xml:space="preserve">(b) shows the density map obtained using the abovementioned procedure. It shows well-defined edges with a high-density gradient between the interior and the plasma's edge. It can also be seen that the maximum density is around  </w:t>
      </w:r>
      <m:oMath>
        <m:r>
          <w:rPr>
            <w:rFonts w:ascii="Cambria Math" w:hAnsi="Cambria Math" w:cs="Times New Roman"/>
            <w:noProof/>
            <w:lang w:val="en-US"/>
          </w:rPr>
          <m:t>6×</m:t>
        </m:r>
        <m:sSup>
          <m:sSupPr>
            <m:ctrlPr>
              <w:rPr>
                <w:rFonts w:ascii="Cambria Math" w:hAnsi="Cambria Math" w:cs="Times New Roman"/>
                <w:i/>
                <w:noProof/>
                <w:lang w:val="en-US"/>
              </w:rPr>
            </m:ctrlPr>
          </m:sSupPr>
          <m:e>
            <m:r>
              <w:rPr>
                <w:rFonts w:ascii="Cambria Math" w:hAnsi="Cambria Math" w:cs="Times New Roman"/>
                <w:noProof/>
                <w:lang w:val="en-US"/>
              </w:rPr>
              <m:t>10</m:t>
            </m:r>
          </m:e>
          <m:sup>
            <m:r>
              <w:rPr>
                <w:rFonts w:ascii="Cambria Math" w:hAnsi="Cambria Math" w:cs="Times New Roman"/>
                <w:noProof/>
                <w:lang w:val="en-US"/>
              </w:rPr>
              <m:t>17</m:t>
            </m:r>
          </m:sup>
        </m:sSup>
        <m:sSup>
          <m:sSupPr>
            <m:ctrlPr>
              <w:rPr>
                <w:rFonts w:ascii="Cambria Math" w:hAnsi="Cambria Math" w:cs="Times New Roman"/>
                <w:i/>
                <w:noProof/>
                <w:lang w:val="en-US"/>
              </w:rPr>
            </m:ctrlPr>
          </m:sSupPr>
          <m:e>
            <m:r>
              <w:rPr>
                <w:rFonts w:ascii="Cambria Math" w:hAnsi="Cambria Math" w:cs="Times New Roman"/>
                <w:noProof/>
                <w:lang w:val="en-US"/>
              </w:rPr>
              <m:t>cm</m:t>
            </m:r>
          </m:e>
          <m:sup>
            <m:r>
              <w:rPr>
                <w:rFonts w:ascii="Cambria Math" w:hAnsi="Cambria Math" w:cs="Times New Roman"/>
                <w:noProof/>
                <w:lang w:val="en-US"/>
              </w:rPr>
              <m:t>-3</m:t>
            </m:r>
          </m:sup>
        </m:sSup>
      </m:oMath>
      <w:r w:rsidRPr="00257A98">
        <w:rPr>
          <w:rFonts w:ascii="Times New Roman" w:eastAsiaTheme="minorEastAsia" w:hAnsi="Times New Roman" w:cs="Times New Roman"/>
          <w:noProof/>
          <w:lang w:val="en-US"/>
        </w:rPr>
        <w:t xml:space="preserve"> </w:t>
      </w:r>
      <w:r w:rsidRPr="00257A98">
        <w:rPr>
          <w:rFonts w:ascii="Times New Roman" w:hAnsi="Times New Roman" w:cs="Times New Roman"/>
          <w:noProof/>
          <w:lang w:val="en-US"/>
        </w:rPr>
        <w:t xml:space="preserve">with an external radius of approximately </w:t>
      </w:r>
      <m:oMath>
        <m:r>
          <w:rPr>
            <w:rFonts w:ascii="Cambria Math" w:hAnsi="Cambria Math" w:cs="Times New Roman"/>
            <w:noProof/>
            <w:lang w:val="en-US"/>
          </w:rPr>
          <m:t xml:space="preserve">8 </m:t>
        </m:r>
        <m:r>
          <w:rPr>
            <w:rFonts w:ascii="Cambria Math" w:hAnsi="Cambria Math" w:cs="Times New Roman"/>
            <w:noProof/>
          </w:rPr>
          <m:t>mm</m:t>
        </m:r>
      </m:oMath>
      <w:r w:rsidRPr="00257A98">
        <w:rPr>
          <w:rFonts w:ascii="Times New Roman" w:hAnsi="Times New Roman" w:cs="Times New Roman"/>
          <w:noProof/>
          <w:lang w:val="en-US"/>
        </w:rPr>
        <w:t xml:space="preserve"> and an internal radius of </w:t>
      </w:r>
      <m:oMath>
        <m:r>
          <w:rPr>
            <w:rFonts w:ascii="Cambria Math" w:hAnsi="Cambria Math" w:cs="Times New Roman"/>
            <w:noProof/>
            <w:lang w:val="en-US"/>
          </w:rPr>
          <m:t xml:space="preserve">7 </m:t>
        </m:r>
        <m:r>
          <w:rPr>
            <w:rFonts w:ascii="Cambria Math" w:hAnsi="Cambria Math" w:cs="Times New Roman"/>
            <w:noProof/>
          </w:rPr>
          <m:t>mm</m:t>
        </m:r>
      </m:oMath>
      <w:r w:rsidRPr="00257A98">
        <w:rPr>
          <w:rFonts w:ascii="Times New Roman" w:hAnsi="Times New Roman" w:cs="Times New Roman"/>
          <w:noProof/>
          <w:lang w:val="en-US"/>
        </w:rPr>
        <w:t xml:space="preserve">, that is, </w:t>
      </w:r>
      <m:oMath>
        <m:r>
          <m:rPr>
            <m:sty m:val="p"/>
          </m:rPr>
          <w:rPr>
            <w:rFonts w:ascii="Cambria Math" w:hAnsi="Cambria Math" w:cs="Times New Roman"/>
            <w:noProof/>
          </w:rPr>
          <m:t>Δ</m:t>
        </m:r>
        <m:r>
          <w:rPr>
            <w:rFonts w:ascii="Cambria Math" w:hAnsi="Cambria Math" w:cs="Times New Roman"/>
            <w:noProof/>
          </w:rPr>
          <m:t>r</m:t>
        </m:r>
        <m:r>
          <w:rPr>
            <w:rFonts w:ascii="Cambria Math" w:hAnsi="Cambria Math" w:cs="Times New Roman"/>
            <w:noProof/>
            <w:lang w:val="en-US"/>
          </w:rPr>
          <m:t xml:space="preserve">=1 </m:t>
        </m:r>
        <m:r>
          <w:rPr>
            <w:rFonts w:ascii="Cambria Math" w:hAnsi="Cambria Math" w:cs="Times New Roman"/>
            <w:noProof/>
          </w:rPr>
          <m:t>mm</m:t>
        </m:r>
      </m:oMath>
      <w:r w:rsidRPr="00257A98">
        <w:rPr>
          <w:rFonts w:ascii="Times New Roman" w:hAnsi="Times New Roman" w:cs="Times New Roman"/>
          <w:noProof/>
          <w:lang w:val="en-US"/>
        </w:rPr>
        <w:t xml:space="preserve">. These values ​​are used to estimate the density at times close to stagnation. Assuming the same ionization state at -100 ns and -26 ns, and if all electrons are compressed to a column of 3 mm in radius, the density would be </w:t>
      </w:r>
      <m:oMath>
        <m:r>
          <w:rPr>
            <w:rFonts w:ascii="Cambria Math" w:hAnsi="Cambria Math" w:cs="Times New Roman"/>
            <w:noProof/>
            <w:lang w:val="en-US"/>
          </w:rPr>
          <m:t>~4x</m:t>
        </m:r>
        <m:sSup>
          <m:sSupPr>
            <m:ctrlPr>
              <w:rPr>
                <w:rFonts w:ascii="Cambria Math" w:hAnsi="Cambria Math" w:cs="Times New Roman"/>
                <w:i/>
                <w:noProof/>
                <w:lang w:val="en-US"/>
              </w:rPr>
            </m:ctrlPr>
          </m:sSupPr>
          <m:e>
            <m:r>
              <w:rPr>
                <w:rFonts w:ascii="Cambria Math" w:hAnsi="Cambria Math" w:cs="Times New Roman"/>
                <w:noProof/>
                <w:lang w:val="en-US"/>
              </w:rPr>
              <m:t>10</m:t>
            </m:r>
          </m:e>
          <m:sup>
            <m:r>
              <w:rPr>
                <w:rFonts w:ascii="Cambria Math" w:hAnsi="Cambria Math" w:cs="Times New Roman"/>
                <w:noProof/>
                <w:lang w:val="en-US"/>
              </w:rPr>
              <m:t>18</m:t>
            </m:r>
          </m:sup>
        </m:sSup>
        <m:sSup>
          <m:sSupPr>
            <m:ctrlPr>
              <w:rPr>
                <w:rFonts w:ascii="Cambria Math" w:hAnsi="Cambria Math" w:cs="Times New Roman"/>
                <w:i/>
                <w:noProof/>
                <w:lang w:val="en-US"/>
              </w:rPr>
            </m:ctrlPr>
          </m:sSupPr>
          <m:e>
            <m:r>
              <w:rPr>
                <w:rFonts w:ascii="Cambria Math" w:hAnsi="Cambria Math" w:cs="Times New Roman"/>
                <w:noProof/>
                <w:lang w:val="en-US"/>
              </w:rPr>
              <m:t>cm</m:t>
            </m:r>
          </m:e>
          <m:sup>
            <m:r>
              <w:rPr>
                <w:rFonts w:ascii="Cambria Math" w:hAnsi="Cambria Math" w:cs="Times New Roman"/>
                <w:noProof/>
                <w:lang w:val="en-US"/>
              </w:rPr>
              <m:t>-3</m:t>
            </m:r>
          </m:sup>
        </m:sSup>
      </m:oMath>
      <w:r w:rsidRPr="00257A98">
        <w:rPr>
          <w:rFonts w:ascii="Times New Roman" w:hAnsi="Times New Roman" w:cs="Times New Roman"/>
          <w:noProof/>
          <w:lang w:val="en-US"/>
        </w:rPr>
        <w:t xml:space="preserve">. While if it is assumed to compress to a radius of 1 mm,  the density would be </w:t>
      </w:r>
      <m:oMath>
        <m:r>
          <w:rPr>
            <w:rFonts w:ascii="Cambria Math" w:hAnsi="Cambria Math" w:cs="Times New Roman"/>
            <w:noProof/>
            <w:lang w:val="en-US"/>
          </w:rPr>
          <m:t>~4x</m:t>
        </m:r>
        <m:sSup>
          <m:sSupPr>
            <m:ctrlPr>
              <w:rPr>
                <w:rFonts w:ascii="Cambria Math" w:hAnsi="Cambria Math" w:cs="Times New Roman"/>
                <w:i/>
                <w:noProof/>
                <w:lang w:val="en-US"/>
              </w:rPr>
            </m:ctrlPr>
          </m:sSupPr>
          <m:e>
            <m:r>
              <w:rPr>
                <w:rFonts w:ascii="Cambria Math" w:hAnsi="Cambria Math" w:cs="Times New Roman"/>
                <w:noProof/>
                <w:lang w:val="en-US"/>
              </w:rPr>
              <m:t>10</m:t>
            </m:r>
          </m:e>
          <m:sup>
            <m:r>
              <w:rPr>
                <w:rFonts w:ascii="Cambria Math" w:hAnsi="Cambria Math" w:cs="Times New Roman"/>
                <w:noProof/>
                <w:lang w:val="en-US"/>
              </w:rPr>
              <m:t>19</m:t>
            </m:r>
          </m:sup>
        </m:sSup>
        <m:sSup>
          <m:sSupPr>
            <m:ctrlPr>
              <w:rPr>
                <w:rFonts w:ascii="Cambria Math" w:hAnsi="Cambria Math" w:cs="Times New Roman"/>
                <w:i/>
                <w:noProof/>
                <w:lang w:val="en-US"/>
              </w:rPr>
            </m:ctrlPr>
          </m:sSupPr>
          <m:e>
            <m:r>
              <w:rPr>
                <w:rFonts w:ascii="Cambria Math" w:hAnsi="Cambria Math" w:cs="Times New Roman"/>
                <w:noProof/>
                <w:lang w:val="en-US"/>
              </w:rPr>
              <m:t>cm</m:t>
            </m:r>
          </m:e>
          <m:sup>
            <m:r>
              <w:rPr>
                <w:rFonts w:ascii="Cambria Math" w:hAnsi="Cambria Math" w:cs="Times New Roman"/>
                <w:noProof/>
                <w:lang w:val="en-US"/>
              </w:rPr>
              <m:t>-3</m:t>
            </m:r>
          </m:sup>
        </m:sSup>
      </m:oMath>
      <w:r w:rsidRPr="00257A98">
        <w:rPr>
          <w:rFonts w:ascii="Times New Roman" w:hAnsi="Times New Roman" w:cs="Times New Roman"/>
          <w:noProof/>
          <w:lang w:val="en-US"/>
        </w:rPr>
        <w:t xml:space="preserve">. Under these assumptions, the density expected at  -26ns is between </w:t>
      </w:r>
      <m:oMath>
        <m:r>
          <w:rPr>
            <w:rFonts w:ascii="Cambria Math" w:hAnsi="Cambria Math" w:cs="Times New Roman"/>
            <w:noProof/>
            <w:lang w:val="en-US"/>
          </w:rPr>
          <m:t>1x</m:t>
        </m:r>
        <m:sSup>
          <m:sSupPr>
            <m:ctrlPr>
              <w:rPr>
                <w:rFonts w:ascii="Cambria Math" w:hAnsi="Cambria Math" w:cs="Times New Roman"/>
                <w:i/>
                <w:noProof/>
                <w:lang w:val="en-US"/>
              </w:rPr>
            </m:ctrlPr>
          </m:sSupPr>
          <m:e>
            <m:r>
              <w:rPr>
                <w:rFonts w:ascii="Cambria Math" w:hAnsi="Cambria Math" w:cs="Times New Roman"/>
                <w:noProof/>
                <w:lang w:val="en-US"/>
              </w:rPr>
              <m:t>10</m:t>
            </m:r>
          </m:e>
          <m:sup>
            <m:r>
              <w:rPr>
                <w:rFonts w:ascii="Cambria Math" w:hAnsi="Cambria Math" w:cs="Times New Roman"/>
                <w:noProof/>
                <w:lang w:val="en-US"/>
              </w:rPr>
              <m:t>19</m:t>
            </m:r>
          </m:sup>
        </m:sSup>
        <m:sSup>
          <m:sSupPr>
            <m:ctrlPr>
              <w:rPr>
                <w:rFonts w:ascii="Cambria Math" w:hAnsi="Cambria Math" w:cs="Times New Roman"/>
                <w:i/>
                <w:noProof/>
                <w:lang w:val="en-US"/>
              </w:rPr>
            </m:ctrlPr>
          </m:sSupPr>
          <m:e>
            <m:r>
              <w:rPr>
                <w:rFonts w:ascii="Cambria Math" w:hAnsi="Cambria Math" w:cs="Times New Roman"/>
                <w:noProof/>
                <w:lang w:val="en-US"/>
              </w:rPr>
              <m:t>cm</m:t>
            </m:r>
          </m:e>
          <m:sup>
            <m:r>
              <w:rPr>
                <w:rFonts w:ascii="Cambria Math" w:hAnsi="Cambria Math" w:cs="Times New Roman"/>
                <w:noProof/>
                <w:lang w:val="en-US"/>
              </w:rPr>
              <m:t>-3</m:t>
            </m:r>
          </m:sup>
        </m:sSup>
      </m:oMath>
      <w:r w:rsidRPr="00257A98">
        <w:rPr>
          <w:rFonts w:ascii="Times New Roman" w:hAnsi="Times New Roman" w:cs="Times New Roman"/>
          <w:noProof/>
          <w:lang w:val="en-US"/>
        </w:rPr>
        <w:t xml:space="preserve"> and </w:t>
      </w:r>
      <m:oMath>
        <m:r>
          <w:rPr>
            <w:rFonts w:ascii="Cambria Math" w:hAnsi="Cambria Math" w:cs="Times New Roman"/>
            <w:noProof/>
            <w:lang w:val="en-US"/>
          </w:rPr>
          <m:t>1x</m:t>
        </m:r>
        <m:sSup>
          <m:sSupPr>
            <m:ctrlPr>
              <w:rPr>
                <w:rFonts w:ascii="Cambria Math" w:hAnsi="Cambria Math" w:cs="Times New Roman"/>
                <w:i/>
                <w:noProof/>
                <w:lang w:val="en-US"/>
              </w:rPr>
            </m:ctrlPr>
          </m:sSupPr>
          <m:e>
            <m:r>
              <w:rPr>
                <w:rFonts w:ascii="Cambria Math" w:hAnsi="Cambria Math" w:cs="Times New Roman"/>
                <w:noProof/>
                <w:lang w:val="en-US"/>
              </w:rPr>
              <m:t>10</m:t>
            </m:r>
          </m:e>
          <m:sup>
            <m:r>
              <w:rPr>
                <w:rFonts w:ascii="Cambria Math" w:hAnsi="Cambria Math" w:cs="Times New Roman"/>
                <w:noProof/>
                <w:lang w:val="en-US"/>
              </w:rPr>
              <m:t>20</m:t>
            </m:r>
          </m:sup>
        </m:sSup>
        <m:sSup>
          <m:sSupPr>
            <m:ctrlPr>
              <w:rPr>
                <w:rFonts w:ascii="Cambria Math" w:hAnsi="Cambria Math" w:cs="Times New Roman"/>
                <w:i/>
                <w:noProof/>
                <w:lang w:val="en-US"/>
              </w:rPr>
            </m:ctrlPr>
          </m:sSupPr>
          <m:e>
            <m:r>
              <w:rPr>
                <w:rFonts w:ascii="Cambria Math" w:hAnsi="Cambria Math" w:cs="Times New Roman"/>
                <w:noProof/>
                <w:lang w:val="en-US"/>
              </w:rPr>
              <m:t>cm</m:t>
            </m:r>
          </m:e>
          <m:sup>
            <m:r>
              <w:rPr>
                <w:rFonts w:ascii="Cambria Math" w:hAnsi="Cambria Math" w:cs="Times New Roman"/>
                <w:noProof/>
                <w:lang w:val="en-US"/>
              </w:rPr>
              <m:t>-3</m:t>
            </m:r>
          </m:sup>
        </m:sSup>
      </m:oMath>
      <w:r w:rsidRPr="00257A98">
        <w:rPr>
          <w:rFonts w:ascii="Times New Roman" w:hAnsi="Times New Roman" w:cs="Times New Roman"/>
          <w:noProof/>
          <w:lang w:val="en-US"/>
        </w:rPr>
        <w:t>since ionization is expected to increase when stagnation occurs.</w:t>
      </w:r>
    </w:p>
    <w:p w14:paraId="16074FFE" w14:textId="6E2449F0" w:rsidR="000444B4" w:rsidRDefault="000444B4">
      <w:pPr>
        <w:rPr>
          <w:lang w:val="en-US"/>
        </w:rPr>
      </w:pPr>
    </w:p>
    <w:p w14:paraId="01357221" w14:textId="7A680BDD" w:rsidR="00AC5236" w:rsidRDefault="00AC5236">
      <w:pPr>
        <w:rPr>
          <w:lang w:val="en-US"/>
        </w:rPr>
      </w:pPr>
    </w:p>
    <w:p w14:paraId="7488BD17" w14:textId="77777777" w:rsidR="00AC5236" w:rsidRDefault="00AC5236" w:rsidP="00AC5236">
      <w:pPr>
        <w:autoSpaceDE w:val="0"/>
        <w:autoSpaceDN w:val="0"/>
        <w:adjustRightInd w:val="0"/>
        <w:jc w:val="both"/>
        <w:rPr>
          <w:noProof/>
        </w:rPr>
      </w:pPr>
      <w:r>
        <w:rPr>
          <w:noProof/>
          <w:lang w:eastAsia="es-CL"/>
        </w:rPr>
        <w:drawing>
          <wp:inline distT="0" distB="0" distL="0" distR="0" wp14:anchorId="58152173" wp14:editId="3DB11DA2">
            <wp:extent cx="5612400" cy="1826834"/>
            <wp:effectExtent l="0" t="0" r="7620" b="254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12400" cy="1826834"/>
                    </a:xfrm>
                    <a:prstGeom prst="rect">
                      <a:avLst/>
                    </a:prstGeom>
                    <a:noFill/>
                  </pic:spPr>
                </pic:pic>
              </a:graphicData>
            </a:graphic>
          </wp:inline>
        </w:drawing>
      </w:r>
    </w:p>
    <w:p w14:paraId="3CCB2347" w14:textId="7E310D8D" w:rsidR="00AC5236" w:rsidRPr="00F15608" w:rsidRDefault="002101E8" w:rsidP="002101E8">
      <w:pPr>
        <w:autoSpaceDE w:val="0"/>
        <w:autoSpaceDN w:val="0"/>
        <w:adjustRightInd w:val="0"/>
        <w:jc w:val="both"/>
        <w:rPr>
          <w:rFonts w:ascii="Times New Roman" w:hAnsi="Times New Roman" w:cs="Times New Roman"/>
          <w:lang w:val="en-US"/>
        </w:rPr>
      </w:pPr>
      <w:r>
        <w:rPr>
          <w:rFonts w:ascii="Times New Roman" w:hAnsi="Times New Roman" w:cs="Times New Roman"/>
          <w:lang w:val="en-US"/>
        </w:rPr>
        <w:t>Supplementary f</w:t>
      </w:r>
      <w:r w:rsidRPr="00BF5D47">
        <w:rPr>
          <w:rFonts w:ascii="Times New Roman" w:hAnsi="Times New Roman" w:cs="Times New Roman"/>
          <w:lang w:val="en-US"/>
        </w:rPr>
        <w:t>ig</w:t>
      </w:r>
      <w:r>
        <w:rPr>
          <w:rFonts w:ascii="Times New Roman" w:hAnsi="Times New Roman" w:cs="Times New Roman"/>
          <w:lang w:val="en-US"/>
        </w:rPr>
        <w:t xml:space="preserve">ure </w:t>
      </w:r>
      <w:r w:rsidR="00626A28">
        <w:rPr>
          <w:rFonts w:ascii="Times New Roman" w:hAnsi="Times New Roman" w:cs="Times New Roman"/>
          <w:lang w:val="en-US"/>
        </w:rPr>
        <w:t>2</w:t>
      </w:r>
      <w:r w:rsidR="00AC5236" w:rsidRPr="00F15608">
        <w:rPr>
          <w:rFonts w:ascii="Times New Roman" w:hAnsi="Times New Roman" w:cs="Times New Roman"/>
          <w:lang w:val="en-US"/>
        </w:rPr>
        <w:t>. a) Temporal evolution of pinch radius taken from XUV images</w:t>
      </w:r>
      <w:r w:rsidR="00AC5236" w:rsidRPr="00A318FE">
        <w:rPr>
          <w:rFonts w:ascii="Times New Roman" w:hAnsi="Times New Roman" w:cs="Times New Roman"/>
          <w:noProof/>
          <w:lang w:val="en-US"/>
        </w:rPr>
        <w:t xml:space="preserve"> </w:t>
      </w:r>
      <w:r w:rsidR="00AC5236">
        <w:rPr>
          <w:rFonts w:ascii="Times New Roman" w:hAnsi="Times New Roman" w:cs="Times New Roman"/>
          <w:noProof/>
          <w:lang w:val="en-US"/>
        </w:rPr>
        <w:t>R</w:t>
      </w:r>
      <w:r w:rsidR="00AC5236" w:rsidRPr="00A318FE">
        <w:rPr>
          <w:rFonts w:ascii="Times New Roman" w:hAnsi="Times New Roman" w:cs="Times New Roman"/>
          <w:noProof/>
          <w:lang w:val="en-US"/>
        </w:rPr>
        <w:t>ed line represents the best fit using the snowplow model and the velocity in blue is the numerical derivative of the best fit</w:t>
      </w:r>
      <w:r w:rsidR="00AC5236" w:rsidRPr="00F15608">
        <w:rPr>
          <w:rFonts w:ascii="Times New Roman" w:hAnsi="Times New Roman" w:cs="Times New Roman"/>
          <w:lang w:val="en-US"/>
        </w:rPr>
        <w:t xml:space="preserve">. b) Density map of implosion at -100 ns time obtained by Mach </w:t>
      </w:r>
      <w:r w:rsidR="00AC5236">
        <w:rPr>
          <w:rFonts w:ascii="Times New Roman" w:hAnsi="Times New Roman" w:cs="Times New Roman"/>
          <w:lang w:val="en-US"/>
        </w:rPr>
        <w:t>Zehnder</w:t>
      </w:r>
      <w:r w:rsidR="00AC5236" w:rsidRPr="00F15608">
        <w:rPr>
          <w:rFonts w:ascii="Times New Roman" w:hAnsi="Times New Roman" w:cs="Times New Roman"/>
          <w:lang w:val="en-US"/>
        </w:rPr>
        <w:t xml:space="preserve"> interferometer.</w:t>
      </w:r>
    </w:p>
    <w:p w14:paraId="049C201D" w14:textId="2145AB93" w:rsidR="00AC5236" w:rsidRDefault="00AC5236">
      <w:pPr>
        <w:rPr>
          <w:lang w:val="en-US"/>
        </w:rPr>
      </w:pPr>
    </w:p>
    <w:p w14:paraId="08D3FC59" w14:textId="50B86645" w:rsidR="0071654C" w:rsidRDefault="0071654C">
      <w:pPr>
        <w:rPr>
          <w:lang w:val="en-US"/>
        </w:rPr>
      </w:pPr>
    </w:p>
    <w:p w14:paraId="3B62D6F4" w14:textId="77777777" w:rsidR="00A61968" w:rsidRDefault="00A61968">
      <w:pPr>
        <w:rPr>
          <w:lang w:val="en-US"/>
        </w:rPr>
      </w:pPr>
    </w:p>
    <w:p w14:paraId="4D383491" w14:textId="39E81DAF" w:rsidR="0071654C" w:rsidRDefault="0071654C">
      <w:pPr>
        <w:rPr>
          <w:rFonts w:ascii="Times New Roman" w:hAnsi="Times New Roman" w:cs="Times New Roman"/>
          <w:b/>
          <w:bCs/>
          <w:lang w:val="en-US"/>
        </w:rPr>
      </w:pPr>
      <w:r w:rsidRPr="00044F42">
        <w:rPr>
          <w:rFonts w:ascii="Times New Roman" w:hAnsi="Times New Roman" w:cs="Times New Roman"/>
          <w:b/>
          <w:bCs/>
          <w:lang w:val="en-US"/>
        </w:rPr>
        <w:lastRenderedPageBreak/>
        <w:t>References</w:t>
      </w:r>
    </w:p>
    <w:p w14:paraId="18C7A64E" w14:textId="3650F059" w:rsidR="0071654C" w:rsidRDefault="0071654C">
      <w:pPr>
        <w:rPr>
          <w:rFonts w:ascii="Times New Roman" w:hAnsi="Times New Roman" w:cs="Times New Roman"/>
          <w:b/>
          <w:bCs/>
          <w:lang w:val="en-US"/>
        </w:rPr>
      </w:pPr>
    </w:p>
    <w:sdt>
      <w:sdtPr>
        <w:rPr>
          <w:lang w:val="en-US"/>
        </w:rPr>
        <w:tag w:val="MENDELEY_BIBLIOGRAPHY"/>
        <w:id w:val="1273446227"/>
        <w:placeholder>
          <w:docPart w:val="DefaultPlaceholder_-1854013440"/>
        </w:placeholder>
      </w:sdtPr>
      <w:sdtContent>
        <w:p w14:paraId="1E1D8601" w14:textId="77777777" w:rsidR="0071654C" w:rsidRPr="00B9554E" w:rsidRDefault="0071654C">
          <w:pPr>
            <w:autoSpaceDE w:val="0"/>
            <w:autoSpaceDN w:val="0"/>
            <w:ind w:hanging="640"/>
            <w:divId w:val="1524321992"/>
            <w:rPr>
              <w:rFonts w:eastAsia="Times New Roman"/>
              <w:lang w:val="en-US"/>
            </w:rPr>
          </w:pPr>
          <w:r w:rsidRPr="00B9554E">
            <w:rPr>
              <w:rFonts w:eastAsia="Times New Roman"/>
              <w:lang w:val="en-US"/>
            </w:rPr>
            <w:t>[1]</w:t>
          </w:r>
          <w:r w:rsidRPr="00B9554E">
            <w:rPr>
              <w:rFonts w:eastAsia="Times New Roman"/>
              <w:lang w:val="en-US"/>
            </w:rPr>
            <w:tab/>
            <w:t xml:space="preserve">A. </w:t>
          </w:r>
          <w:proofErr w:type="spellStart"/>
          <w:r w:rsidRPr="00B9554E">
            <w:rPr>
              <w:rFonts w:eastAsia="Times New Roman"/>
              <w:lang w:val="en-US"/>
            </w:rPr>
            <w:t>Fruchtman</w:t>
          </w:r>
          <w:proofErr w:type="spellEnd"/>
          <w:r w:rsidRPr="00B9554E">
            <w:rPr>
              <w:rFonts w:eastAsia="Times New Roman"/>
              <w:lang w:val="en-US"/>
            </w:rPr>
            <w:t xml:space="preserve">, “The snowplow in plasmas of nonuniform density,” </w:t>
          </w:r>
          <w:r w:rsidRPr="00B9554E">
            <w:rPr>
              <w:rFonts w:eastAsia="Times New Roman"/>
              <w:i/>
              <w:iCs/>
              <w:lang w:val="en-US"/>
            </w:rPr>
            <w:t>Physics of Fluids B</w:t>
          </w:r>
          <w:r w:rsidRPr="00B9554E">
            <w:rPr>
              <w:rFonts w:eastAsia="Times New Roman"/>
              <w:lang w:val="en-US"/>
            </w:rPr>
            <w:t xml:space="preserve">, vol. 4, no. 4, pp. 855–858, 1992, </w:t>
          </w:r>
          <w:proofErr w:type="spellStart"/>
          <w:r w:rsidRPr="00B9554E">
            <w:rPr>
              <w:rFonts w:eastAsia="Times New Roman"/>
              <w:lang w:val="en-US"/>
            </w:rPr>
            <w:t>doi</w:t>
          </w:r>
          <w:proofErr w:type="spellEnd"/>
          <w:r w:rsidRPr="00B9554E">
            <w:rPr>
              <w:rFonts w:eastAsia="Times New Roman"/>
              <w:lang w:val="en-US"/>
            </w:rPr>
            <w:t>: 10.1063/1.860239.</w:t>
          </w:r>
        </w:p>
        <w:p w14:paraId="6DAAA44F" w14:textId="0A0B91CD" w:rsidR="0071654C" w:rsidRPr="0097524D" w:rsidRDefault="0071654C">
          <w:pPr>
            <w:autoSpaceDE w:val="0"/>
            <w:autoSpaceDN w:val="0"/>
            <w:ind w:hanging="640"/>
            <w:divId w:val="1627270673"/>
            <w:rPr>
              <w:rFonts w:eastAsia="Times New Roman"/>
              <w:color w:val="000000" w:themeColor="text1"/>
              <w:lang w:val="en-US"/>
            </w:rPr>
          </w:pPr>
          <w:r w:rsidRPr="00B9554E">
            <w:rPr>
              <w:rFonts w:eastAsia="Times New Roman"/>
              <w:lang w:val="en-US"/>
            </w:rPr>
            <w:t>[</w:t>
          </w:r>
          <w:r w:rsidRPr="0097524D">
            <w:rPr>
              <w:rFonts w:eastAsia="Times New Roman"/>
              <w:color w:val="000000" w:themeColor="text1"/>
              <w:lang w:val="en-US"/>
            </w:rPr>
            <w:t>2]</w:t>
          </w:r>
          <w:r w:rsidRPr="0097524D">
            <w:rPr>
              <w:rFonts w:eastAsia="Times New Roman"/>
              <w:color w:val="000000" w:themeColor="text1"/>
              <w:lang w:val="en-US"/>
            </w:rPr>
            <w:tab/>
            <w:t xml:space="preserve">M. </w:t>
          </w:r>
          <w:proofErr w:type="spellStart"/>
          <w:r w:rsidRPr="0097524D">
            <w:rPr>
              <w:rFonts w:eastAsia="Times New Roman"/>
              <w:color w:val="000000" w:themeColor="text1"/>
              <w:lang w:val="en-US"/>
            </w:rPr>
            <w:t>Hippa</w:t>
          </w:r>
          <w:proofErr w:type="spellEnd"/>
          <w:r w:rsidRPr="0097524D">
            <w:rPr>
              <w:rFonts w:eastAsia="Times New Roman"/>
              <w:color w:val="000000" w:themeColor="text1"/>
              <w:lang w:val="en-US"/>
            </w:rPr>
            <w:t xml:space="preserve"> </w:t>
          </w:r>
          <w:r w:rsidRPr="0097524D">
            <w:rPr>
              <w:rFonts w:eastAsia="Times New Roman"/>
              <w:i/>
              <w:iCs/>
              <w:color w:val="000000" w:themeColor="text1"/>
              <w:lang w:val="en-US"/>
            </w:rPr>
            <w:t>et al.</w:t>
          </w:r>
          <w:r w:rsidRPr="0097524D">
            <w:rPr>
              <w:rFonts w:eastAsia="Times New Roman"/>
              <w:color w:val="000000" w:themeColor="text1"/>
              <w:lang w:val="en-US"/>
            </w:rPr>
            <w:t>, “Application of Interferometric Fringe Evaluation Software at Technical University Graz.” [Online]. Available:</w:t>
          </w:r>
          <w:r w:rsidR="009301F8" w:rsidRPr="0097524D">
            <w:rPr>
              <w:rFonts w:eastAsia="Times New Roman"/>
              <w:color w:val="000000" w:themeColor="text1"/>
              <w:lang w:val="en-US"/>
            </w:rPr>
            <w:t xml:space="preserve"> </w:t>
          </w:r>
          <w:r w:rsidR="00000000" w:rsidRPr="0097524D">
            <w:rPr>
              <w:color w:val="000000" w:themeColor="text1"/>
            </w:rPr>
            <w:fldChar w:fldCharType="begin"/>
          </w:r>
          <w:r w:rsidR="00000000" w:rsidRPr="0097524D">
            <w:rPr>
              <w:color w:val="000000" w:themeColor="text1"/>
              <w:lang w:val="en-US"/>
            </w:rPr>
            <w:instrText>HYPERLINK "https://www.optics.tugraz.at/idea/idea.html"</w:instrText>
          </w:r>
          <w:r w:rsidR="00000000" w:rsidRPr="0097524D">
            <w:rPr>
              <w:color w:val="000000" w:themeColor="text1"/>
            </w:rPr>
          </w:r>
          <w:r w:rsidR="00000000" w:rsidRPr="0097524D">
            <w:rPr>
              <w:color w:val="000000" w:themeColor="text1"/>
            </w:rPr>
            <w:fldChar w:fldCharType="separate"/>
          </w:r>
          <w:r w:rsidR="009301F8" w:rsidRPr="0097524D">
            <w:rPr>
              <w:rStyle w:val="Hyperlink"/>
              <w:rFonts w:eastAsia="Times New Roman"/>
              <w:color w:val="000000" w:themeColor="text1"/>
              <w:lang w:val="en-US"/>
            </w:rPr>
            <w:t>https://www.optics.tugraz.at/idea/idea.html</w:t>
          </w:r>
          <w:r w:rsidR="00000000" w:rsidRPr="0097524D">
            <w:rPr>
              <w:rStyle w:val="Hyperlink"/>
              <w:rFonts w:eastAsia="Times New Roman"/>
              <w:color w:val="000000" w:themeColor="text1"/>
              <w:lang w:val="en-US"/>
            </w:rPr>
            <w:fldChar w:fldCharType="end"/>
          </w:r>
          <w:r w:rsidR="009301F8" w:rsidRPr="0097524D">
            <w:rPr>
              <w:rFonts w:eastAsia="Times New Roman"/>
              <w:color w:val="000000" w:themeColor="text1"/>
              <w:lang w:val="en-US"/>
            </w:rPr>
            <w:t xml:space="preserve"> </w:t>
          </w:r>
          <w:r w:rsidRPr="0097524D">
            <w:rPr>
              <w:rFonts w:eastAsia="Times New Roman"/>
              <w:color w:val="000000" w:themeColor="text1"/>
              <w:lang w:val="en-US"/>
            </w:rPr>
            <w:t>.</w:t>
          </w:r>
        </w:p>
        <w:p w14:paraId="466E63A2" w14:textId="77777777" w:rsidR="0071654C" w:rsidRPr="00B9554E" w:rsidRDefault="0071654C">
          <w:pPr>
            <w:autoSpaceDE w:val="0"/>
            <w:autoSpaceDN w:val="0"/>
            <w:ind w:hanging="640"/>
            <w:divId w:val="1400202355"/>
            <w:rPr>
              <w:rFonts w:eastAsia="Times New Roman"/>
              <w:lang w:val="en-US"/>
            </w:rPr>
          </w:pPr>
          <w:r w:rsidRPr="00B9554E">
            <w:rPr>
              <w:rFonts w:eastAsia="Times New Roman"/>
              <w:lang w:val="en-US"/>
            </w:rPr>
            <w:t>[3]</w:t>
          </w:r>
          <w:r w:rsidRPr="00B9554E">
            <w:rPr>
              <w:rFonts w:eastAsia="Times New Roman"/>
              <w:lang w:val="en-US"/>
            </w:rPr>
            <w:tab/>
            <w:t xml:space="preserve">M. </w:t>
          </w:r>
          <w:proofErr w:type="spellStart"/>
          <w:r w:rsidRPr="00B9554E">
            <w:rPr>
              <w:rFonts w:eastAsia="Times New Roman"/>
              <w:lang w:val="en-US"/>
            </w:rPr>
            <w:t>Hipp</w:t>
          </w:r>
          <w:proofErr w:type="spellEnd"/>
          <w:r w:rsidRPr="00B9554E">
            <w:rPr>
              <w:rFonts w:eastAsia="Times New Roman"/>
              <w:lang w:val="en-US"/>
            </w:rPr>
            <w:t xml:space="preserve"> and P. </w:t>
          </w:r>
          <w:proofErr w:type="spellStart"/>
          <w:r w:rsidRPr="00B9554E">
            <w:rPr>
              <w:rFonts w:eastAsia="Times New Roman"/>
              <w:lang w:val="en-US"/>
            </w:rPr>
            <w:t>Reiterer</w:t>
          </w:r>
          <w:proofErr w:type="spellEnd"/>
          <w:r w:rsidRPr="00B9554E">
            <w:rPr>
              <w:rFonts w:eastAsia="Times New Roman"/>
              <w:lang w:val="en-US"/>
            </w:rPr>
            <w:t>, “User Manual for IDEA 1.7 Software for Interferometrical Data Evaluation,” 2003.</w:t>
          </w:r>
        </w:p>
        <w:p w14:paraId="13F11E4A" w14:textId="77777777" w:rsidR="0071654C" w:rsidRPr="00B9554E" w:rsidRDefault="0071654C">
          <w:pPr>
            <w:autoSpaceDE w:val="0"/>
            <w:autoSpaceDN w:val="0"/>
            <w:ind w:hanging="640"/>
            <w:divId w:val="662004318"/>
            <w:rPr>
              <w:rFonts w:eastAsia="Times New Roman"/>
              <w:lang w:val="en-US"/>
            </w:rPr>
          </w:pPr>
          <w:r w:rsidRPr="00B9554E">
            <w:rPr>
              <w:rFonts w:eastAsia="Times New Roman"/>
              <w:lang w:val="en-US"/>
            </w:rPr>
            <w:t>[4]</w:t>
          </w:r>
          <w:r w:rsidRPr="00B9554E">
            <w:rPr>
              <w:rFonts w:eastAsia="Times New Roman"/>
              <w:lang w:val="en-US"/>
            </w:rPr>
            <w:tab/>
            <w:t xml:space="preserve">D. D. </w:t>
          </w:r>
          <w:proofErr w:type="spellStart"/>
          <w:r w:rsidRPr="00B9554E">
            <w:rPr>
              <w:rFonts w:eastAsia="Times New Roman"/>
              <w:lang w:val="en-US"/>
            </w:rPr>
            <w:t>Hickstein</w:t>
          </w:r>
          <w:proofErr w:type="spellEnd"/>
          <w:r w:rsidRPr="00B9554E">
            <w:rPr>
              <w:rFonts w:eastAsia="Times New Roman"/>
              <w:lang w:val="en-US"/>
            </w:rPr>
            <w:t xml:space="preserve">, S. T. Gibson, R. </w:t>
          </w:r>
          <w:proofErr w:type="spellStart"/>
          <w:r w:rsidRPr="00B9554E">
            <w:rPr>
              <w:rFonts w:eastAsia="Times New Roman"/>
              <w:lang w:val="en-US"/>
            </w:rPr>
            <w:t>Yurchak</w:t>
          </w:r>
          <w:proofErr w:type="spellEnd"/>
          <w:r w:rsidRPr="00B9554E">
            <w:rPr>
              <w:rFonts w:eastAsia="Times New Roman"/>
              <w:lang w:val="en-US"/>
            </w:rPr>
            <w:t xml:space="preserve">, D. D. Das, and M. </w:t>
          </w:r>
          <w:proofErr w:type="spellStart"/>
          <w:r w:rsidRPr="00B9554E">
            <w:rPr>
              <w:rFonts w:eastAsia="Times New Roman"/>
              <w:lang w:val="en-US"/>
            </w:rPr>
            <w:t>Ryazanov</w:t>
          </w:r>
          <w:proofErr w:type="spellEnd"/>
          <w:r w:rsidRPr="00B9554E">
            <w:rPr>
              <w:rFonts w:eastAsia="Times New Roman"/>
              <w:lang w:val="en-US"/>
            </w:rPr>
            <w:t xml:space="preserve">, “A direct comparison of high-speed methods for the numerical Abel transform,” </w:t>
          </w:r>
          <w:r w:rsidRPr="00B9554E">
            <w:rPr>
              <w:rFonts w:eastAsia="Times New Roman"/>
              <w:i/>
              <w:iCs/>
              <w:lang w:val="en-US"/>
            </w:rPr>
            <w:t>Review of Scientific Instruments</w:t>
          </w:r>
          <w:r w:rsidRPr="00B9554E">
            <w:rPr>
              <w:rFonts w:eastAsia="Times New Roman"/>
              <w:lang w:val="en-US"/>
            </w:rPr>
            <w:t xml:space="preserve">, vol. 90, no. 6, Jun. 2019, </w:t>
          </w:r>
          <w:proofErr w:type="spellStart"/>
          <w:r w:rsidRPr="00B9554E">
            <w:rPr>
              <w:rFonts w:eastAsia="Times New Roman"/>
              <w:lang w:val="en-US"/>
            </w:rPr>
            <w:t>doi</w:t>
          </w:r>
          <w:proofErr w:type="spellEnd"/>
          <w:r w:rsidRPr="00B9554E">
            <w:rPr>
              <w:rFonts w:eastAsia="Times New Roman"/>
              <w:lang w:val="en-US"/>
            </w:rPr>
            <w:t>: 10.1063/1.5092635.</w:t>
          </w:r>
        </w:p>
        <w:p w14:paraId="5A215CF3" w14:textId="2423A798" w:rsidR="0071654C" w:rsidRPr="000444B4" w:rsidRDefault="0071654C">
          <w:pPr>
            <w:rPr>
              <w:lang w:val="en-US"/>
            </w:rPr>
          </w:pPr>
          <w:r w:rsidRPr="00B9554E">
            <w:rPr>
              <w:rFonts w:eastAsia="Times New Roman"/>
              <w:lang w:val="en-US"/>
            </w:rPr>
            <w:t> </w:t>
          </w:r>
        </w:p>
      </w:sdtContent>
    </w:sdt>
    <w:sectPr w:rsidR="0071654C" w:rsidRPr="000444B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4B4"/>
    <w:rsid w:val="000444B4"/>
    <w:rsid w:val="00102FD4"/>
    <w:rsid w:val="0011523D"/>
    <w:rsid w:val="002101E8"/>
    <w:rsid w:val="002D100F"/>
    <w:rsid w:val="00311D72"/>
    <w:rsid w:val="00321AF9"/>
    <w:rsid w:val="004F5FF7"/>
    <w:rsid w:val="0055713C"/>
    <w:rsid w:val="00574AA8"/>
    <w:rsid w:val="00580D41"/>
    <w:rsid w:val="00626A28"/>
    <w:rsid w:val="0071654C"/>
    <w:rsid w:val="007841A1"/>
    <w:rsid w:val="007F31A1"/>
    <w:rsid w:val="009301F8"/>
    <w:rsid w:val="0097524D"/>
    <w:rsid w:val="00A61968"/>
    <w:rsid w:val="00AC5236"/>
    <w:rsid w:val="00B56AED"/>
    <w:rsid w:val="00B57E8F"/>
    <w:rsid w:val="00B9554E"/>
    <w:rsid w:val="00DA15EA"/>
    <w:rsid w:val="00E05716"/>
    <w:rsid w:val="00F11386"/>
    <w:rsid w:val="00F35788"/>
    <w:rsid w:val="00FD579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BEB20"/>
  <w15:chartTrackingRefBased/>
  <w15:docId w15:val="{399E9C72-4219-C241-A74A-09B0D9479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71654C"/>
  </w:style>
  <w:style w:type="character" w:styleId="PlaceholderText">
    <w:name w:val="Placeholder Text"/>
    <w:basedOn w:val="DefaultParagraphFont"/>
    <w:uiPriority w:val="99"/>
    <w:semiHidden/>
    <w:rsid w:val="0071654C"/>
    <w:rPr>
      <w:color w:val="808080"/>
    </w:rPr>
  </w:style>
  <w:style w:type="character" w:styleId="Hyperlink">
    <w:name w:val="Hyperlink"/>
    <w:basedOn w:val="DefaultParagraphFont"/>
    <w:uiPriority w:val="99"/>
    <w:unhideWhenUsed/>
    <w:rsid w:val="009301F8"/>
    <w:rPr>
      <w:color w:val="0563C1" w:themeColor="hyperlink"/>
      <w:u w:val="single"/>
    </w:rPr>
  </w:style>
  <w:style w:type="character" w:styleId="UnresolvedMention">
    <w:name w:val="Unresolved Mention"/>
    <w:basedOn w:val="DefaultParagraphFont"/>
    <w:uiPriority w:val="99"/>
    <w:semiHidden/>
    <w:unhideWhenUsed/>
    <w:rsid w:val="009301F8"/>
    <w:rPr>
      <w:color w:val="605E5C"/>
      <w:shd w:val="clear" w:color="auto" w:fill="E1DFDD"/>
    </w:rPr>
  </w:style>
  <w:style w:type="character" w:styleId="FollowedHyperlink">
    <w:name w:val="FollowedHyperlink"/>
    <w:basedOn w:val="DefaultParagraphFont"/>
    <w:uiPriority w:val="99"/>
    <w:semiHidden/>
    <w:unhideWhenUsed/>
    <w:rsid w:val="009301F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2579184">
      <w:bodyDiv w:val="1"/>
      <w:marLeft w:val="0"/>
      <w:marRight w:val="0"/>
      <w:marTop w:val="0"/>
      <w:marBottom w:val="0"/>
      <w:divBdr>
        <w:top w:val="none" w:sz="0" w:space="0" w:color="auto"/>
        <w:left w:val="none" w:sz="0" w:space="0" w:color="auto"/>
        <w:bottom w:val="none" w:sz="0" w:space="0" w:color="auto"/>
        <w:right w:val="none" w:sz="0" w:space="0" w:color="auto"/>
      </w:divBdr>
    </w:div>
    <w:div w:id="961881218">
      <w:bodyDiv w:val="1"/>
      <w:marLeft w:val="0"/>
      <w:marRight w:val="0"/>
      <w:marTop w:val="0"/>
      <w:marBottom w:val="0"/>
      <w:divBdr>
        <w:top w:val="none" w:sz="0" w:space="0" w:color="auto"/>
        <w:left w:val="none" w:sz="0" w:space="0" w:color="auto"/>
        <w:bottom w:val="none" w:sz="0" w:space="0" w:color="auto"/>
        <w:right w:val="none" w:sz="0" w:space="0" w:color="auto"/>
      </w:divBdr>
    </w:div>
    <w:div w:id="1747724424">
      <w:bodyDiv w:val="1"/>
      <w:marLeft w:val="0"/>
      <w:marRight w:val="0"/>
      <w:marTop w:val="0"/>
      <w:marBottom w:val="0"/>
      <w:divBdr>
        <w:top w:val="none" w:sz="0" w:space="0" w:color="auto"/>
        <w:left w:val="none" w:sz="0" w:space="0" w:color="auto"/>
        <w:bottom w:val="none" w:sz="0" w:space="0" w:color="auto"/>
        <w:right w:val="none" w:sz="0" w:space="0" w:color="auto"/>
      </w:divBdr>
      <w:divsChild>
        <w:div w:id="1524321992">
          <w:marLeft w:val="640"/>
          <w:marRight w:val="0"/>
          <w:marTop w:val="0"/>
          <w:marBottom w:val="0"/>
          <w:divBdr>
            <w:top w:val="none" w:sz="0" w:space="0" w:color="auto"/>
            <w:left w:val="none" w:sz="0" w:space="0" w:color="auto"/>
            <w:bottom w:val="none" w:sz="0" w:space="0" w:color="auto"/>
            <w:right w:val="none" w:sz="0" w:space="0" w:color="auto"/>
          </w:divBdr>
        </w:div>
        <w:div w:id="1627270673">
          <w:marLeft w:val="640"/>
          <w:marRight w:val="0"/>
          <w:marTop w:val="0"/>
          <w:marBottom w:val="0"/>
          <w:divBdr>
            <w:top w:val="none" w:sz="0" w:space="0" w:color="auto"/>
            <w:left w:val="none" w:sz="0" w:space="0" w:color="auto"/>
            <w:bottom w:val="none" w:sz="0" w:space="0" w:color="auto"/>
            <w:right w:val="none" w:sz="0" w:space="0" w:color="auto"/>
          </w:divBdr>
        </w:div>
        <w:div w:id="1400202355">
          <w:marLeft w:val="640"/>
          <w:marRight w:val="0"/>
          <w:marTop w:val="0"/>
          <w:marBottom w:val="0"/>
          <w:divBdr>
            <w:top w:val="none" w:sz="0" w:space="0" w:color="auto"/>
            <w:left w:val="none" w:sz="0" w:space="0" w:color="auto"/>
            <w:bottom w:val="none" w:sz="0" w:space="0" w:color="auto"/>
            <w:right w:val="none" w:sz="0" w:space="0" w:color="auto"/>
          </w:divBdr>
        </w:div>
        <w:div w:id="662004318">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7B6CA454-3BFF-4A90-AA14-19FFCC8340D9}"/>
      </w:docPartPr>
      <w:docPartBody>
        <w:p w:rsidR="004F3208" w:rsidRDefault="003948CF">
          <w:r w:rsidRPr="00326B4C">
            <w:rPr>
              <w:rStyle w:val="PlaceholderText"/>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8CF"/>
    <w:rsid w:val="00116345"/>
    <w:rsid w:val="00261CFE"/>
    <w:rsid w:val="003948CF"/>
    <w:rsid w:val="004F3208"/>
    <w:rsid w:val="00696277"/>
    <w:rsid w:val="006A1088"/>
    <w:rsid w:val="006D525E"/>
    <w:rsid w:val="006E4F18"/>
    <w:rsid w:val="00AF5F3E"/>
    <w:rsid w:val="00BC6422"/>
    <w:rsid w:val="00CB116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CL" w:eastAsia="es-C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C642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08E689A-5048-4FBE-93CC-2F9CDC55E686}">
  <we:reference id="wa104382081" version="1.46.0.0" store="es-ES" storeType="OMEX"/>
  <we:alternateReferences>
    <we:reference id="wa104382081" version="1.46.0.0" store="es-ES" storeType="OMEX"/>
  </we:alternateReferences>
  <we:properties>
    <we:property name="MENDELEY_CITATIONS" value="[{&quot;citationID&quot;:&quot;MENDELEY_CITATION_96487cf0-fe80-4a99-8595-5a4bf2af5ff7&quot;,&quot;properties&quot;:{&quot;noteIndex&quot;:0},&quot;isEdited&quot;:false,&quot;manualOverride&quot;:{&quot;isManuallyOverridden&quot;:false,&quot;citeprocText&quot;:&quot;[1]&quot;,&quot;manualOverrideText&quot;:&quot;&quot;},&quot;citationTag&quot;:&quot;MENDELEY_CITATION_v3_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&quot;,&quot;citationItems&quot;:[{&quot;id&quot;:&quot;a76427fa-9d01-3efa-9293-5f091592d513&quot;,&quot;itemData&quot;:{&quot;type&quot;:&quot;article-journal&quot;,&quot;id&quot;:&quot;a76427fa-9d01-3efa-9293-5f091592d513&quot;,&quot;title&quot;:&quot;The snowplow in plasmas of nonuniform density&quot;,&quot;author&quot;:[{&quot;family&quot;:&quot;Fruchtman&quot;,&quot;given&quot;:&quot;Amnon&quot;,&quot;parse-names&quot;:false,&quot;dropping-particle&quot;:&quot;&quot;,&quot;non-dropping-particle&quot;:&quot;&quot;}],&quot;container-title&quot;:&quot;Physics of Fluids B&quot;,&quot;DOI&quot;:&quot;10.1063/1.860239&quot;,&quot;ISSN&quot;:&quot;08998221&quot;,&quot;issued&quot;:{&quot;date-parts&quot;:[[1992]]},&quot;page&quot;:&quot;855-858&quot;,&quot;abstract&quot;:&quot;The snowplow motion and the convective skin effect are shown to be the two opposite limits in a unified model of plasma pushing by magnetic pressure. During the snowplow motion the plasma is compressed to a high density in a thin layer and the ion velocity equals the shock velocity. If, on the other hand, the spatial scale of the density gradient is smaller than the ion skin depth, the magnetic field penetrates with a velocity much higher than the ion velocity and the plasma compression is small. © 1992 American Institute of Physics.&quot;,&quot;issue&quot;:&quot;4&quot;,&quot;volume&quot;:&quot;4&quot;,&quot;container-title-short&quot;:&quot;&quot;},&quot;isTemporary&quot;:false}]},{&quot;citationID&quot;:&quot;MENDELEY_CITATION_0a3e992f-a9c5-4275-b183-eb46f5b4f0c0&quot;,&quot;properties&quot;:{&quot;noteIndex&quot;:0},&quot;isEdited&quot;:false,&quot;manualOverride&quot;:{&quot;isManuallyOverridden&quot;:false,&quot;citeprocText&quot;:&quot;[2], [3]&quot;,&quot;manualOverrideText&quot;:&quot;&quot;},&quot;citationTag&quot;:&quot;MENDELEY_CITATION_v3_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&quot;,&quot;citationItems&quot;:[{&quot;id&quot;:&quot;e060f7f6-5d46-32f7-99a4-71d8f0ec6091&quot;,&quot;itemData&quot;:{&quot;type&quot;:&quot;report&quot;,&quot;id&quot;:&quot;e060f7f6-5d46-32f7-99a4-71d8f0ec6091&quot;,&quot;title&quot;:&quot;Application of Interferometric Fringe Evaluation Software at Technical University Graz&quot;,&quot;author&quot;:[{&quot;family&quot;:&quot;Hippa&quot;,&quot;given&quot;:&quot;Martin&quot;,&quot;parse-names&quot;:false,&quot;dropping-particle&quot;:&quot;&quot;,&quot;non-dropping-particle&quot;:&quot;&quot;},{&quot;family&quot;:&quot;Reitererb&quot;,&quot;given&quot;:&quot;Peter&quot;,&quot;parse-names&quot;:false,&quot;dropping-particle&quot;:&quot;&quot;,&quot;non-dropping-particle&quot;:&quot;&quot;},{&quot;family&quot;:&quot;Woisetschlagerc&quot;,&quot;given&quot;:&quot;Jakob&quot;,&quot;parse-names&quot;:false,&quot;dropping-particle&quot;:&quot;&quot;,&quot;non-dropping-particle&quot;:&quot;&quot;},{&quot;family&quot;:&quot;Philippd&quot;,&quot;given&quot;:&quot;Harald&quot;,&quot;parse-names&quot;:false,&quot;dropping-particle&quot;:&quot;&quot;,&quot;non-dropping-particle&quot;:&quot;&quot;},{&quot;family&quot;:&quot;Pretzlere&quot;,&quot;given&quot;:&quot;Georg&quot;,&quot;parse-names&quot;:false,&quot;dropping-particle&quot;:&quot;&quot;,&quot;non-dropping-particle&quot;:&quot;&quot;},{&quot;family&quot;:&quot;Fliessera&quot;,&quot;given&quot;:&quot;Walter&quot;,&quot;parse-names&quot;:false,&quot;dropping-particle&quot;:&quot;&quot;,&quot;non-dropping-particle&quot;:&quot;&quot;},{&quot;family&quot;:&quot;Negera&quot;,&quot;given&quot;:&quot;Theo&quot;,&quot;parse-names&quot;:false,&quot;dropping-particle&quot;:&quot;&quot;,&quot;non-dropping-particle&quot;:&quot;&quot;}],&quot;URL&quot;:&quot;http://web.ukonline.&quot;,&quot;abstract&quot;:&quot;For one and a half decade, software for interferometric fringe evaluation has been developed and used at Technical University Graz. Within the framework of an awarded grant to one of the authors, the Austrian Government funded activities on optical metrology in mechanical engineering. In this grant these software packages on interferometric fringe evaluation had been subsumed under Windows95/98/NT and the Unix/X-Window-System. This software is made accessible via internet to the public domain (http://optics. t'u-graz. ac. at). Its main features are phase-stepping, Fourier domain evaluation and unwrapping techniques as well as algorithms for Abel-inversion and tomographical reconstruction. Additionally, we implemented a bunch of tools for data manipulation, e.g. multiple file handling, filtering, and flexible visualization of data. Some of these features with examples from a multidirectional holographic measurement on a plasma discharge and from speckle interferometry are presented.&quot;,&quot;container-title-short&quot;:&quot;&quot;},&quot;isTemporary&quot;:false},{&quot;id&quot;:&quot;8e66abe6-e6ed-3921-8e71-9dd32ca0f86d&quot;,&quot;itemData&quot;:{&quot;type&quot;:&quot;report&quot;,&quot;id&quot;:&quot;8e66abe6-e6ed-3921-8e71-9dd32ca0f86d&quot;,&quot;title&quot;:&quot;User Manual for IDEA 1.7 Software for Interferometrical Data Evaluation&quot;,&quot;author&quot;:[{&quot;family&quot;:&quot;Hipp&quot;,&quot;given&quot;:&quot;Martin&quot;,&quot;parse-names&quot;:false,&quot;dropping-particle&quot;:&quot;&quot;,&quot;non-dropping-particle&quot;:&quot;&quot;},{&quot;family&quot;:&quot;Reiterer&quot;,&quot;given&quot;:&quot;Peter&quot;,&quot;parse-names&quot;:false,&quot;dropping-particle&quot;:&quot;&quot;,&quot;non-dropping-particle&quot;:&quot;&quot;}],&quot;issued&quot;:{&quot;date-parts&quot;:[[2003]]},&quot;container-title-short&quot;:&quot;&quot;},&quot;isTemporary&quot;:false}]},{&quot;citationID&quot;:&quot;MENDELEY_CITATION_a00d3009-3600-476f-b5d8-0c041080d51d&quot;,&quot;properties&quot;:{&quot;noteIndex&quot;:0},&quot;isEdited&quot;:false,&quot;manualOverride&quot;:{&quot;isManuallyOverridden&quot;:false,&quot;citeprocText&quot;:&quot;[4]&quot;,&quot;manualOverrideText&quot;:&quot;&quot;},&quot;citationTag&quot;:&quot;MENDELEY_CITATION_v3_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&quot;,&quot;citationItems&quot;:[{&quot;id&quot;:&quot;bb0fd9c2-3412-3144-91a5-b03c9f2fc83f&quot;,&quot;itemData&quot;:{&quot;type&quot;:&quot;article-journal&quot;,&quot;id&quot;:&quot;bb0fd9c2-3412-3144-91a5-b03c9f2fc83f&quot;,&quot;title&quot;:&quot;A direct comparison of high-speed methods for the numerical Abel transform&quot;,&quot;author&quot;:[{&quot;family&quot;:&quot;Hickstein&quot;,&quot;given&quot;:&quot;Daniel D.&quot;,&quot;parse-names&quot;:false,&quot;dropping-particle&quot;:&quot;&quot;,&quot;non-dropping-particle&quot;:&quot;&quot;},{&quot;family&quot;:&quot;Gibson&quot;,&quot;given&quot;:&quot;Stephen T.&quot;,&quot;parse-names&quot;:false,&quot;dropping-particle&quot;:&quot;&quot;,&quot;non-dropping-particle&quot;:&quot;&quot;},{&quot;family&quot;:&quot;Yurchak&quot;,&quot;given&quot;:&quot;Roman&quot;,&quot;parse-names&quot;:false,&quot;dropping-particle&quot;:&quot;&quot;,&quot;non-dropping-particle&quot;:&quot;&quot;},{&quot;family&quot;:&quot;Das&quot;,&quot;given&quot;:&quot;Dhrubajyoti D.&quot;,&quot;parse-names&quot;:false,&quot;dropping-particle&quot;:&quot;&quot;,&quot;non-dropping-particle&quot;:&quot;&quot;},{&quot;family&quot;:&quot;Ryazanov&quot;,&quot;given&quot;:&quot;Mikhail&quot;,&quot;parse-names&quot;:false,&quot;dropping-particle&quot;:&quot;&quot;,&quot;non-dropping-particle&quot;:&quot;&quot;}],&quot;container-title&quot;:&quot;Review of Scientific Instruments&quot;,&quot;DOI&quot;:&quot;10.1063/1.5092635&quot;,&quot;ISSN&quot;:&quot;10897623&quot;,&quot;PMID&quot;:&quot;31255037&quot;,&quot;issued&quot;:{&quot;date-parts&quot;:[[2019,6,1]]},&quot;abstract&quot;:&quot;The Abel transform is a mathematical operation that transforms a cylindrically symmetric three-dimensional (3D) object into its two-dimensional (2D) projection. The inverse Abel transform reconstructs the 3D object from the 2D projection. Abel transforms have wide application across numerous fields of science, especially chemical physics, astronomy, and the study of laser-plasma plumes. Consequently, many numerical methods for the Abel transform have been developed, which makes it challenging to select the ideal method for a specific application. In this work, eight published transform methods have been incorporated into a single, open-source Python software package (PyAbel) to provide a direct comparison of the capabilities, advantages, and relative computational efficiency of each transform method. Most of the tested methods provide similar, high-quality results. However, the computational efficiency varies across several orders of magnitude. By optimizing the algorithms, we find that some transform methods are sufficiently fast to transform 1-megapixel images at more than 100 frames per second on a desktop personal computer. In addition, we demonstrate the transform of gigapixel images.&quot;,&quot;publisher&quot;:&quot;American Institute of Physics Inc.&quot;,&quot;issue&quot;:&quot;6&quot;,&quot;volume&quot;:&quot;90&quot;,&quot;container-title-short&quot;:&quot;&quot;},&quot;isTemporary&quot;:false}]}]"/>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0E6AD4-D42D-42F1-A463-9366B938E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723</Words>
  <Characters>3834</Characters>
  <Application>Microsoft Office Word</Application>
  <DocSecurity>0</DocSecurity>
  <Lines>91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Julio Cesar Valenzuela Ahumada</cp:lastModifiedBy>
  <cp:revision>3</cp:revision>
  <dcterms:created xsi:type="dcterms:W3CDTF">2023-06-29T14:49:00Z</dcterms:created>
  <dcterms:modified xsi:type="dcterms:W3CDTF">2023-07-01T17:11:00Z</dcterms:modified>
</cp:coreProperties>
</file>