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BF9" w:rsidRDefault="004B1BF9" w:rsidP="004B1BF9">
      <w:pPr>
        <w:spacing w:line="276" w:lineRule="auto"/>
        <w:jc w:val="center"/>
        <w:rPr>
          <w:rFonts w:cs="Times New Roman"/>
          <w:b/>
        </w:rPr>
      </w:pPr>
      <w:r w:rsidRPr="003220FB">
        <w:rPr>
          <w:rFonts w:cs="Times New Roman"/>
          <w:b/>
        </w:rPr>
        <w:t>Genome-wide Study of Globally Distributed Respiratory Syncytial Virus (RSV) Strains Implicates Diversification Utilizing Phylodynamics and Mutational Analysis</w:t>
      </w:r>
    </w:p>
    <w:p w:rsidR="004B1BF9" w:rsidRDefault="004B1BF9" w:rsidP="004B1BF9">
      <w:pPr>
        <w:spacing w:line="276" w:lineRule="auto"/>
        <w:jc w:val="center"/>
        <w:rPr>
          <w:rFonts w:cs="Times New Roman"/>
          <w:b/>
        </w:rPr>
      </w:pPr>
      <w:r w:rsidRPr="003220FB" w:rsidDel="003220FB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 </w:t>
      </w:r>
    </w:p>
    <w:p w:rsidR="004B1BF9" w:rsidRDefault="004B1BF9" w:rsidP="004B1BF9">
      <w:pPr>
        <w:spacing w:line="276" w:lineRule="auto"/>
        <w:jc w:val="center"/>
        <w:rPr>
          <w:rFonts w:cs="Times New Roman"/>
          <w:b/>
          <w:vertAlign w:val="superscript"/>
        </w:rPr>
      </w:pPr>
      <w:r w:rsidRPr="009B7A35">
        <w:rPr>
          <w:rFonts w:cs="Times New Roman"/>
          <w:b/>
        </w:rPr>
        <w:t>Tushar Ahmed Shishir</w:t>
      </w:r>
      <w:r>
        <w:rPr>
          <w:rFonts w:cs="Times New Roman"/>
          <w:b/>
          <w:vertAlign w:val="superscript"/>
        </w:rPr>
        <w:t>1*</w:t>
      </w:r>
      <w:r w:rsidRPr="009B7A35">
        <w:rPr>
          <w:rFonts w:cs="Times New Roman"/>
          <w:b/>
        </w:rPr>
        <w:t>, Otun Saha</w:t>
      </w:r>
      <w:r w:rsidRPr="009B7A35">
        <w:rPr>
          <w:rFonts w:cs="Times New Roman"/>
          <w:b/>
          <w:vertAlign w:val="superscript"/>
        </w:rPr>
        <w:t>2*#</w:t>
      </w:r>
      <w:r w:rsidRPr="009B7A35">
        <w:rPr>
          <w:rFonts w:cs="Times New Roman"/>
          <w:b/>
        </w:rPr>
        <w:t>, Sultana Rajia</w:t>
      </w:r>
      <w:r w:rsidRPr="009B7A35">
        <w:rPr>
          <w:rFonts w:cs="Times New Roman"/>
          <w:b/>
          <w:vertAlign w:val="superscript"/>
        </w:rPr>
        <w:t>2</w:t>
      </w:r>
      <w:r w:rsidRPr="00085A5A">
        <w:rPr>
          <w:rFonts w:cs="Times New Roman"/>
          <w:b/>
        </w:rPr>
        <w:t>,</w:t>
      </w:r>
      <w:r w:rsidRPr="003220FB">
        <w:rPr>
          <w:rFonts w:cs="Times New Roman"/>
          <w:b/>
        </w:rPr>
        <w:t xml:space="preserve"> </w:t>
      </w:r>
      <w:r w:rsidRPr="009B7A35">
        <w:rPr>
          <w:rFonts w:cs="Times New Roman"/>
          <w:b/>
        </w:rPr>
        <w:t>Spencer Mark Mondo</w:t>
      </w:r>
      <w:r>
        <w:rPr>
          <w:rFonts w:cs="Times New Roman"/>
          <w:b/>
        </w:rPr>
        <w:t>l</w:t>
      </w:r>
      <w:r w:rsidRPr="009B7A35">
        <w:rPr>
          <w:rFonts w:cs="Times New Roman"/>
          <w:b/>
          <w:vertAlign w:val="superscript"/>
        </w:rPr>
        <w:t>3</w:t>
      </w:r>
      <w:r w:rsidRPr="009B7A35">
        <w:rPr>
          <w:rFonts w:cs="Times New Roman"/>
          <w:b/>
        </w:rPr>
        <w:t>, Md. Habib Ullah Masum</w:t>
      </w:r>
      <w:r w:rsidRPr="009B7A35">
        <w:rPr>
          <w:rFonts w:cs="Times New Roman"/>
          <w:b/>
          <w:vertAlign w:val="superscript"/>
        </w:rPr>
        <w:t>2</w:t>
      </w:r>
      <w:r w:rsidRPr="009B7A35">
        <w:rPr>
          <w:rFonts w:cs="Times New Roman"/>
          <w:b/>
        </w:rPr>
        <w:t>,</w:t>
      </w:r>
      <w:r w:rsidRPr="003220FB">
        <w:rPr>
          <w:rFonts w:cs="Times New Roman"/>
          <w:b/>
        </w:rPr>
        <w:t xml:space="preserve"> </w:t>
      </w:r>
      <w:r w:rsidRPr="009B7A35">
        <w:rPr>
          <w:rFonts w:cs="Times New Roman"/>
          <w:b/>
        </w:rPr>
        <w:t>Md Mizanur Rahaman</w:t>
      </w:r>
      <w:r w:rsidRPr="009B7A35">
        <w:rPr>
          <w:rFonts w:cs="Times New Roman"/>
          <w:b/>
          <w:vertAlign w:val="superscript"/>
        </w:rPr>
        <w:t>3</w:t>
      </w:r>
      <w:r w:rsidRPr="009B7A35">
        <w:rPr>
          <w:rFonts w:cs="Times New Roman"/>
          <w:b/>
        </w:rPr>
        <w:t>,</w:t>
      </w:r>
      <w:r w:rsidRPr="009B7A35">
        <w:rPr>
          <w:rFonts w:cs="Times New Roman"/>
          <w:b/>
          <w:vertAlign w:val="superscript"/>
        </w:rPr>
        <w:t xml:space="preserve"> </w:t>
      </w:r>
      <w:r>
        <w:rPr>
          <w:rFonts w:cs="Times New Roman"/>
          <w:b/>
        </w:rPr>
        <w:t>Foysal Hossen</w:t>
      </w:r>
      <w:r w:rsidRPr="00130026">
        <w:rPr>
          <w:rFonts w:cs="Times New Roman"/>
          <w:b/>
          <w:vertAlign w:val="superscript"/>
        </w:rPr>
        <w:t>2</w:t>
      </w:r>
      <w:r w:rsidRPr="00130026">
        <w:rPr>
          <w:rFonts w:cs="Times New Roman"/>
          <w:b/>
        </w:rPr>
        <w:t>,</w:t>
      </w:r>
      <w:r>
        <w:rPr>
          <w:rFonts w:cs="Times New Roman"/>
          <w:b/>
          <w:vertAlign w:val="superscript"/>
        </w:rPr>
        <w:t xml:space="preserve"> </w:t>
      </w:r>
      <w:r w:rsidRPr="00014383">
        <w:rPr>
          <w:rFonts w:cs="Times New Roman"/>
          <w:b/>
        </w:rPr>
        <w:t>Newaz Mohammed Bahadur</w:t>
      </w:r>
      <w:r w:rsidRPr="00014383">
        <w:rPr>
          <w:rFonts w:cs="Times New Roman"/>
          <w:b/>
          <w:vertAlign w:val="superscript"/>
        </w:rPr>
        <w:t>4</w:t>
      </w:r>
      <w:r>
        <w:rPr>
          <w:rFonts w:cs="Times New Roman"/>
          <w:b/>
        </w:rPr>
        <w:t xml:space="preserve">, </w:t>
      </w:r>
      <w:r w:rsidRPr="009B7A35">
        <w:rPr>
          <w:rFonts w:cs="Times New Roman"/>
          <w:b/>
        </w:rPr>
        <w:t>Firoz Ahmed</w:t>
      </w:r>
      <w:r w:rsidRPr="009B7A35">
        <w:rPr>
          <w:rFonts w:cs="Times New Roman"/>
          <w:b/>
          <w:vertAlign w:val="superscript"/>
        </w:rPr>
        <w:t>2</w:t>
      </w:r>
      <w:r w:rsidRPr="00BF2470">
        <w:rPr>
          <w:rFonts w:cs="Times New Roman"/>
          <w:b/>
        </w:rPr>
        <w:t xml:space="preserve">, </w:t>
      </w:r>
      <w:r w:rsidRPr="009B7A35">
        <w:rPr>
          <w:rFonts w:cs="Times New Roman"/>
          <w:b/>
        </w:rPr>
        <w:t>Iftekhar Bin Naser</w:t>
      </w:r>
      <w:r w:rsidRPr="009B7A35">
        <w:rPr>
          <w:rFonts w:cs="Times New Roman"/>
          <w:b/>
          <w:vertAlign w:val="superscript"/>
        </w:rPr>
        <w:t>1</w:t>
      </w:r>
      <w:r w:rsidRPr="009B7A35">
        <w:rPr>
          <w:rFonts w:cs="Times New Roman"/>
          <w:b/>
        </w:rPr>
        <w:t>, Mohammad Ruhul Amin</w:t>
      </w:r>
      <w:r w:rsidRPr="009B7A35">
        <w:rPr>
          <w:rFonts w:cs="Times New Roman"/>
          <w:b/>
          <w:vertAlign w:val="superscript"/>
        </w:rPr>
        <w:t>2</w:t>
      </w:r>
      <w:r>
        <w:rPr>
          <w:rFonts w:cs="Times New Roman"/>
          <w:b/>
          <w:vertAlign w:val="superscript"/>
        </w:rPr>
        <w:t>#</w:t>
      </w:r>
    </w:p>
    <w:p w:rsidR="004B1BF9" w:rsidRPr="009B7A35" w:rsidRDefault="004B1BF9" w:rsidP="004B1BF9">
      <w:pPr>
        <w:spacing w:line="276" w:lineRule="auto"/>
        <w:rPr>
          <w:rFonts w:cs="Times New Roman"/>
        </w:rPr>
      </w:pPr>
      <w:r w:rsidRPr="009B7A35">
        <w:rPr>
          <w:rFonts w:cs="Times New Roman"/>
          <w:vertAlign w:val="superscript"/>
        </w:rPr>
        <w:t>1</w:t>
      </w:r>
      <w:r w:rsidRPr="009B7A35">
        <w:rPr>
          <w:rFonts w:cs="Times New Roman"/>
        </w:rPr>
        <w:t>Department of Mathematics and Natural Sciences, BRAC University, Bangladesh.</w:t>
      </w:r>
    </w:p>
    <w:p w:rsidR="004B1BF9" w:rsidRPr="009B7A35" w:rsidRDefault="004B1BF9" w:rsidP="004B1BF9">
      <w:pPr>
        <w:spacing w:line="276" w:lineRule="auto"/>
        <w:jc w:val="both"/>
        <w:rPr>
          <w:rFonts w:cs="Times New Roman"/>
        </w:rPr>
      </w:pPr>
      <w:r w:rsidRPr="009B7A35">
        <w:rPr>
          <w:rFonts w:cs="Times New Roman"/>
          <w:color w:val="000000" w:themeColor="text1"/>
          <w:vertAlign w:val="superscript"/>
        </w:rPr>
        <w:t>2</w:t>
      </w:r>
      <w:r w:rsidRPr="009B7A35">
        <w:rPr>
          <w:rFonts w:cs="Times New Roman"/>
          <w:color w:val="000000" w:themeColor="text1"/>
        </w:rPr>
        <w:t>Department of Microbiology, Noakhali Science and Technology University, Noakhali, Bangladesh.</w:t>
      </w:r>
    </w:p>
    <w:p w:rsidR="004B1BF9" w:rsidRDefault="004B1BF9" w:rsidP="004B1BF9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  <w:vertAlign w:val="superscript"/>
        </w:rPr>
        <w:t>3</w:t>
      </w:r>
      <w:r w:rsidRPr="009B7A35">
        <w:rPr>
          <w:rFonts w:cs="Times New Roman"/>
          <w:color w:val="000000" w:themeColor="text1"/>
        </w:rPr>
        <w:t>Department of Microbiology, University of Dhaka, Dhaka, Bangladesh.</w:t>
      </w:r>
    </w:p>
    <w:p w:rsidR="004B1BF9" w:rsidRPr="009B7A35" w:rsidRDefault="004B1BF9" w:rsidP="004B1BF9">
      <w:pPr>
        <w:jc w:val="both"/>
        <w:rPr>
          <w:rFonts w:cs="Times New Roman"/>
          <w:color w:val="000000" w:themeColor="text1"/>
        </w:rPr>
      </w:pPr>
      <w:r w:rsidRPr="00014383">
        <w:rPr>
          <w:rFonts w:cs="Times New Roman"/>
          <w:color w:val="000000" w:themeColor="text1"/>
          <w:vertAlign w:val="superscript"/>
        </w:rPr>
        <w:t>4</w:t>
      </w:r>
      <w:r w:rsidRPr="00014383">
        <w:rPr>
          <w:rFonts w:cs="Times New Roman"/>
          <w:color w:val="000000" w:themeColor="text1"/>
        </w:rPr>
        <w:t>Department of Chemistry, Noakhali Science and</w:t>
      </w:r>
      <w:r>
        <w:rPr>
          <w:rFonts w:cs="Times New Roman"/>
          <w:color w:val="000000" w:themeColor="text1"/>
        </w:rPr>
        <w:t xml:space="preserve"> </w:t>
      </w:r>
      <w:r w:rsidRPr="00014383">
        <w:rPr>
          <w:rFonts w:cs="Times New Roman"/>
          <w:color w:val="000000" w:themeColor="text1"/>
        </w:rPr>
        <w:t>Technology University, Bangladesh</w:t>
      </w:r>
    </w:p>
    <w:p w:rsidR="004B1BF9" w:rsidRPr="009B7A35" w:rsidRDefault="004B1BF9" w:rsidP="004B1BF9">
      <w:pPr>
        <w:rPr>
          <w:rFonts w:eastAsia="Calibri" w:cs="Times New Roman"/>
          <w:color w:val="0D0D0D" w:themeColor="text1" w:themeTint="F2"/>
        </w:rPr>
      </w:pPr>
    </w:p>
    <w:p w:rsidR="004B1BF9" w:rsidRPr="009B7A35" w:rsidRDefault="004B1BF9" w:rsidP="004B1BF9">
      <w:pPr>
        <w:rPr>
          <w:rFonts w:eastAsia="Calibri" w:cs="Times New Roman"/>
          <w:b/>
          <w:bCs/>
          <w:color w:val="0D0D0D" w:themeColor="text1" w:themeTint="F2"/>
        </w:rPr>
      </w:pPr>
      <w:r>
        <w:rPr>
          <w:rFonts w:eastAsia="Calibri" w:cs="Times New Roman"/>
          <w:b/>
          <w:bCs/>
          <w:color w:val="0D0D0D" w:themeColor="text1" w:themeTint="F2"/>
        </w:rPr>
        <w:t>#</w:t>
      </w:r>
      <w:r w:rsidRPr="009B7A35">
        <w:rPr>
          <w:rFonts w:eastAsia="Calibri" w:cs="Times New Roman"/>
          <w:b/>
          <w:bCs/>
          <w:color w:val="0D0D0D" w:themeColor="text1" w:themeTint="F2"/>
        </w:rPr>
        <w:t>C</w:t>
      </w:r>
      <w:r w:rsidRPr="009B7A35">
        <w:rPr>
          <w:rFonts w:eastAsia="Calibri" w:cs="Times New Roman"/>
          <w:b/>
          <w:bCs/>
          <w:color w:val="000000" w:themeColor="text1"/>
        </w:rPr>
        <w:t>orresponding</w:t>
      </w:r>
      <w:r w:rsidRPr="009B7A35">
        <w:rPr>
          <w:rFonts w:eastAsia="Calibri" w:cs="Times New Roman"/>
          <w:b/>
          <w:bCs/>
          <w:color w:val="0D0D0D" w:themeColor="text1" w:themeTint="F2"/>
        </w:rPr>
        <w:t xml:space="preserve"> Author</w:t>
      </w:r>
    </w:p>
    <w:p w:rsidR="004B1BF9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>Mohammad Ruhul Amin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>Associate Professor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>Department of Microbiology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>Noakhali Science and Technology University, Noakhali, Bangladesh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 xml:space="preserve">E-mail: </w:t>
      </w:r>
      <w:r w:rsidRPr="009F226E">
        <w:rPr>
          <w:rStyle w:val="Hyperlink"/>
          <w:rFonts w:ascii="Times New Roman" w:hAnsi="Times New Roman" w:cs="Times New Roman"/>
          <w:sz w:val="24"/>
          <w:szCs w:val="24"/>
        </w:rPr>
        <w:t>ruhulmicro4355@gmail.com</w:t>
      </w:r>
    </w:p>
    <w:p w:rsidR="004B1BF9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>and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>Dr. Otun Saha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 xml:space="preserve">Assistant Professor 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>Department of Microbiology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>Noakhali Science and Technology University, Noakhali, Bangladesh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>Mobile: +8801725830666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9B7A35">
        <w:rPr>
          <w:rStyle w:val="Hyperlink"/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9B7A35">
          <w:rPr>
            <w:rStyle w:val="Hyperlink"/>
            <w:rFonts w:ascii="Times New Roman" w:hAnsi="Times New Roman" w:cs="Times New Roman"/>
            <w:sz w:val="24"/>
            <w:szCs w:val="24"/>
          </w:rPr>
          <w:t>otun.saha@nstu.edu.bd</w:t>
        </w:r>
      </w:hyperlink>
    </w:p>
    <w:p w:rsidR="004B1BF9" w:rsidRPr="009B7A35" w:rsidRDefault="004B1BF9" w:rsidP="004B1BF9">
      <w:pPr>
        <w:rPr>
          <w:rFonts w:cs="Times New Roman"/>
          <w:b/>
          <w:color w:val="000000" w:themeColor="text1"/>
        </w:rPr>
      </w:pPr>
      <w:r>
        <w:rPr>
          <w:rFonts w:cs="Times New Roman"/>
          <w:color w:val="000000" w:themeColor="text1"/>
        </w:rPr>
        <w:t>*</w:t>
      </w:r>
      <w:r w:rsidRPr="009B7A35">
        <w:rPr>
          <w:rFonts w:cs="Times New Roman"/>
          <w:color w:val="000000" w:themeColor="text1"/>
        </w:rPr>
        <w:t>Equal Contribution</w:t>
      </w:r>
    </w:p>
    <w:p w:rsidR="004B1BF9" w:rsidRPr="009B7A35" w:rsidRDefault="004B1BF9" w:rsidP="004B1BF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</w:t>
      </w:r>
      <w:r w:rsidRPr="009B7A35">
        <w:rPr>
          <w:rFonts w:ascii="Times New Roman" w:hAnsi="Times New Roman" w:cs="Times New Roman"/>
          <w:sz w:val="24"/>
          <w:szCs w:val="24"/>
        </w:rPr>
        <w:t>Correspondence</w:t>
      </w:r>
    </w:p>
    <w:p w:rsidR="00F04185" w:rsidRDefault="00F04185" w:rsidP="00F04185">
      <w:pPr>
        <w:rPr>
          <w:rFonts w:cs="Times New Roman"/>
          <w:color w:val="0E101A"/>
        </w:rPr>
      </w:pPr>
      <w:bookmarkStart w:id="0" w:name="_GoBack"/>
      <w:bookmarkEnd w:id="0"/>
    </w:p>
    <w:p w:rsidR="00F04185" w:rsidRPr="009B7A35" w:rsidRDefault="00F04185" w:rsidP="00F04185">
      <w:pPr>
        <w:rPr>
          <w:b/>
          <w:bCs/>
          <w:color w:val="0E101A"/>
        </w:rPr>
      </w:pPr>
      <w:r w:rsidRPr="009B7A35">
        <w:rPr>
          <w:noProof/>
          <w:color w:val="0E101A"/>
          <w:lang w:eastAsia="en-US" w:bidi="ar-SA"/>
        </w:rPr>
        <w:lastRenderedPageBreak/>
        <w:drawing>
          <wp:inline distT="0" distB="0" distL="0" distR="0" wp14:anchorId="4450CEF2" wp14:editId="6B1FE344">
            <wp:extent cx="6096000" cy="542992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3677" cy="543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185" w:rsidRPr="009B7A35" w:rsidRDefault="00F04185" w:rsidP="00F04185">
      <w:pPr>
        <w:rPr>
          <w:rFonts w:cs="Times New Roman"/>
          <w:color w:val="0E101A"/>
        </w:rPr>
      </w:pPr>
      <w:r>
        <w:rPr>
          <w:rFonts w:cs="Times New Roman"/>
          <w:b/>
          <w:bCs/>
          <w:color w:val="0E101A"/>
        </w:rPr>
        <w:t xml:space="preserve">Supplementary </w:t>
      </w:r>
      <w:r w:rsidRPr="009B7A35">
        <w:rPr>
          <w:rFonts w:cs="Times New Roman"/>
          <w:b/>
          <w:bCs/>
          <w:color w:val="0E101A"/>
        </w:rPr>
        <w:t xml:space="preserve">Figure </w:t>
      </w:r>
      <w:r>
        <w:rPr>
          <w:rFonts w:cs="Times New Roman"/>
          <w:b/>
          <w:bCs/>
          <w:color w:val="0E101A"/>
        </w:rPr>
        <w:t>1</w:t>
      </w:r>
      <w:r w:rsidRPr="009B7A35">
        <w:rPr>
          <w:rFonts w:cs="Times New Roman"/>
          <w:b/>
          <w:bCs/>
          <w:color w:val="0E101A"/>
        </w:rPr>
        <w:t xml:space="preserve">. </w:t>
      </w:r>
      <w:r w:rsidRPr="009B7A35">
        <w:rPr>
          <w:rFonts w:cs="Times New Roman"/>
          <w:color w:val="0E101A"/>
        </w:rPr>
        <w:t xml:space="preserve">The mutation per base including missense and synonymous mutation of the proteins from RSV A </w:t>
      </w:r>
      <w:r w:rsidRPr="009B7A35">
        <w:rPr>
          <w:rFonts w:cs="Times New Roman"/>
          <w:b/>
          <w:bCs/>
          <w:color w:val="0E101A"/>
        </w:rPr>
        <w:t>(A)</w:t>
      </w:r>
      <w:r w:rsidRPr="009B7A35">
        <w:rPr>
          <w:rFonts w:cs="Times New Roman"/>
          <w:color w:val="0E101A"/>
        </w:rPr>
        <w:t xml:space="preserve"> and RSV B </w:t>
      </w:r>
      <w:r w:rsidRPr="009B7A35">
        <w:rPr>
          <w:rFonts w:cs="Times New Roman"/>
          <w:b/>
          <w:bCs/>
          <w:color w:val="0E101A"/>
        </w:rPr>
        <w:t>(B)</w:t>
      </w:r>
      <w:r w:rsidRPr="009B7A35">
        <w:rPr>
          <w:rFonts w:cs="Times New Roman"/>
          <w:color w:val="0E101A"/>
        </w:rPr>
        <w:t xml:space="preserve">. </w:t>
      </w:r>
      <w:r w:rsidRPr="009B7A35">
        <w:rPr>
          <w:rFonts w:cs="Times New Roman"/>
          <w:b/>
          <w:bCs/>
          <w:color w:val="0E101A"/>
        </w:rPr>
        <w:t xml:space="preserve">  </w:t>
      </w:r>
      <w:r w:rsidRPr="009B7A35">
        <w:rPr>
          <w:rFonts w:cs="Times New Roman"/>
          <w:color w:val="0E101A"/>
        </w:rPr>
        <w:t xml:space="preserve"> </w:t>
      </w:r>
    </w:p>
    <w:p w:rsidR="00F04185" w:rsidRPr="009B7A35" w:rsidRDefault="00F04185" w:rsidP="00F04185">
      <w:pPr>
        <w:pStyle w:val="NormalWeb"/>
        <w:tabs>
          <w:tab w:val="left" w:pos="1800"/>
        </w:tabs>
        <w:spacing w:beforeAutospacing="0" w:afterAutospacing="0" w:line="360" w:lineRule="auto"/>
        <w:jc w:val="both"/>
        <w:rPr>
          <w:b/>
          <w:bCs/>
          <w:color w:val="0E101A"/>
        </w:rPr>
      </w:pPr>
    </w:p>
    <w:p w:rsidR="00F04185" w:rsidRPr="009B7A35" w:rsidRDefault="00F04185" w:rsidP="00F04185">
      <w:pPr>
        <w:pStyle w:val="NormalWeb"/>
        <w:tabs>
          <w:tab w:val="left" w:pos="1800"/>
        </w:tabs>
        <w:spacing w:beforeAutospacing="0" w:afterAutospacing="0" w:line="360" w:lineRule="auto"/>
        <w:jc w:val="both"/>
        <w:rPr>
          <w:b/>
          <w:bCs/>
          <w:color w:val="0E101A"/>
        </w:rPr>
      </w:pPr>
      <w:r w:rsidRPr="009B7A35">
        <w:rPr>
          <w:noProof/>
          <w:color w:val="0E101A"/>
          <w:lang w:eastAsia="en-US" w:bidi="ar-SA"/>
        </w:rPr>
        <w:lastRenderedPageBreak/>
        <w:drawing>
          <wp:inline distT="0" distB="0" distL="0" distR="0" wp14:anchorId="415EA13D" wp14:editId="665C6C9C">
            <wp:extent cx="6309360" cy="51092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10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185" w:rsidRPr="009B7A35" w:rsidRDefault="00F04185" w:rsidP="00F04185">
      <w:pPr>
        <w:jc w:val="both"/>
        <w:rPr>
          <w:rFonts w:cs="Times New Roman"/>
          <w:color w:val="0E101A"/>
        </w:rPr>
      </w:pPr>
      <w:r>
        <w:rPr>
          <w:rFonts w:cs="Times New Roman"/>
          <w:b/>
          <w:bCs/>
          <w:color w:val="0E101A"/>
        </w:rPr>
        <w:t>Supplementary figure 2</w:t>
      </w:r>
      <w:r w:rsidRPr="009B7A35">
        <w:rPr>
          <w:rFonts w:cs="Times New Roman"/>
          <w:b/>
          <w:bCs/>
          <w:color w:val="0E101A"/>
        </w:rPr>
        <w:t xml:space="preserve">. </w:t>
      </w:r>
      <w:r w:rsidRPr="009B7A35">
        <w:rPr>
          <w:rFonts w:cs="Times New Roman"/>
          <w:color w:val="0E101A"/>
        </w:rPr>
        <w:t xml:space="preserve">The number of SNPs calculated in RSV A </w:t>
      </w:r>
      <w:r w:rsidRPr="009B7A35">
        <w:rPr>
          <w:rFonts w:cs="Times New Roman"/>
          <w:b/>
          <w:bCs/>
          <w:color w:val="0E101A"/>
        </w:rPr>
        <w:t>(A)</w:t>
      </w:r>
      <w:r w:rsidRPr="009B7A35">
        <w:rPr>
          <w:rFonts w:cs="Times New Roman"/>
          <w:color w:val="0E101A"/>
        </w:rPr>
        <w:t xml:space="preserve"> and RSV B </w:t>
      </w:r>
      <w:r w:rsidRPr="009B7A35">
        <w:rPr>
          <w:rFonts w:cs="Times New Roman"/>
          <w:b/>
          <w:bCs/>
          <w:color w:val="0E101A"/>
        </w:rPr>
        <w:t>(B)</w:t>
      </w:r>
      <w:r w:rsidRPr="009B7A35">
        <w:rPr>
          <w:rFonts w:cs="Times New Roman"/>
          <w:color w:val="0E101A"/>
        </w:rPr>
        <w:t xml:space="preserve"> genome. The vertical plot represents the genome size and the color gradient represents the intensity of the SNPs, where red (&gt;10) and white color (0) signifies highest and lowest intensity of SNPs, respectively.  </w:t>
      </w:r>
      <w:r w:rsidRPr="009B7A35">
        <w:rPr>
          <w:rFonts w:cs="Times New Roman"/>
          <w:b/>
          <w:bCs/>
          <w:color w:val="0E101A"/>
        </w:rPr>
        <w:t xml:space="preserve"> </w:t>
      </w:r>
    </w:p>
    <w:p w:rsidR="00F04185" w:rsidRPr="009B7A35" w:rsidRDefault="00F04185" w:rsidP="00F04185">
      <w:pPr>
        <w:pStyle w:val="NormalWeb"/>
        <w:tabs>
          <w:tab w:val="left" w:pos="1800"/>
        </w:tabs>
        <w:spacing w:beforeAutospacing="0" w:afterAutospacing="0" w:line="360" w:lineRule="auto"/>
        <w:jc w:val="both"/>
        <w:rPr>
          <w:b/>
          <w:bCs/>
          <w:color w:val="0E101A"/>
        </w:rPr>
      </w:pPr>
    </w:p>
    <w:p w:rsidR="00F04185" w:rsidRPr="009B7A35" w:rsidRDefault="00F04185" w:rsidP="00F04185">
      <w:pPr>
        <w:pStyle w:val="NormalWeb"/>
        <w:tabs>
          <w:tab w:val="left" w:pos="1800"/>
        </w:tabs>
        <w:spacing w:beforeAutospacing="0" w:afterAutospacing="0" w:line="360" w:lineRule="auto"/>
        <w:jc w:val="both"/>
        <w:rPr>
          <w:b/>
          <w:bCs/>
          <w:color w:val="0E101A"/>
        </w:rPr>
      </w:pPr>
    </w:p>
    <w:p w:rsidR="00F04185" w:rsidRPr="007F79C8" w:rsidRDefault="00F04185" w:rsidP="00F04185">
      <w:pPr>
        <w:pStyle w:val="NormalWeb"/>
        <w:tabs>
          <w:tab w:val="left" w:pos="1800"/>
        </w:tabs>
        <w:spacing w:beforeAutospacing="0" w:afterAutospacing="0" w:line="360" w:lineRule="auto"/>
        <w:jc w:val="both"/>
        <w:rPr>
          <w:b/>
          <w:bCs/>
          <w:color w:val="0E101A"/>
        </w:rPr>
      </w:pPr>
      <w:r w:rsidRPr="009B7A35">
        <w:rPr>
          <w:noProof/>
          <w:lang w:eastAsia="en-US" w:bidi="ar-SA"/>
        </w:rPr>
        <w:lastRenderedPageBreak/>
        <w:drawing>
          <wp:inline distT="0" distB="0" distL="0" distR="0" wp14:anchorId="02BF9982" wp14:editId="0B70B4DF">
            <wp:extent cx="6309360" cy="450677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50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185" w:rsidRPr="009B7A35" w:rsidRDefault="00F04185" w:rsidP="00F04185">
      <w:pPr>
        <w:pStyle w:val="NormalWeb"/>
        <w:spacing w:beforeAutospacing="0" w:afterAutospacing="0" w:line="276" w:lineRule="auto"/>
        <w:jc w:val="both"/>
        <w:rPr>
          <w:b/>
          <w:bCs/>
        </w:rPr>
      </w:pPr>
      <w:r>
        <w:rPr>
          <w:b/>
          <w:bCs/>
        </w:rPr>
        <w:t>Supplementary figure 3</w:t>
      </w:r>
      <w:r w:rsidRPr="009B7A35">
        <w:rPr>
          <w:b/>
          <w:bCs/>
        </w:rPr>
        <w:t xml:space="preserve">.  </w:t>
      </w:r>
      <w:r w:rsidRPr="009B7A35">
        <w:t xml:space="preserve">Graphical depiction of Shanon’s Entropy of each protein from RSV A </w:t>
      </w:r>
      <w:r w:rsidRPr="009B7A35">
        <w:rPr>
          <w:b/>
          <w:bCs/>
        </w:rPr>
        <w:t>(A)</w:t>
      </w:r>
      <w:r w:rsidRPr="009B7A35">
        <w:t xml:space="preserve"> and RSV B </w:t>
      </w:r>
      <w:r w:rsidRPr="009B7A35">
        <w:rPr>
          <w:b/>
          <w:bCs/>
        </w:rPr>
        <w:t>(B)</w:t>
      </w:r>
      <w:r w:rsidRPr="009B7A35">
        <w:t xml:space="preserve"> strain.</w:t>
      </w:r>
      <w:r w:rsidRPr="009B7A35">
        <w:rPr>
          <w:b/>
          <w:bCs/>
        </w:rPr>
        <w:t xml:space="preserve">  </w:t>
      </w:r>
    </w:p>
    <w:p w:rsidR="00B87FEE" w:rsidRDefault="00B87FEE"/>
    <w:p w:rsidR="000D16E7" w:rsidRPr="009B7A35" w:rsidRDefault="000D16E7" w:rsidP="000D16E7">
      <w:pPr>
        <w:pStyle w:val="NormalWeb"/>
        <w:spacing w:beforeAutospacing="0" w:afterAutospacing="0" w:line="360" w:lineRule="auto"/>
        <w:jc w:val="both"/>
      </w:pPr>
      <w:r>
        <w:rPr>
          <w:b/>
          <w:bCs/>
        </w:rPr>
        <w:t>Supplementary t</w:t>
      </w:r>
      <w:r w:rsidRPr="009B7A35">
        <w:rPr>
          <w:b/>
          <w:bCs/>
        </w:rPr>
        <w:t xml:space="preserve">able </w:t>
      </w:r>
      <w:r>
        <w:rPr>
          <w:b/>
          <w:bCs/>
        </w:rPr>
        <w:t>1</w:t>
      </w:r>
      <w:r w:rsidRPr="009B7A35">
        <w:rPr>
          <w:b/>
          <w:bCs/>
        </w:rPr>
        <w:t xml:space="preserve">. </w:t>
      </w:r>
      <w:r w:rsidRPr="009B7A35">
        <w:t xml:space="preserve">The mutational </w:t>
      </w:r>
      <w:r>
        <w:t xml:space="preserve">effects of RSV </w:t>
      </w:r>
      <w:r w:rsidRPr="009B7A35">
        <w:t xml:space="preserve">A including </w:t>
      </w:r>
      <w:r w:rsidRPr="009B7A35">
        <w:rPr>
          <w:color w:val="000000"/>
        </w:rPr>
        <w:t xml:space="preserve">nucleotide diversity, </w:t>
      </w:r>
      <w:r w:rsidRPr="009B7A35">
        <w:t>shanon’s entropy, tajima’s D, dN/dS, and the no. of sites towards positive and negative selection.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282"/>
        <w:gridCol w:w="1283"/>
        <w:gridCol w:w="1283"/>
        <w:gridCol w:w="1283"/>
        <w:gridCol w:w="1283"/>
        <w:gridCol w:w="1283"/>
      </w:tblGrid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Gene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Nucleotide diversity (π)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Shanon’s Entropy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Tajima’s D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dN/dS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No. of sites towards positive selection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No. of sites towards negative selection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Attachment glycoprotein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0.0682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0.673744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-1.20544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0.555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30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88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Fusion glycoprotein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0.05493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0.597168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-1.58848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0.126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287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M2-1 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0.00571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0.607837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-2.74577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0.146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81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M2-2 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0.04326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0.393619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-1.87467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20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Matrix 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0.05086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0.402197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-0.158127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0.054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136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Nonstructural protein 1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0.01642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0.348631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-2.1172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0.112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46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lastRenderedPageBreak/>
              <w:t>Nonstructural protein 2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0.03293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0.466468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-2.07846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0.147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55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Nucleoprotein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0.04528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0.407658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-1.7071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0.0492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211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Phosphoprotein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0.03824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0.307252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-1.83539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0.106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124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Polymerase Protein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0.02071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0.391668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-2.39656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0.116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1028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Small Hydrophobic Protein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0.0411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0.595248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-1.86818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0.23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17</w:t>
            </w:r>
          </w:p>
        </w:tc>
      </w:tr>
    </w:tbl>
    <w:p w:rsidR="000D16E7" w:rsidRPr="009B7A35" w:rsidRDefault="000D16E7" w:rsidP="000D16E7">
      <w:pPr>
        <w:rPr>
          <w:rFonts w:cs="Times New Roman"/>
        </w:rPr>
      </w:pPr>
    </w:p>
    <w:p w:rsidR="000D16E7" w:rsidRPr="009B7A35" w:rsidRDefault="000D16E7" w:rsidP="000D16E7">
      <w:pPr>
        <w:pStyle w:val="NormalWeb"/>
        <w:spacing w:beforeAutospacing="0" w:afterAutospacing="0" w:line="360" w:lineRule="auto"/>
        <w:jc w:val="center"/>
      </w:pPr>
      <w:r>
        <w:rPr>
          <w:b/>
          <w:bCs/>
        </w:rPr>
        <w:t>Supplementary t</w:t>
      </w:r>
      <w:r w:rsidRPr="009B7A35">
        <w:rPr>
          <w:b/>
          <w:bCs/>
        </w:rPr>
        <w:t xml:space="preserve">able </w:t>
      </w:r>
      <w:r>
        <w:rPr>
          <w:b/>
          <w:bCs/>
        </w:rPr>
        <w:t>2</w:t>
      </w:r>
      <w:r w:rsidRPr="009B7A35">
        <w:rPr>
          <w:b/>
          <w:bCs/>
        </w:rPr>
        <w:t xml:space="preserve">. </w:t>
      </w:r>
      <w:r w:rsidRPr="009B7A35">
        <w:t xml:space="preserve">The mutational effects of RSV B including </w:t>
      </w:r>
      <w:r w:rsidRPr="009B7A35">
        <w:rPr>
          <w:color w:val="000000"/>
        </w:rPr>
        <w:t xml:space="preserve">nucleotide diversity, </w:t>
      </w:r>
      <w:r w:rsidRPr="009B7A35">
        <w:t>shanon’s entropy, tajima’s D, dN/dS, and the no. of sites towards positive and negative selection.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282"/>
        <w:gridCol w:w="1283"/>
        <w:gridCol w:w="1283"/>
        <w:gridCol w:w="1283"/>
        <w:gridCol w:w="1283"/>
        <w:gridCol w:w="1283"/>
      </w:tblGrid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Gene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Nucleotide diversity (π)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Shanon’s Entropy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Tajima’s D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dN/dS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No. of sites towards positive selection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No. of sites towards negative selection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Attachment glycoprotein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0.02861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0.585509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-2.20653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0.506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42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Fusion glycoprotein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0.02307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0.475052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-2.35027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0.133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4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261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M2-1 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0.01681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0.479818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-2.42557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0.167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87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M2-2 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0.00533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0.294856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-2.76488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0.412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20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Matrix 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0.0211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0.334778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-2.3569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0.0528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135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Nonstructural protein 1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0.01302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0.272656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-2.41123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0.15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47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Nonstructural protein 2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0.01155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0.374362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-2.61719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0.248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55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  <w:r w:rsidRPr="009B7A35">
              <w:rPr>
                <w:rFonts w:cs="Times New Roman"/>
              </w:rPr>
              <w:t>Nucleoprotein</w:t>
            </w: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0.0147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0.294509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-2.53579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0.049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225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Phosphoprotein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0.01688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0.317647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-2.44577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0.129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126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Polymerase Protein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0.02597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0.308025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-2.30037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0.113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5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928</w:t>
            </w:r>
          </w:p>
        </w:tc>
      </w:tr>
      <w:tr w:rsidR="000D16E7" w:rsidRPr="009B7A35" w:rsidTr="0003156E">
        <w:trPr>
          <w:jc w:val="center"/>
        </w:trPr>
        <w:tc>
          <w:tcPr>
            <w:tcW w:w="165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9B7A35">
              <w:rPr>
                <w:rFonts w:cs="Times New Roman"/>
                <w:color w:val="000000"/>
              </w:rPr>
              <w:t>Small Hydrophobic Protein</w:t>
            </w:r>
          </w:p>
          <w:p w:rsidR="000D16E7" w:rsidRPr="009B7A35" w:rsidRDefault="000D16E7" w:rsidP="0003156E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82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0.01147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0.953729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-2.62595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0.351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</w:t>
            </w:r>
          </w:p>
        </w:tc>
        <w:tc>
          <w:tcPr>
            <w:tcW w:w="1283" w:type="dxa"/>
          </w:tcPr>
          <w:p w:rsidR="000D16E7" w:rsidRPr="009B7A35" w:rsidRDefault="000D16E7" w:rsidP="0003156E">
            <w:pPr>
              <w:jc w:val="center"/>
              <w:rPr>
                <w:rFonts w:cs="Times New Roman"/>
              </w:rPr>
            </w:pPr>
            <w:r w:rsidRPr="009B7A35">
              <w:rPr>
                <w:rFonts w:cs="Times New Roman"/>
              </w:rPr>
              <w:t>16</w:t>
            </w:r>
          </w:p>
        </w:tc>
      </w:tr>
    </w:tbl>
    <w:p w:rsidR="000D16E7" w:rsidRDefault="000D16E7" w:rsidP="000D16E7"/>
    <w:p w:rsidR="000D16E7" w:rsidRDefault="000D16E7" w:rsidP="000D16E7">
      <w:pPr>
        <w:spacing w:line="360" w:lineRule="auto"/>
        <w:jc w:val="both"/>
      </w:pPr>
    </w:p>
    <w:p w:rsidR="000D16E7" w:rsidRDefault="000D16E7"/>
    <w:sectPr w:rsidR="000D1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5A"/>
    <w:rsid w:val="000D16E7"/>
    <w:rsid w:val="004B1BF9"/>
    <w:rsid w:val="00B87FEE"/>
    <w:rsid w:val="00BC14C2"/>
    <w:rsid w:val="00F04185"/>
    <w:rsid w:val="00F7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185"/>
    <w:pPr>
      <w:spacing w:after="0" w:line="240" w:lineRule="auto"/>
    </w:pPr>
    <w:rPr>
      <w:rFonts w:ascii="Times New Roman" w:eastAsia="Noto Sans CJK SC" w:hAnsi="Times New Roman" w:cs="Lohit Devanagari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qFormat/>
    <w:rsid w:val="00F04185"/>
    <w:pPr>
      <w:spacing w:beforeAutospacing="1" w:afterAutospacing="1"/>
    </w:pPr>
    <w:rPr>
      <w:rFonts w:eastAsia="Times New Roman" w:cs="Times New Roman"/>
    </w:rPr>
  </w:style>
  <w:style w:type="character" w:customStyle="1" w:styleId="NormalWebChar">
    <w:name w:val="Normal (Web) Char"/>
    <w:basedOn w:val="DefaultParagraphFont"/>
    <w:link w:val="NormalWeb"/>
    <w:qFormat/>
    <w:rsid w:val="00F04185"/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185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185"/>
    <w:rPr>
      <w:rFonts w:ascii="Tahoma" w:eastAsia="Noto Sans CJK SC" w:hAnsi="Tahoma" w:cs="Mangal"/>
      <w:kern w:val="2"/>
      <w:sz w:val="16"/>
      <w:szCs w:val="14"/>
      <w:lang w:eastAsia="zh-CN" w:bidi="hi-IN"/>
    </w:rPr>
  </w:style>
  <w:style w:type="table" w:styleId="TableGrid">
    <w:name w:val="Table Grid"/>
    <w:basedOn w:val="TableNormal"/>
    <w:uiPriority w:val="39"/>
    <w:rsid w:val="000D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14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C14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185"/>
    <w:pPr>
      <w:spacing w:after="0" w:line="240" w:lineRule="auto"/>
    </w:pPr>
    <w:rPr>
      <w:rFonts w:ascii="Times New Roman" w:eastAsia="Noto Sans CJK SC" w:hAnsi="Times New Roman" w:cs="Lohit Devanagari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qFormat/>
    <w:rsid w:val="00F04185"/>
    <w:pPr>
      <w:spacing w:beforeAutospacing="1" w:afterAutospacing="1"/>
    </w:pPr>
    <w:rPr>
      <w:rFonts w:eastAsia="Times New Roman" w:cs="Times New Roman"/>
    </w:rPr>
  </w:style>
  <w:style w:type="character" w:customStyle="1" w:styleId="NormalWebChar">
    <w:name w:val="Normal (Web) Char"/>
    <w:basedOn w:val="DefaultParagraphFont"/>
    <w:link w:val="NormalWeb"/>
    <w:qFormat/>
    <w:rsid w:val="00F04185"/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185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185"/>
    <w:rPr>
      <w:rFonts w:ascii="Tahoma" w:eastAsia="Noto Sans CJK SC" w:hAnsi="Tahoma" w:cs="Mangal"/>
      <w:kern w:val="2"/>
      <w:sz w:val="16"/>
      <w:szCs w:val="14"/>
      <w:lang w:eastAsia="zh-CN" w:bidi="hi-IN"/>
    </w:rPr>
  </w:style>
  <w:style w:type="table" w:styleId="TableGrid">
    <w:name w:val="Table Grid"/>
    <w:basedOn w:val="TableNormal"/>
    <w:uiPriority w:val="39"/>
    <w:rsid w:val="000D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14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C14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otun.saha@nstu.edu.b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OTUN</dc:creator>
  <cp:keywords/>
  <dc:description/>
  <cp:lastModifiedBy>OTUN</cp:lastModifiedBy>
  <cp:revision>5</cp:revision>
  <dcterms:created xsi:type="dcterms:W3CDTF">2023-05-11T09:31:00Z</dcterms:created>
  <dcterms:modified xsi:type="dcterms:W3CDTF">2023-05-15T16:35:00Z</dcterms:modified>
</cp:coreProperties>
</file>