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0" w:type="dxa"/>
        <w:tblLook w:val="04A0" w:firstRow="1" w:lastRow="0" w:firstColumn="1" w:lastColumn="0" w:noHBand="0" w:noVBand="1"/>
      </w:tblPr>
      <w:tblGrid>
        <w:gridCol w:w="3700"/>
        <w:gridCol w:w="222"/>
        <w:gridCol w:w="2360"/>
        <w:gridCol w:w="222"/>
        <w:gridCol w:w="2276"/>
        <w:gridCol w:w="266"/>
        <w:gridCol w:w="820"/>
      </w:tblGrid>
      <w:tr w:rsidR="00A12D29" w:rsidRPr="00A12D29" w:rsidTr="00A12D29">
        <w:trPr>
          <w:trHeight w:val="330"/>
        </w:trPr>
        <w:tc>
          <w:tcPr>
            <w:tcW w:w="8780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Supplementary Table 1: Infants characteristics during COVID-19 pandemic according to center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12D29" w:rsidRPr="00A12D29" w:rsidTr="00A12D29">
        <w:trPr>
          <w:trHeight w:val="315"/>
        </w:trPr>
        <w:tc>
          <w:tcPr>
            <w:tcW w:w="37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12D29" w:rsidRPr="00A12D29" w:rsidRDefault="00A12D29" w:rsidP="00A12D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2D29" w:rsidRPr="00A12D29" w:rsidRDefault="00A12D29" w:rsidP="00A12D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Vienna (Austria)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Hamburg (Germany)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</w:tr>
      <w:tr w:rsidR="00A12D29" w:rsidRPr="00A12D29" w:rsidTr="00A12D29">
        <w:trPr>
          <w:trHeight w:val="315"/>
        </w:trPr>
        <w:tc>
          <w:tcPr>
            <w:tcW w:w="3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12D29" w:rsidRPr="00A12D29" w:rsidRDefault="00A12D29" w:rsidP="00A12D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 = 35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 = 11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A12D29" w:rsidRPr="00A12D29" w:rsidTr="00A12D29">
        <w:trPr>
          <w:trHeight w:val="31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Gestational age (weeks)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26.7 ± 2.4 ( 22.9–31.7 )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27.2 ± 2.9 ( 23.9–31.4 )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0.601</w:t>
            </w:r>
          </w:p>
        </w:tc>
      </w:tr>
      <w:tr w:rsidR="00A12D29" w:rsidRPr="00A12D29" w:rsidTr="00A12D29">
        <w:trPr>
          <w:trHeight w:val="31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Birth weight (g)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868.4 ± 298.5 ( 480–1500 )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969.1 ± 341.6 ( 390–1400 )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0.394</w:t>
            </w:r>
          </w:p>
        </w:tc>
      </w:tr>
      <w:tr w:rsidR="00A12D29" w:rsidRPr="00A12D29" w:rsidTr="00A12D29">
        <w:trPr>
          <w:trHeight w:val="31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 gender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(36.7)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 (30.4)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0.713</w:t>
            </w:r>
          </w:p>
        </w:tc>
      </w:tr>
      <w:tr w:rsidR="00A12D29" w:rsidRPr="00A12D29" w:rsidTr="00A12D29">
        <w:trPr>
          <w:trHeight w:val="31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5' APGAR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8.2 ± 1.7 ( 0–9 )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7.9 ± 1 ( 6–9 )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0.542</w:t>
            </w:r>
          </w:p>
        </w:tc>
      </w:tr>
      <w:tr w:rsidR="00A12D29" w:rsidRPr="00A12D29" w:rsidTr="00A12D29">
        <w:trPr>
          <w:trHeight w:val="31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CRIB II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10.8 ± 4.2 ( 2–19 )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9.9 ± 4.3 ( 4–16 )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0.567</w:t>
            </w:r>
          </w:p>
        </w:tc>
      </w:tr>
      <w:tr w:rsidR="00A12D29" w:rsidRPr="00A12D29" w:rsidTr="00A12D29">
        <w:trPr>
          <w:trHeight w:val="31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Intraventric</w:t>
            </w:r>
            <w:r w:rsidR="008772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ular hemorrhage Grade III or IV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(17)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0.311</w:t>
            </w:r>
          </w:p>
        </w:tc>
      </w:tr>
      <w:tr w:rsidR="00A12D29" w:rsidRPr="00A12D29" w:rsidTr="00A12D29">
        <w:trPr>
          <w:trHeight w:val="31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Periventricular </w:t>
            </w:r>
            <w:r w:rsidR="0045211D" w:rsidRPr="00A12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leukomalacia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(9)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0.239</w:t>
            </w:r>
          </w:p>
        </w:tc>
      </w:tr>
      <w:tr w:rsidR="00A12D29" w:rsidRPr="00A12D29" w:rsidTr="00A12D29">
        <w:trPr>
          <w:trHeight w:val="31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Chronic lung disease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(20)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(27.3)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0.682</w:t>
            </w:r>
          </w:p>
        </w:tc>
      </w:tr>
      <w:tr w:rsidR="00A12D29" w:rsidRPr="00A12D29" w:rsidTr="00A12D29">
        <w:trPr>
          <w:trHeight w:val="31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Retinopathy of prematurity Grade III or IV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 (2.9)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</w:t>
            </w:r>
          </w:p>
        </w:tc>
      </w:tr>
      <w:tr w:rsidR="00A12D29" w:rsidRPr="00A12D29" w:rsidTr="00A12D29">
        <w:trPr>
          <w:trHeight w:val="31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Necrotizing enterocolitis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(8.6)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(9.1)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</w:t>
            </w:r>
          </w:p>
        </w:tc>
      </w:tr>
      <w:tr w:rsidR="00A12D29" w:rsidRPr="00A12D29" w:rsidTr="00A12D29">
        <w:trPr>
          <w:trHeight w:val="33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45211D" w:rsidP="00A12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Length</w:t>
            </w:r>
            <w:r w:rsidR="00A12D29" w:rsidRPr="00A12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of hospital stay (days)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97.7 ± 44.8 ( 41–250 )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86.5 ± 39 ( 43–155 )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D29" w:rsidRPr="00A12D29" w:rsidRDefault="00A12D29" w:rsidP="00A12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0.430</w:t>
            </w:r>
          </w:p>
        </w:tc>
      </w:tr>
      <w:tr w:rsidR="00A12D29" w:rsidRPr="00A12D29" w:rsidTr="00A12D29">
        <w:trPr>
          <w:trHeight w:val="582"/>
        </w:trPr>
        <w:tc>
          <w:tcPr>
            <w:tcW w:w="9780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12D29" w:rsidRPr="00A12D29" w:rsidRDefault="0045211D" w:rsidP="00A12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2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Continuous</w:t>
            </w:r>
            <w:r w:rsidR="00A12D29" w:rsidRPr="00A12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variables are shown as mean ± standard deviation and (range) and compared using a two-sided Welch Two Sample t-test. </w:t>
            </w:r>
            <w:r w:rsidRPr="00A12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Categorical</w:t>
            </w:r>
            <w:bookmarkStart w:id="0" w:name="_GoBack"/>
            <w:bookmarkEnd w:id="0"/>
            <w:r w:rsidR="00A12D29" w:rsidRPr="00A12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variables are shown as n (%) and compared using the Fisher's exact test.</w:t>
            </w:r>
          </w:p>
        </w:tc>
      </w:tr>
    </w:tbl>
    <w:p w:rsidR="00C04798" w:rsidRDefault="0045211D"/>
    <w:sectPr w:rsidR="00C04798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D29"/>
    <w:rsid w:val="00356855"/>
    <w:rsid w:val="0045211D"/>
    <w:rsid w:val="008772C1"/>
    <w:rsid w:val="00A12D29"/>
    <w:rsid w:val="00B83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8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doctor Giordano</dc:creator>
  <cp:lastModifiedBy>Fuiko</cp:lastModifiedBy>
  <cp:revision>3</cp:revision>
  <dcterms:created xsi:type="dcterms:W3CDTF">2022-08-29T06:52:00Z</dcterms:created>
  <dcterms:modified xsi:type="dcterms:W3CDTF">2022-08-29T07:15:00Z</dcterms:modified>
</cp:coreProperties>
</file>