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90450" w14:textId="33AFAF3D" w:rsidR="00614CDB" w:rsidRPr="002D0566" w:rsidRDefault="00614CDB" w:rsidP="00614CDB">
      <w:pPr>
        <w:pStyle w:val="Heading1"/>
        <w:rPr>
          <w:rFonts w:ascii="Times New Roman" w:hAnsi="Times New Roman"/>
          <w:color w:val="auto"/>
          <w:sz w:val="24"/>
          <w:szCs w:val="24"/>
          <w:lang w:val="en-US"/>
        </w:rPr>
      </w:pPr>
      <w:r w:rsidRPr="002D0566">
        <w:rPr>
          <w:rFonts w:ascii="Times New Roman" w:hAnsi="Times New Roman"/>
          <w:color w:val="auto"/>
          <w:sz w:val="28"/>
          <w:szCs w:val="24"/>
          <w:lang w:val="en-US"/>
        </w:rPr>
        <w:t xml:space="preserve">Hit vs. CR </w:t>
      </w:r>
    </w:p>
    <w:p w14:paraId="0F0072E3" w14:textId="32A1698B" w:rsidR="00867EEE" w:rsidRPr="002D0566" w:rsidRDefault="00F35F07" w:rsidP="0046695A">
      <w:pPr>
        <w:widowControl w:val="0"/>
        <w:spacing w:line="480" w:lineRule="auto"/>
        <w:ind w:firstLine="720"/>
        <w:rPr>
          <w:rFonts w:ascii="Times New Roman" w:eastAsia="SimSun" w:hAnsi="Times New Roman" w:cs="Times New Roman"/>
        </w:rPr>
      </w:pPr>
      <w:r w:rsidRPr="002D0566">
        <w:rPr>
          <w:rFonts w:ascii="Times New Roman" w:eastAsia="SimSun" w:hAnsi="Times New Roman" w:cs="Times New Roman"/>
        </w:rPr>
        <w:t>To explore</w:t>
      </w:r>
      <w:r w:rsidR="00B83E60" w:rsidRPr="002D0566">
        <w:rPr>
          <w:rFonts w:ascii="Times New Roman" w:eastAsia="SimSun" w:hAnsi="Times New Roman" w:cs="Times New Roman"/>
        </w:rPr>
        <w:t xml:space="preserve"> </w:t>
      </w:r>
      <w:r w:rsidR="006A5504" w:rsidRPr="002D0566">
        <w:rPr>
          <w:rFonts w:ascii="Times New Roman" w:eastAsia="SimSun" w:hAnsi="Times New Roman" w:cs="Times New Roman"/>
        </w:rPr>
        <w:t>the</w:t>
      </w:r>
      <w:r w:rsidR="00B83E60" w:rsidRPr="002D0566">
        <w:rPr>
          <w:rFonts w:ascii="Times New Roman" w:eastAsia="SimSun" w:hAnsi="Times New Roman" w:cs="Times New Roman"/>
        </w:rPr>
        <w:t xml:space="preserve"> effect</w:t>
      </w:r>
      <w:r w:rsidR="006A5504" w:rsidRPr="002D0566">
        <w:rPr>
          <w:rFonts w:ascii="Times New Roman" w:eastAsia="SimSun" w:hAnsi="Times New Roman" w:cs="Times New Roman"/>
        </w:rPr>
        <w:t xml:space="preserve"> of retrieval success (Hit vs, CR)</w:t>
      </w:r>
      <w:r w:rsidR="00B83E60" w:rsidRPr="002D0566">
        <w:rPr>
          <w:rFonts w:ascii="Times New Roman" w:eastAsia="SimSun" w:hAnsi="Times New Roman" w:cs="Times New Roman"/>
        </w:rPr>
        <w:t xml:space="preserve">, </w:t>
      </w:r>
      <w:r w:rsidR="004B18A7" w:rsidRPr="002D0566">
        <w:rPr>
          <w:rFonts w:ascii="Times New Roman" w:hAnsi="Times New Roman"/>
          <w:szCs w:val="28"/>
        </w:rPr>
        <w:t xml:space="preserve">a voxel-wise mixed-effects ANOVA was performed with trial type (Hit, CR), PK and retention interval as fixed-effects factors and subject as a random-effects factor </w:t>
      </w:r>
      <w:r w:rsidR="004B18A7" w:rsidRPr="002D0566">
        <w:rPr>
          <w:rFonts w:ascii="Times New Roman" w:eastAsia="SimSun" w:hAnsi="Times New Roman" w:cs="Times New Roman"/>
        </w:rPr>
        <w:t>(</w:t>
      </w:r>
      <w:r w:rsidR="004B18A7" w:rsidRPr="002D0566">
        <w:rPr>
          <w:rFonts w:ascii="Times New Roman" w:eastAsia="SimSun" w:hAnsi="Times New Roman" w:cs="Times New Roman"/>
          <w:i/>
        </w:rPr>
        <w:t>p</w:t>
      </w:r>
      <w:r w:rsidR="004B18A7" w:rsidRPr="002D0566">
        <w:rPr>
          <w:rFonts w:ascii="Times New Roman" w:eastAsia="SimSun" w:hAnsi="Times New Roman" w:cs="Times New Roman"/>
        </w:rPr>
        <w:t xml:space="preserve"> &lt; 0.001)</w:t>
      </w:r>
      <w:r w:rsidR="004B18A7" w:rsidRPr="002D0566">
        <w:rPr>
          <w:rFonts w:ascii="Times New Roman" w:hAnsi="Times New Roman"/>
          <w:szCs w:val="28"/>
        </w:rPr>
        <w:t xml:space="preserve">. </w:t>
      </w:r>
      <w:r w:rsidR="00B83E60" w:rsidRPr="002D0566">
        <w:rPr>
          <w:rFonts w:ascii="Times New Roman" w:eastAsia="SimSun" w:hAnsi="Times New Roman" w:cs="Times New Roman"/>
        </w:rPr>
        <w:t>The results showed a typical old</w:t>
      </w:r>
      <w:r w:rsidR="00273A32" w:rsidRPr="002D0566">
        <w:rPr>
          <w:rFonts w:ascii="Times New Roman" w:eastAsia="SimSun" w:hAnsi="Times New Roman" w:cs="Times New Roman"/>
        </w:rPr>
        <w:t>/</w:t>
      </w:r>
      <w:r w:rsidR="00B83E60" w:rsidRPr="002D0566">
        <w:rPr>
          <w:rFonts w:ascii="Times New Roman" w:eastAsia="SimSun" w:hAnsi="Times New Roman" w:cs="Times New Roman"/>
        </w:rPr>
        <w:t>new effect (i.e., Hit &gt; CR) in the posterior medial regions (including PCC, precuneus, retrosplenial cortex), which was consistent with the conclusion by Wagner et al. (2005)</w:t>
      </w:r>
      <w:r w:rsidR="004F4A66" w:rsidRPr="002D0566">
        <w:rPr>
          <w:rFonts w:ascii="Times New Roman" w:eastAsia="SimSun" w:hAnsi="Times New Roman" w:cs="Times New Roman"/>
        </w:rPr>
        <w:t xml:space="preserve"> </w:t>
      </w:r>
      <w:r w:rsidR="00D74515" w:rsidRPr="002D0566">
        <w:rPr>
          <w:rFonts w:ascii="Times New Roman" w:eastAsia="SimSun" w:hAnsi="Times New Roman" w:cs="Times New Roman"/>
          <w:vertAlign w:val="superscript"/>
        </w:rPr>
        <w:t>[5</w:t>
      </w:r>
      <w:r w:rsidR="004F4A66" w:rsidRPr="002D0566">
        <w:rPr>
          <w:rFonts w:ascii="Times New Roman" w:eastAsia="SimSun" w:hAnsi="Times New Roman" w:cs="Times New Roman"/>
          <w:vertAlign w:val="superscript"/>
        </w:rPr>
        <w:t>4</w:t>
      </w:r>
      <w:r w:rsidR="00D74515" w:rsidRPr="002D0566">
        <w:rPr>
          <w:rFonts w:ascii="Times New Roman" w:eastAsia="SimSun" w:hAnsi="Times New Roman" w:cs="Times New Roman"/>
          <w:vertAlign w:val="superscript"/>
        </w:rPr>
        <w:t>]</w:t>
      </w:r>
      <w:r w:rsidR="00B83E60" w:rsidRPr="002D0566">
        <w:rPr>
          <w:rFonts w:ascii="Times New Roman" w:eastAsia="SimSun" w:hAnsi="Times New Roman" w:cs="Times New Roman"/>
        </w:rPr>
        <w:t xml:space="preserve">. </w:t>
      </w:r>
      <w:r w:rsidR="00EF785D" w:rsidRPr="002D0566">
        <w:rPr>
          <w:rFonts w:ascii="Times New Roman" w:eastAsia="SimSun" w:hAnsi="Times New Roman" w:cs="Times New Roman"/>
        </w:rPr>
        <w:t>T</w:t>
      </w:r>
      <w:r w:rsidR="00B83E60" w:rsidRPr="002D0566">
        <w:rPr>
          <w:rFonts w:ascii="Times New Roman" w:eastAsia="SimSun" w:hAnsi="Times New Roman" w:cs="Times New Roman"/>
        </w:rPr>
        <w:t>he anterior/middle cingulate cortex</w:t>
      </w:r>
      <w:r w:rsidR="00EF785D" w:rsidRPr="002D0566">
        <w:rPr>
          <w:rFonts w:ascii="Times New Roman" w:eastAsia="SimSun" w:hAnsi="Times New Roman" w:cs="Times New Roman"/>
        </w:rPr>
        <w:t>,</w:t>
      </w:r>
      <w:r w:rsidR="00B83E60" w:rsidRPr="002D0566">
        <w:rPr>
          <w:rFonts w:ascii="Times New Roman" w:eastAsia="SimSun" w:hAnsi="Times New Roman" w:cs="Times New Roman"/>
        </w:rPr>
        <w:t xml:space="preserve"> </w:t>
      </w:r>
      <w:proofErr w:type="spellStart"/>
      <w:r w:rsidR="00B83E60" w:rsidRPr="002D0566">
        <w:rPr>
          <w:rFonts w:ascii="Times New Roman" w:eastAsia="SimSun" w:hAnsi="Times New Roman" w:cs="Times New Roman"/>
        </w:rPr>
        <w:t>mPFC</w:t>
      </w:r>
      <w:proofErr w:type="spellEnd"/>
      <w:r w:rsidR="00EF785D" w:rsidRPr="002D0566">
        <w:rPr>
          <w:rFonts w:ascii="Times New Roman" w:eastAsia="SimSun" w:hAnsi="Times New Roman" w:cs="Times New Roman"/>
        </w:rPr>
        <w:t xml:space="preserve"> and the cerebellum</w:t>
      </w:r>
      <w:r w:rsidR="00B83E60" w:rsidRPr="002D0566">
        <w:rPr>
          <w:rFonts w:ascii="Times New Roman" w:eastAsia="SimSun" w:hAnsi="Times New Roman" w:cs="Times New Roman"/>
        </w:rPr>
        <w:t xml:space="preserve"> had the same pattern</w:t>
      </w:r>
      <w:r w:rsidR="00EF785D" w:rsidRPr="002D0566">
        <w:rPr>
          <w:rFonts w:ascii="Times New Roman" w:eastAsia="SimSun" w:hAnsi="Times New Roman" w:cs="Times New Roman"/>
        </w:rPr>
        <w:t xml:space="preserve">. </w:t>
      </w:r>
      <w:r w:rsidR="00784EBB" w:rsidRPr="002D0566">
        <w:rPr>
          <w:rFonts w:ascii="Times New Roman" w:eastAsia="SimSun" w:hAnsi="Times New Roman" w:cs="Times New Roman"/>
        </w:rPr>
        <w:t>T</w:t>
      </w:r>
      <w:r w:rsidR="00B83E60" w:rsidRPr="002D0566">
        <w:rPr>
          <w:rFonts w:ascii="Times New Roman" w:eastAsia="SimSun" w:hAnsi="Times New Roman" w:cs="Times New Roman"/>
        </w:rPr>
        <w:t>he bilateral prefrontal cortex</w:t>
      </w:r>
      <w:r w:rsidR="00C93C41" w:rsidRPr="002D0566">
        <w:rPr>
          <w:rFonts w:ascii="Times New Roman" w:eastAsia="SimSun" w:hAnsi="Times New Roman" w:cs="Times New Roman"/>
        </w:rPr>
        <w:t xml:space="preserve"> (PFC)</w:t>
      </w:r>
      <w:r w:rsidR="00B83E60" w:rsidRPr="002D0566">
        <w:rPr>
          <w:rFonts w:ascii="Times New Roman" w:eastAsia="SimSun" w:hAnsi="Times New Roman" w:cs="Times New Roman"/>
        </w:rPr>
        <w:t xml:space="preserve"> and </w:t>
      </w:r>
      <w:r w:rsidR="00BE2665" w:rsidRPr="002D0566">
        <w:rPr>
          <w:rFonts w:ascii="Times New Roman" w:eastAsia="SimSun" w:hAnsi="Times New Roman" w:cs="Times New Roman"/>
        </w:rPr>
        <w:t>the supramarginal gyrus (SMG</w:t>
      </w:r>
      <w:r w:rsidR="00C93C41" w:rsidRPr="002D0566">
        <w:rPr>
          <w:rFonts w:ascii="Times New Roman" w:eastAsia="SimSun" w:hAnsi="Times New Roman" w:cs="Times New Roman"/>
        </w:rPr>
        <w:t xml:space="preserve">, </w:t>
      </w:r>
      <w:r w:rsidR="00B83E60" w:rsidRPr="002D0566">
        <w:rPr>
          <w:rFonts w:ascii="Times New Roman" w:eastAsia="SimSun" w:hAnsi="Times New Roman" w:cs="Times New Roman"/>
        </w:rPr>
        <w:t xml:space="preserve">left: -53, -59, 24; right: 47, -49, 24) </w:t>
      </w:r>
      <w:r w:rsidR="00EF785D" w:rsidRPr="002D0566">
        <w:rPr>
          <w:rFonts w:ascii="Times New Roman" w:eastAsia="SimSun" w:hAnsi="Times New Roman" w:cs="Times New Roman"/>
        </w:rPr>
        <w:t xml:space="preserve">showed </w:t>
      </w:r>
      <w:r w:rsidR="00B83E60" w:rsidRPr="002D0566">
        <w:rPr>
          <w:rFonts w:ascii="Times New Roman" w:eastAsia="SimSun" w:hAnsi="Times New Roman" w:cs="Times New Roman"/>
        </w:rPr>
        <w:t xml:space="preserve">the opposite pattern </w:t>
      </w:r>
      <w:r w:rsidR="004B18A7" w:rsidRPr="002D0566">
        <w:rPr>
          <w:rFonts w:ascii="Times New Roman" w:eastAsia="SimSun" w:hAnsi="Times New Roman" w:cs="Times New Roman"/>
        </w:rPr>
        <w:t>(i.e., Hit &gt; CR)</w:t>
      </w:r>
      <w:r w:rsidR="00EF785D" w:rsidRPr="002D0566">
        <w:rPr>
          <w:rFonts w:ascii="Times New Roman" w:eastAsia="SimSun" w:hAnsi="Times New Roman" w:cs="Times New Roman"/>
        </w:rPr>
        <w:t xml:space="preserve"> (Figure S1</w:t>
      </w:r>
      <w:r w:rsidR="00383EB8" w:rsidRPr="002D0566">
        <w:rPr>
          <w:rFonts w:ascii="Times New Roman" w:eastAsia="SimSun" w:hAnsi="Times New Roman" w:cs="Times New Roman"/>
        </w:rPr>
        <w:t>-a</w:t>
      </w:r>
      <w:r w:rsidR="00EF785D" w:rsidRPr="002D0566">
        <w:rPr>
          <w:rFonts w:ascii="Times New Roman" w:eastAsia="SimSun" w:hAnsi="Times New Roman" w:cs="Times New Roman"/>
        </w:rPr>
        <w:t>)</w:t>
      </w:r>
      <w:r w:rsidR="00B83E60" w:rsidRPr="002D0566">
        <w:rPr>
          <w:rFonts w:ascii="Times New Roman" w:eastAsia="SimSun" w:hAnsi="Times New Roman" w:cs="Times New Roman"/>
        </w:rPr>
        <w:t xml:space="preserve">. </w:t>
      </w:r>
      <w:r w:rsidR="00784EBB" w:rsidRPr="002D0566">
        <w:rPr>
          <w:rFonts w:ascii="Times New Roman" w:eastAsia="SimSun" w:hAnsi="Times New Roman" w:cs="Times New Roman"/>
        </w:rPr>
        <w:t>In addition, there was a significant interaction between trial type and PK in the left PRC, left insula, left precentral gyrus and left MFG (Figure S1</w:t>
      </w:r>
      <w:r w:rsidR="00383EB8" w:rsidRPr="002D0566">
        <w:rPr>
          <w:rFonts w:ascii="Times New Roman" w:eastAsia="SimSun" w:hAnsi="Times New Roman" w:cs="Times New Roman"/>
        </w:rPr>
        <w:t>-b</w:t>
      </w:r>
      <w:r w:rsidR="00784EBB" w:rsidRPr="002D0566">
        <w:rPr>
          <w:rFonts w:ascii="Times New Roman" w:eastAsia="SimSun" w:hAnsi="Times New Roman" w:cs="Times New Roman"/>
        </w:rPr>
        <w:t>). These regions showed significant</w:t>
      </w:r>
      <w:r w:rsidR="00EC2DCD" w:rsidRPr="002D0566">
        <w:rPr>
          <w:rFonts w:ascii="Times New Roman" w:eastAsia="SimSun" w:hAnsi="Times New Roman" w:cs="Times New Roman"/>
        </w:rPr>
        <w:t>ly</w:t>
      </w:r>
      <w:r w:rsidR="00784EBB" w:rsidRPr="002D0566">
        <w:rPr>
          <w:rFonts w:ascii="Times New Roman" w:eastAsia="SimSun" w:hAnsi="Times New Roman" w:cs="Times New Roman"/>
        </w:rPr>
        <w:t xml:space="preserve"> stronger activation for Hit than CR</w:t>
      </w:r>
      <w:r w:rsidR="00B55347" w:rsidRPr="002D0566">
        <w:rPr>
          <w:rFonts w:ascii="Times New Roman" w:eastAsia="SimSun" w:hAnsi="Times New Roman" w:cs="Times New Roman"/>
        </w:rPr>
        <w:t xml:space="preserve"> </w:t>
      </w:r>
      <w:r w:rsidR="00383EB8" w:rsidRPr="002D0566">
        <w:rPr>
          <w:rFonts w:ascii="Times New Roman" w:eastAsia="SimSun" w:hAnsi="Times New Roman" w:cs="Times New Roman"/>
        </w:rPr>
        <w:t xml:space="preserve">trials </w:t>
      </w:r>
      <w:r w:rsidR="00EC2DCD" w:rsidRPr="002D0566">
        <w:rPr>
          <w:rFonts w:ascii="Times New Roman" w:eastAsia="SimSun" w:hAnsi="Times New Roman" w:cs="Times New Roman"/>
        </w:rPr>
        <w:t xml:space="preserve">only </w:t>
      </w:r>
      <w:r w:rsidR="00273A32" w:rsidRPr="002D0566">
        <w:rPr>
          <w:rFonts w:ascii="Times New Roman" w:eastAsia="SimSun" w:hAnsi="Times New Roman" w:cs="Times New Roman"/>
        </w:rPr>
        <w:t>in the high PK condition</w:t>
      </w:r>
      <w:r w:rsidR="00784EBB" w:rsidRPr="002D0566">
        <w:rPr>
          <w:rFonts w:ascii="Times New Roman" w:eastAsia="SimSun" w:hAnsi="Times New Roman" w:cs="Times New Roman"/>
        </w:rPr>
        <w:t xml:space="preserve"> (</w:t>
      </w:r>
      <w:proofErr w:type="spellStart"/>
      <w:r w:rsidR="00784EBB" w:rsidRPr="002D0566">
        <w:rPr>
          <w:rFonts w:ascii="Times New Roman" w:eastAsia="SimSun" w:hAnsi="Times New Roman" w:cs="Times New Roman"/>
          <w:i/>
          <w:iCs/>
        </w:rPr>
        <w:t>ps</w:t>
      </w:r>
      <w:proofErr w:type="spellEnd"/>
      <w:r w:rsidR="00784EBB" w:rsidRPr="002D0566">
        <w:rPr>
          <w:rFonts w:ascii="Times New Roman" w:eastAsia="SimSun" w:hAnsi="Times New Roman" w:cs="Times New Roman"/>
        </w:rPr>
        <w:t xml:space="preserve"> &lt; 0.001 except the left MFG</w:t>
      </w:r>
      <w:r w:rsidR="00581D29" w:rsidRPr="002D0566">
        <w:rPr>
          <w:rFonts w:ascii="Times New Roman" w:eastAsia="SimSun" w:hAnsi="Times New Roman" w:cs="Times New Roman"/>
        </w:rPr>
        <w:t xml:space="preserve"> at </w:t>
      </w:r>
      <w:r w:rsidR="00581D29" w:rsidRPr="002D0566">
        <w:rPr>
          <w:rFonts w:ascii="Times New Roman" w:eastAsia="SimSun" w:hAnsi="Times New Roman" w:cs="Times New Roman"/>
          <w:i/>
          <w:iCs/>
        </w:rPr>
        <w:t>p</w:t>
      </w:r>
      <w:r w:rsidR="00581D29" w:rsidRPr="002D0566">
        <w:rPr>
          <w:rFonts w:ascii="Times New Roman" w:eastAsia="SimSun" w:hAnsi="Times New Roman" w:cs="Times New Roman"/>
        </w:rPr>
        <w:t xml:space="preserve"> &lt; 0.01 uncorrected)</w:t>
      </w:r>
      <w:r w:rsidR="00784EBB" w:rsidRPr="002D0566">
        <w:rPr>
          <w:rFonts w:ascii="Times New Roman" w:eastAsia="SimSun" w:hAnsi="Times New Roman" w:cs="Times New Roman"/>
        </w:rPr>
        <w:t>. No other trial type-related interactions were found.</w:t>
      </w:r>
    </w:p>
    <w:p w14:paraId="55EE67E3" w14:textId="3510BD2B" w:rsidR="00922C0C" w:rsidRPr="002D0566" w:rsidRDefault="00273A32" w:rsidP="00922C0C">
      <w:pPr>
        <w:shd w:val="clear" w:color="auto" w:fill="FFFFFF"/>
        <w:spacing w:line="480" w:lineRule="auto"/>
        <w:ind w:firstLine="720"/>
        <w:rPr>
          <w:rFonts w:ascii="Times New Roman" w:hAnsi="Times New Roman"/>
          <w:szCs w:val="20"/>
        </w:rPr>
      </w:pPr>
      <w:r w:rsidRPr="002D0566">
        <w:rPr>
          <w:rFonts w:ascii="Times New Roman" w:eastAsia="SimSun" w:hAnsi="Times New Roman" w:cs="Times New Roman"/>
        </w:rPr>
        <w:t xml:space="preserve">For the SVC-corrected regions of hippocampus and vmPFC, the results showed </w:t>
      </w:r>
      <w:r w:rsidR="002A4049" w:rsidRPr="002D0566">
        <w:rPr>
          <w:rFonts w:ascii="Times New Roman" w:hAnsi="Times New Roman"/>
          <w:szCs w:val="20"/>
        </w:rPr>
        <w:t xml:space="preserve">a </w:t>
      </w:r>
      <w:r w:rsidR="00EC2DCD" w:rsidRPr="002D0566">
        <w:rPr>
          <w:rFonts w:ascii="Times New Roman" w:hAnsi="Times New Roman"/>
          <w:szCs w:val="20"/>
        </w:rPr>
        <w:t>positive</w:t>
      </w:r>
      <w:r w:rsidR="00922C0C" w:rsidRPr="002D0566">
        <w:rPr>
          <w:rFonts w:ascii="Times New Roman" w:hAnsi="Times New Roman"/>
          <w:szCs w:val="20"/>
        </w:rPr>
        <w:t xml:space="preserve"> old/new effect in the </w:t>
      </w:r>
      <w:r w:rsidR="00EC2DCD" w:rsidRPr="002D0566">
        <w:rPr>
          <w:rFonts w:ascii="Times New Roman" w:hAnsi="Times New Roman"/>
          <w:szCs w:val="20"/>
        </w:rPr>
        <w:t xml:space="preserve">dorsal part of the </w:t>
      </w:r>
      <w:r w:rsidR="00922C0C" w:rsidRPr="002D0566">
        <w:rPr>
          <w:rFonts w:ascii="Times New Roman" w:hAnsi="Times New Roman"/>
          <w:szCs w:val="20"/>
        </w:rPr>
        <w:t xml:space="preserve">vmPFC (-5, 37, 6, </w:t>
      </w:r>
      <w:r w:rsidR="00922C0C" w:rsidRPr="002D0566">
        <w:rPr>
          <w:rFonts w:ascii="Times New Roman" w:hAnsi="Times New Roman"/>
          <w:i/>
          <w:szCs w:val="20"/>
        </w:rPr>
        <w:t xml:space="preserve">t </w:t>
      </w:r>
      <w:r w:rsidR="00922C0C" w:rsidRPr="002D0566">
        <w:rPr>
          <w:rFonts w:ascii="Times New Roman" w:hAnsi="Times New Roman"/>
          <w:szCs w:val="20"/>
        </w:rPr>
        <w:t xml:space="preserve">(17) = </w:t>
      </w:r>
      <w:r w:rsidR="00EC2DCD" w:rsidRPr="002D0566">
        <w:rPr>
          <w:rFonts w:ascii="Times New Roman" w:hAnsi="Times New Roman"/>
          <w:szCs w:val="20"/>
        </w:rPr>
        <w:t>5.69</w:t>
      </w:r>
      <w:r w:rsidR="00922C0C" w:rsidRPr="002D0566">
        <w:rPr>
          <w:rFonts w:ascii="Times New Roman" w:hAnsi="Times New Roman"/>
          <w:szCs w:val="20"/>
        </w:rPr>
        <w:t xml:space="preserve">, </w:t>
      </w:r>
      <w:r w:rsidR="00922C0C" w:rsidRPr="002D0566">
        <w:rPr>
          <w:rFonts w:ascii="Times New Roman" w:hAnsi="Times New Roman"/>
          <w:i/>
          <w:iCs/>
          <w:szCs w:val="20"/>
        </w:rPr>
        <w:t>p</w:t>
      </w:r>
      <w:r w:rsidR="00922C0C" w:rsidRPr="002D0566">
        <w:rPr>
          <w:rFonts w:ascii="Times New Roman" w:hAnsi="Times New Roman"/>
          <w:szCs w:val="20"/>
        </w:rPr>
        <w:t xml:space="preserve"> &lt; 0.0</w:t>
      </w:r>
      <w:r w:rsidR="00EC2DCD" w:rsidRPr="002D0566">
        <w:rPr>
          <w:rFonts w:ascii="Times New Roman" w:hAnsi="Times New Roman"/>
          <w:szCs w:val="20"/>
        </w:rPr>
        <w:t>01</w:t>
      </w:r>
      <w:r w:rsidR="00922C0C" w:rsidRPr="002D0566">
        <w:rPr>
          <w:rFonts w:ascii="Times New Roman" w:hAnsi="Times New Roman"/>
          <w:szCs w:val="20"/>
        </w:rPr>
        <w:t>)</w:t>
      </w:r>
      <w:r w:rsidR="00EC2DCD" w:rsidRPr="002D0566">
        <w:rPr>
          <w:rFonts w:ascii="Times New Roman" w:hAnsi="Times New Roman"/>
          <w:szCs w:val="20"/>
        </w:rPr>
        <w:t xml:space="preserve"> and </w:t>
      </w:r>
      <w:r w:rsidR="002A4049" w:rsidRPr="002D0566">
        <w:rPr>
          <w:rFonts w:ascii="Times New Roman" w:hAnsi="Times New Roman"/>
          <w:szCs w:val="20"/>
        </w:rPr>
        <w:t xml:space="preserve">a </w:t>
      </w:r>
      <w:r w:rsidR="00EC2DCD" w:rsidRPr="002D0566">
        <w:rPr>
          <w:rFonts w:ascii="Times New Roman" w:hAnsi="Times New Roman"/>
          <w:szCs w:val="20"/>
        </w:rPr>
        <w:t xml:space="preserve">negative old/new effect in the </w:t>
      </w:r>
      <w:bookmarkStart w:id="0" w:name="OLE_LINK1"/>
      <w:r w:rsidR="00EC2DCD" w:rsidRPr="002D0566">
        <w:rPr>
          <w:rFonts w:ascii="Times New Roman" w:hAnsi="Times New Roman"/>
          <w:szCs w:val="20"/>
        </w:rPr>
        <w:t xml:space="preserve">ventral part of </w:t>
      </w:r>
      <w:bookmarkEnd w:id="0"/>
      <w:r w:rsidR="00EC2DCD" w:rsidRPr="002D0566">
        <w:rPr>
          <w:rFonts w:ascii="Times New Roman" w:hAnsi="Times New Roman"/>
          <w:szCs w:val="20"/>
        </w:rPr>
        <w:t xml:space="preserve">the vmPFC (3, 23, -18, </w:t>
      </w:r>
      <w:r w:rsidR="00EC2DCD" w:rsidRPr="002D0566">
        <w:rPr>
          <w:rFonts w:ascii="Times New Roman" w:hAnsi="Times New Roman"/>
          <w:i/>
          <w:szCs w:val="20"/>
        </w:rPr>
        <w:t xml:space="preserve">t </w:t>
      </w:r>
      <w:r w:rsidR="00EC2DCD" w:rsidRPr="002D0566">
        <w:rPr>
          <w:rFonts w:ascii="Times New Roman" w:hAnsi="Times New Roman"/>
          <w:szCs w:val="20"/>
        </w:rPr>
        <w:t xml:space="preserve">(17) = </w:t>
      </w:r>
      <w:r w:rsidR="00383EB8" w:rsidRPr="002D0566">
        <w:rPr>
          <w:rFonts w:ascii="Times New Roman" w:hAnsi="Times New Roman"/>
          <w:szCs w:val="20"/>
        </w:rPr>
        <w:t>-</w:t>
      </w:r>
      <w:r w:rsidR="00EC2DCD" w:rsidRPr="002D0566">
        <w:rPr>
          <w:rFonts w:ascii="Times New Roman" w:hAnsi="Times New Roman"/>
          <w:szCs w:val="20"/>
        </w:rPr>
        <w:t xml:space="preserve">5.37, </w:t>
      </w:r>
      <w:r w:rsidR="00EC2DCD" w:rsidRPr="002D0566">
        <w:rPr>
          <w:rFonts w:ascii="Times New Roman" w:hAnsi="Times New Roman"/>
          <w:i/>
          <w:iCs/>
          <w:szCs w:val="20"/>
        </w:rPr>
        <w:t>p</w:t>
      </w:r>
      <w:r w:rsidR="00EC2DCD" w:rsidRPr="002D0566">
        <w:rPr>
          <w:rFonts w:ascii="Times New Roman" w:hAnsi="Times New Roman"/>
          <w:szCs w:val="20"/>
        </w:rPr>
        <w:t xml:space="preserve"> &lt; 0.001)</w:t>
      </w:r>
      <w:r w:rsidR="00261359" w:rsidRPr="002D0566">
        <w:rPr>
          <w:rFonts w:ascii="Times New Roman" w:hAnsi="Times New Roman"/>
          <w:szCs w:val="20"/>
        </w:rPr>
        <w:t xml:space="preserve"> (Figure S2</w:t>
      </w:r>
      <w:r w:rsidR="00383EB8" w:rsidRPr="002D0566">
        <w:rPr>
          <w:rFonts w:ascii="Times New Roman" w:hAnsi="Times New Roman"/>
          <w:szCs w:val="20"/>
        </w:rPr>
        <w:t>-a</w:t>
      </w:r>
      <w:r w:rsidR="00261359" w:rsidRPr="002D0566">
        <w:rPr>
          <w:rFonts w:ascii="Times New Roman" w:hAnsi="Times New Roman"/>
          <w:szCs w:val="20"/>
        </w:rPr>
        <w:t>)</w:t>
      </w:r>
      <w:r w:rsidR="00922C0C" w:rsidRPr="002D0566">
        <w:rPr>
          <w:rFonts w:ascii="Times New Roman" w:hAnsi="Times New Roman"/>
          <w:szCs w:val="20"/>
        </w:rPr>
        <w:t>. In addition, there was a significant trial type * PK interaction in the</w:t>
      </w:r>
      <w:r w:rsidR="002A4049" w:rsidRPr="002D0566">
        <w:rPr>
          <w:rFonts w:ascii="Times New Roman" w:hAnsi="Times New Roman"/>
          <w:szCs w:val="20"/>
        </w:rPr>
        <w:t xml:space="preserve"> ventral part of the</w:t>
      </w:r>
      <w:r w:rsidR="00922C0C" w:rsidRPr="002D0566">
        <w:rPr>
          <w:rFonts w:ascii="Times New Roman" w:hAnsi="Times New Roman"/>
          <w:szCs w:val="20"/>
        </w:rPr>
        <w:t xml:space="preserve"> vmPFC (15, 39, -12, </w:t>
      </w:r>
      <w:proofErr w:type="gramStart"/>
      <w:r w:rsidR="00922C0C" w:rsidRPr="002D0566">
        <w:rPr>
          <w:rFonts w:ascii="Times New Roman" w:hAnsi="Times New Roman"/>
          <w:i/>
          <w:szCs w:val="20"/>
        </w:rPr>
        <w:t>F</w:t>
      </w:r>
      <w:r w:rsidR="00922C0C" w:rsidRPr="002D0566">
        <w:rPr>
          <w:rFonts w:ascii="Times New Roman" w:hAnsi="Times New Roman"/>
          <w:szCs w:val="20"/>
        </w:rPr>
        <w:t>(</w:t>
      </w:r>
      <w:proofErr w:type="gramEnd"/>
      <w:r w:rsidR="00922C0C" w:rsidRPr="002D0566">
        <w:rPr>
          <w:rFonts w:ascii="Times New Roman" w:hAnsi="Times New Roman"/>
          <w:szCs w:val="20"/>
        </w:rPr>
        <w:t xml:space="preserve">2, 34) = </w:t>
      </w:r>
      <w:r w:rsidR="00EC2DCD" w:rsidRPr="002D0566">
        <w:rPr>
          <w:rFonts w:ascii="Times New Roman" w:hAnsi="Times New Roman"/>
          <w:szCs w:val="20"/>
        </w:rPr>
        <w:t>23.94</w:t>
      </w:r>
      <w:r w:rsidR="00922C0C" w:rsidRPr="002D0566">
        <w:rPr>
          <w:rFonts w:ascii="Times New Roman" w:hAnsi="Times New Roman"/>
          <w:szCs w:val="20"/>
        </w:rPr>
        <w:t xml:space="preserve">, </w:t>
      </w:r>
      <w:r w:rsidR="00922C0C" w:rsidRPr="002D0566">
        <w:rPr>
          <w:rFonts w:ascii="Times New Roman" w:hAnsi="Times New Roman"/>
          <w:i/>
          <w:iCs/>
          <w:szCs w:val="20"/>
        </w:rPr>
        <w:t>p</w:t>
      </w:r>
      <w:r w:rsidR="00922C0C" w:rsidRPr="002D0566">
        <w:rPr>
          <w:rFonts w:ascii="Times New Roman" w:hAnsi="Times New Roman"/>
          <w:szCs w:val="20"/>
        </w:rPr>
        <w:t xml:space="preserve"> &lt; 0.0</w:t>
      </w:r>
      <w:r w:rsidR="00EC2DCD" w:rsidRPr="002D0566">
        <w:rPr>
          <w:rFonts w:ascii="Times New Roman" w:hAnsi="Times New Roman"/>
          <w:szCs w:val="20"/>
        </w:rPr>
        <w:t>01</w:t>
      </w:r>
      <w:r w:rsidR="00922C0C" w:rsidRPr="002D0566">
        <w:rPr>
          <w:rFonts w:ascii="Times New Roman" w:hAnsi="Times New Roman"/>
          <w:szCs w:val="20"/>
        </w:rPr>
        <w:t xml:space="preserve">) and the bilateral </w:t>
      </w:r>
      <w:r w:rsidR="000A2E05" w:rsidRPr="002D0566">
        <w:rPr>
          <w:rFonts w:ascii="Times New Roman" w:hAnsi="Times New Roman"/>
          <w:szCs w:val="20"/>
        </w:rPr>
        <w:t xml:space="preserve">anterior </w:t>
      </w:r>
      <w:r w:rsidR="00922C0C" w:rsidRPr="002D0566">
        <w:rPr>
          <w:rFonts w:ascii="Times New Roman" w:hAnsi="Times New Roman"/>
          <w:szCs w:val="20"/>
        </w:rPr>
        <w:t>hippocampus (left: -2</w:t>
      </w:r>
      <w:r w:rsidR="00EC2DCD" w:rsidRPr="002D0566">
        <w:rPr>
          <w:rFonts w:ascii="Times New Roman" w:hAnsi="Times New Roman"/>
          <w:szCs w:val="20"/>
        </w:rPr>
        <w:t>5</w:t>
      </w:r>
      <w:r w:rsidR="00922C0C" w:rsidRPr="002D0566">
        <w:rPr>
          <w:rFonts w:ascii="Times New Roman" w:hAnsi="Times New Roman"/>
          <w:szCs w:val="20"/>
        </w:rPr>
        <w:t>, -</w:t>
      </w:r>
      <w:r w:rsidR="00EC2DCD" w:rsidRPr="002D0566">
        <w:rPr>
          <w:rFonts w:ascii="Times New Roman" w:hAnsi="Times New Roman"/>
          <w:szCs w:val="20"/>
        </w:rPr>
        <w:t>5</w:t>
      </w:r>
      <w:r w:rsidR="00922C0C" w:rsidRPr="002D0566">
        <w:rPr>
          <w:rFonts w:ascii="Times New Roman" w:hAnsi="Times New Roman"/>
          <w:szCs w:val="20"/>
        </w:rPr>
        <w:t>, -1</w:t>
      </w:r>
      <w:r w:rsidR="00EC2DCD" w:rsidRPr="002D0566">
        <w:rPr>
          <w:rFonts w:ascii="Times New Roman" w:hAnsi="Times New Roman"/>
          <w:szCs w:val="20"/>
        </w:rPr>
        <w:t>8</w:t>
      </w:r>
      <w:r w:rsidR="00922C0C" w:rsidRPr="002D0566">
        <w:rPr>
          <w:rFonts w:ascii="Times New Roman" w:hAnsi="Times New Roman"/>
          <w:szCs w:val="20"/>
        </w:rPr>
        <w:t xml:space="preserve">, </w:t>
      </w:r>
      <w:r w:rsidR="00922C0C" w:rsidRPr="002D0566">
        <w:rPr>
          <w:rFonts w:ascii="Times New Roman" w:hAnsi="Times New Roman"/>
          <w:i/>
          <w:szCs w:val="20"/>
        </w:rPr>
        <w:t>F</w:t>
      </w:r>
      <w:r w:rsidR="00922C0C" w:rsidRPr="002D0566">
        <w:rPr>
          <w:rFonts w:ascii="Times New Roman" w:hAnsi="Times New Roman"/>
          <w:szCs w:val="20"/>
        </w:rPr>
        <w:t xml:space="preserve">(2, 34) = </w:t>
      </w:r>
      <w:r w:rsidR="002A4049" w:rsidRPr="002D0566">
        <w:rPr>
          <w:rFonts w:ascii="Times New Roman" w:hAnsi="Times New Roman"/>
          <w:szCs w:val="20"/>
        </w:rPr>
        <w:t>21.79</w:t>
      </w:r>
      <w:r w:rsidR="00922C0C" w:rsidRPr="002D0566">
        <w:rPr>
          <w:rFonts w:ascii="Times New Roman" w:hAnsi="Times New Roman"/>
          <w:szCs w:val="20"/>
        </w:rPr>
        <w:t xml:space="preserve">, </w:t>
      </w:r>
      <w:r w:rsidR="00922C0C" w:rsidRPr="002D0566">
        <w:rPr>
          <w:rFonts w:ascii="Times New Roman" w:hAnsi="Times New Roman"/>
          <w:i/>
          <w:iCs/>
          <w:szCs w:val="20"/>
        </w:rPr>
        <w:t>p</w:t>
      </w:r>
      <w:r w:rsidR="00922C0C" w:rsidRPr="002D0566">
        <w:rPr>
          <w:rFonts w:ascii="Times New Roman" w:hAnsi="Times New Roman"/>
          <w:szCs w:val="20"/>
        </w:rPr>
        <w:t xml:space="preserve"> &lt; 0.0</w:t>
      </w:r>
      <w:r w:rsidR="002A4049" w:rsidRPr="002D0566">
        <w:rPr>
          <w:rFonts w:ascii="Times New Roman" w:hAnsi="Times New Roman"/>
          <w:szCs w:val="20"/>
        </w:rPr>
        <w:t>0</w:t>
      </w:r>
      <w:r w:rsidR="00922C0C" w:rsidRPr="002D0566">
        <w:rPr>
          <w:rFonts w:ascii="Times New Roman" w:hAnsi="Times New Roman"/>
          <w:szCs w:val="20"/>
        </w:rPr>
        <w:t xml:space="preserve">1; right: 33, -9, </w:t>
      </w:r>
      <w:r w:rsidR="002A4049" w:rsidRPr="002D0566">
        <w:rPr>
          <w:rFonts w:ascii="Times New Roman" w:hAnsi="Times New Roman"/>
          <w:szCs w:val="20"/>
        </w:rPr>
        <w:t>-</w:t>
      </w:r>
      <w:r w:rsidR="00922C0C" w:rsidRPr="002D0566">
        <w:rPr>
          <w:rFonts w:ascii="Times New Roman" w:hAnsi="Times New Roman"/>
          <w:szCs w:val="20"/>
        </w:rPr>
        <w:t xml:space="preserve">12, </w:t>
      </w:r>
      <w:r w:rsidR="00922C0C" w:rsidRPr="002D0566">
        <w:rPr>
          <w:rFonts w:ascii="Times New Roman" w:hAnsi="Times New Roman"/>
          <w:i/>
          <w:szCs w:val="20"/>
        </w:rPr>
        <w:t>F</w:t>
      </w:r>
      <w:r w:rsidR="00922C0C" w:rsidRPr="002D0566">
        <w:rPr>
          <w:rFonts w:ascii="Times New Roman" w:hAnsi="Times New Roman"/>
          <w:szCs w:val="20"/>
        </w:rPr>
        <w:t xml:space="preserve">(2, 34) = </w:t>
      </w:r>
      <w:r w:rsidR="002A4049" w:rsidRPr="002D0566">
        <w:rPr>
          <w:rFonts w:ascii="Times New Roman" w:hAnsi="Times New Roman"/>
          <w:szCs w:val="20"/>
        </w:rPr>
        <w:t>27.96</w:t>
      </w:r>
      <w:r w:rsidR="00922C0C" w:rsidRPr="002D0566">
        <w:rPr>
          <w:rFonts w:ascii="Times New Roman" w:hAnsi="Times New Roman"/>
          <w:szCs w:val="20"/>
        </w:rPr>
        <w:t xml:space="preserve">, </w:t>
      </w:r>
      <w:r w:rsidR="00922C0C" w:rsidRPr="002D0566">
        <w:rPr>
          <w:rFonts w:ascii="Times New Roman" w:hAnsi="Times New Roman"/>
          <w:i/>
          <w:iCs/>
          <w:szCs w:val="20"/>
        </w:rPr>
        <w:t>p</w:t>
      </w:r>
      <w:r w:rsidR="00922C0C" w:rsidRPr="002D0566">
        <w:rPr>
          <w:rFonts w:ascii="Times New Roman" w:hAnsi="Times New Roman"/>
          <w:szCs w:val="20"/>
        </w:rPr>
        <w:t xml:space="preserve"> &lt; 0.0</w:t>
      </w:r>
      <w:r w:rsidR="002A4049" w:rsidRPr="002D0566">
        <w:rPr>
          <w:rFonts w:ascii="Times New Roman" w:hAnsi="Times New Roman"/>
          <w:szCs w:val="20"/>
        </w:rPr>
        <w:t>0</w:t>
      </w:r>
      <w:r w:rsidR="00922C0C" w:rsidRPr="002D0566">
        <w:rPr>
          <w:rFonts w:ascii="Times New Roman" w:hAnsi="Times New Roman"/>
          <w:szCs w:val="20"/>
        </w:rPr>
        <w:t>1)</w:t>
      </w:r>
      <w:r w:rsidR="00261359" w:rsidRPr="002D0566">
        <w:rPr>
          <w:rFonts w:ascii="Times New Roman" w:hAnsi="Times New Roman"/>
          <w:szCs w:val="20"/>
        </w:rPr>
        <w:t xml:space="preserve"> (Figure S2</w:t>
      </w:r>
      <w:r w:rsidR="00383EB8" w:rsidRPr="002D0566">
        <w:rPr>
          <w:rFonts w:ascii="Times New Roman" w:hAnsi="Times New Roman"/>
          <w:szCs w:val="20"/>
        </w:rPr>
        <w:t>-b</w:t>
      </w:r>
      <w:r w:rsidR="00261359" w:rsidRPr="002D0566">
        <w:rPr>
          <w:rFonts w:ascii="Times New Roman" w:hAnsi="Times New Roman"/>
          <w:szCs w:val="20"/>
        </w:rPr>
        <w:t>)</w:t>
      </w:r>
      <w:r w:rsidR="00922C0C" w:rsidRPr="002D0566">
        <w:rPr>
          <w:rFonts w:ascii="Times New Roman" w:hAnsi="Times New Roman"/>
          <w:szCs w:val="20"/>
        </w:rPr>
        <w:t xml:space="preserve">. </w:t>
      </w:r>
      <w:r w:rsidR="00951DD1" w:rsidRPr="002D0566">
        <w:rPr>
          <w:rFonts w:ascii="Times New Roman" w:hAnsi="Times New Roman"/>
          <w:szCs w:val="20"/>
        </w:rPr>
        <w:t xml:space="preserve">The bilateral </w:t>
      </w:r>
      <w:r w:rsidR="000A2E05" w:rsidRPr="002D0566">
        <w:rPr>
          <w:rFonts w:ascii="Times New Roman" w:hAnsi="Times New Roman"/>
          <w:szCs w:val="20"/>
        </w:rPr>
        <w:t xml:space="preserve">anterior </w:t>
      </w:r>
      <w:r w:rsidR="00951DD1" w:rsidRPr="002D0566">
        <w:rPr>
          <w:rFonts w:ascii="Times New Roman" w:hAnsi="Times New Roman"/>
          <w:szCs w:val="20"/>
        </w:rPr>
        <w:t>hippocampus</w:t>
      </w:r>
      <w:r w:rsidR="00922C0C" w:rsidRPr="002D0566">
        <w:rPr>
          <w:rFonts w:ascii="Times New Roman" w:hAnsi="Times New Roman"/>
          <w:szCs w:val="20"/>
        </w:rPr>
        <w:t xml:space="preserve"> </w:t>
      </w:r>
      <w:r w:rsidR="00951DD1" w:rsidRPr="002D0566">
        <w:rPr>
          <w:rFonts w:ascii="Times New Roman" w:eastAsia="SimSun" w:hAnsi="Times New Roman" w:cs="Times New Roman"/>
        </w:rPr>
        <w:t>showed significantly stronger activation for Hit than CR</w:t>
      </w:r>
      <w:r w:rsidR="00383EB8" w:rsidRPr="002D0566">
        <w:rPr>
          <w:rFonts w:ascii="Times New Roman" w:eastAsia="SimSun" w:hAnsi="Times New Roman" w:cs="Times New Roman"/>
        </w:rPr>
        <w:t xml:space="preserve"> trials</w:t>
      </w:r>
      <w:r w:rsidR="00951DD1" w:rsidRPr="002D0566">
        <w:rPr>
          <w:rFonts w:ascii="Times New Roman" w:eastAsia="SimSun" w:hAnsi="Times New Roman" w:cs="Times New Roman"/>
        </w:rPr>
        <w:t xml:space="preserve"> only in the high PK condition (</w:t>
      </w:r>
      <w:proofErr w:type="spellStart"/>
      <w:r w:rsidR="00951DD1" w:rsidRPr="002D0566">
        <w:rPr>
          <w:rFonts w:ascii="Times New Roman" w:eastAsia="SimSun" w:hAnsi="Times New Roman" w:cs="Times New Roman"/>
          <w:i/>
          <w:iCs/>
        </w:rPr>
        <w:t>ps</w:t>
      </w:r>
      <w:proofErr w:type="spellEnd"/>
      <w:r w:rsidR="00951DD1" w:rsidRPr="002D0566">
        <w:rPr>
          <w:rFonts w:ascii="Times New Roman" w:eastAsia="SimSun" w:hAnsi="Times New Roman" w:cs="Times New Roman"/>
        </w:rPr>
        <w:t xml:space="preserve"> &lt; 0.001), whereas the ventral part of the vmPFC showed stronger activation for CR than H</w:t>
      </w:r>
      <w:r w:rsidR="00383EB8" w:rsidRPr="002D0566">
        <w:rPr>
          <w:rFonts w:ascii="Times New Roman" w:eastAsia="SimSun" w:hAnsi="Times New Roman" w:cs="Times New Roman"/>
        </w:rPr>
        <w:t>i</w:t>
      </w:r>
      <w:r w:rsidR="00951DD1" w:rsidRPr="002D0566">
        <w:rPr>
          <w:rFonts w:ascii="Times New Roman" w:eastAsia="SimSun" w:hAnsi="Times New Roman" w:cs="Times New Roman"/>
        </w:rPr>
        <w:t>t</w:t>
      </w:r>
      <w:r w:rsidR="00383EB8" w:rsidRPr="002D0566">
        <w:rPr>
          <w:rFonts w:ascii="Times New Roman" w:eastAsia="SimSun" w:hAnsi="Times New Roman" w:cs="Times New Roman"/>
        </w:rPr>
        <w:t xml:space="preserve"> trials</w:t>
      </w:r>
      <w:r w:rsidR="00951DD1" w:rsidRPr="002D0566">
        <w:rPr>
          <w:rFonts w:ascii="Times New Roman" w:eastAsia="SimSun" w:hAnsi="Times New Roman" w:cs="Times New Roman"/>
        </w:rPr>
        <w:t xml:space="preserve"> in the high PK condition (</w:t>
      </w:r>
      <w:r w:rsidR="00951DD1" w:rsidRPr="002D0566">
        <w:rPr>
          <w:rFonts w:ascii="Times New Roman" w:eastAsia="SimSun" w:hAnsi="Times New Roman" w:cs="Times New Roman"/>
          <w:i/>
          <w:iCs/>
        </w:rPr>
        <w:t>p</w:t>
      </w:r>
      <w:r w:rsidR="00951DD1" w:rsidRPr="002D0566">
        <w:rPr>
          <w:rFonts w:ascii="Times New Roman" w:eastAsia="SimSun" w:hAnsi="Times New Roman" w:cs="Times New Roman"/>
        </w:rPr>
        <w:t xml:space="preserve"> &lt; 0.001). </w:t>
      </w:r>
    </w:p>
    <w:p w14:paraId="76883110" w14:textId="44350C30" w:rsidR="00581D29" w:rsidRPr="002D0566" w:rsidRDefault="00581D29" w:rsidP="00581D29">
      <w:pPr>
        <w:widowControl w:val="0"/>
        <w:spacing w:line="480" w:lineRule="auto"/>
        <w:ind w:firstLine="720"/>
        <w:rPr>
          <w:rFonts w:ascii="Times New Roman" w:eastAsia="SimSun" w:hAnsi="Times New Roman" w:cs="Times New Roman"/>
        </w:rPr>
      </w:pPr>
      <w:r w:rsidRPr="002D0566">
        <w:rPr>
          <w:rFonts w:ascii="Times New Roman" w:eastAsia="SimSun" w:hAnsi="Times New Roman" w:cs="Times New Roman"/>
        </w:rPr>
        <w:t xml:space="preserve">The results suggest that episodic memory retrieval is associated with two distinct </w:t>
      </w:r>
      <w:r w:rsidRPr="002D0566">
        <w:rPr>
          <w:rFonts w:ascii="Times New Roman" w:eastAsia="SimSun" w:hAnsi="Times New Roman" w:cs="Times New Roman"/>
        </w:rPr>
        <w:lastRenderedPageBreak/>
        <w:t xml:space="preserve">networks, the default mode network (DMN) (including the midline regions and the hippocampus) is more involved in recognizing old items by maintaining representation of episodic or contextual details, whereas the executive and attentional network is more </w:t>
      </w:r>
      <w:r w:rsidR="000A2E05" w:rsidRPr="002D0566">
        <w:rPr>
          <w:rFonts w:ascii="Times New Roman" w:eastAsia="SimSun" w:hAnsi="Times New Roman" w:cs="Times New Roman"/>
          <w:noProof/>
        </w:rPr>
        <w:drawing>
          <wp:anchor distT="0" distB="0" distL="114300" distR="114300" simplePos="0" relativeHeight="251658240" behindDoc="0" locked="0" layoutInCell="1" allowOverlap="1" wp14:anchorId="15B13CAF" wp14:editId="5D7B377F">
            <wp:simplePos x="0" y="0"/>
            <wp:positionH relativeFrom="column">
              <wp:posOffset>603885</wp:posOffset>
            </wp:positionH>
            <wp:positionV relativeFrom="paragraph">
              <wp:posOffset>1351280</wp:posOffset>
            </wp:positionV>
            <wp:extent cx="4313555" cy="2750820"/>
            <wp:effectExtent l="0" t="0" r="4445" b="508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幻灯片6.TIF"/>
                    <pic:cNvPicPr/>
                  </pic:nvPicPr>
                  <pic:blipFill rotWithShape="1">
                    <a:blip r:embed="rId6" cstate="print">
                      <a:extLst>
                        <a:ext uri="{28A0092B-C50C-407E-A947-70E740481C1C}">
                          <a14:useLocalDpi xmlns:a14="http://schemas.microsoft.com/office/drawing/2010/main" val="0"/>
                        </a:ext>
                      </a:extLst>
                    </a:blip>
                    <a:srcRect t="3769" r="21508" b="29491"/>
                    <a:stretch/>
                  </pic:blipFill>
                  <pic:spPr bwMode="auto">
                    <a:xfrm>
                      <a:off x="0" y="0"/>
                      <a:ext cx="4313555" cy="2750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0566">
        <w:rPr>
          <w:rFonts w:ascii="Times New Roman" w:eastAsia="SimSun" w:hAnsi="Times New Roman" w:cs="Times New Roman"/>
        </w:rPr>
        <w:t xml:space="preserve">involved in rejecting new items. </w:t>
      </w:r>
    </w:p>
    <w:p w14:paraId="70D546AE" w14:textId="4CA6EAFC" w:rsidR="008B1A58" w:rsidRPr="002D0566" w:rsidRDefault="008B1A58" w:rsidP="000A2E05">
      <w:pPr>
        <w:widowControl w:val="0"/>
        <w:spacing w:before="120" w:line="480" w:lineRule="auto"/>
        <w:ind w:left="720" w:hanging="720"/>
        <w:rPr>
          <w:rFonts w:ascii="Times New Roman" w:hAnsi="Times New Roman"/>
          <w:noProof/>
        </w:rPr>
      </w:pPr>
      <w:r w:rsidRPr="002D0566">
        <w:rPr>
          <w:rFonts w:ascii="Times New Roman" w:hAnsi="Times New Roman"/>
          <w:noProof/>
        </w:rPr>
        <w:t>Figure S1. Voxel-wise results for Hit vs. CR and the interaction of trial type and PK condition</w:t>
      </w:r>
      <w:r w:rsidR="005B672A" w:rsidRPr="002D0566">
        <w:rPr>
          <w:rFonts w:ascii="Times New Roman" w:hAnsi="Times New Roman"/>
          <w:noProof/>
        </w:rPr>
        <w:t xml:space="preserve"> at the whole-brain level</w:t>
      </w:r>
      <w:r w:rsidRPr="002D0566">
        <w:rPr>
          <w:rFonts w:ascii="Times New Roman" w:hAnsi="Times New Roman"/>
          <w:noProof/>
        </w:rPr>
        <w:t xml:space="preserve">. Color bars represent </w:t>
      </w:r>
      <w:r w:rsidRPr="002D0566">
        <w:rPr>
          <w:rFonts w:ascii="Times New Roman" w:hAnsi="Times New Roman"/>
          <w:i/>
          <w:noProof/>
        </w:rPr>
        <w:t>p</w:t>
      </w:r>
      <w:r w:rsidRPr="002D0566">
        <w:rPr>
          <w:rFonts w:ascii="Times New Roman" w:hAnsi="Times New Roman"/>
          <w:noProof/>
        </w:rPr>
        <w:t xml:space="preserve">-values for the contrast of </w:t>
      </w:r>
      <w:r w:rsidR="00261359" w:rsidRPr="002D0566">
        <w:rPr>
          <w:rFonts w:ascii="Times New Roman" w:hAnsi="Times New Roman"/>
          <w:noProof/>
        </w:rPr>
        <w:t>Hit vs. CR or the interaction of trial type * PK</w:t>
      </w:r>
      <w:r w:rsidRPr="002D0566">
        <w:rPr>
          <w:rFonts w:ascii="Times New Roman" w:hAnsi="Times New Roman"/>
          <w:noProof/>
        </w:rPr>
        <w:t xml:space="preserve">. The left is on the left side for each coronal </w:t>
      </w:r>
      <w:r w:rsidR="005B672A" w:rsidRPr="002D0566">
        <w:rPr>
          <w:rFonts w:ascii="Times New Roman" w:hAnsi="Times New Roman"/>
          <w:noProof/>
        </w:rPr>
        <w:t xml:space="preserve">or axial </w:t>
      </w:r>
      <w:r w:rsidRPr="002D0566">
        <w:rPr>
          <w:rFonts w:ascii="Times New Roman" w:hAnsi="Times New Roman"/>
          <w:noProof/>
        </w:rPr>
        <w:t xml:space="preserve">brain slice. </w:t>
      </w:r>
      <w:r w:rsidR="005F7B40" w:rsidRPr="002D0566">
        <w:rPr>
          <w:rFonts w:ascii="Times New Roman" w:hAnsi="Times New Roman"/>
          <w:noProof/>
        </w:rPr>
        <w:drawing>
          <wp:anchor distT="0" distB="0" distL="114300" distR="114300" simplePos="0" relativeHeight="251659264" behindDoc="0" locked="0" layoutInCell="1" allowOverlap="1" wp14:anchorId="73D37BC3" wp14:editId="12FE1F0B">
            <wp:simplePos x="0" y="0"/>
            <wp:positionH relativeFrom="column">
              <wp:posOffset>457200</wp:posOffset>
            </wp:positionH>
            <wp:positionV relativeFrom="paragraph">
              <wp:posOffset>4389120</wp:posOffset>
            </wp:positionV>
            <wp:extent cx="4638675" cy="1495425"/>
            <wp:effectExtent l="0" t="0" r="9525" b="9525"/>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S2.tif"/>
                    <pic:cNvPicPr/>
                  </pic:nvPicPr>
                  <pic:blipFill rotWithShape="1">
                    <a:blip r:embed="rId7" cstate="print">
                      <a:extLst>
                        <a:ext uri="{28A0092B-C50C-407E-A947-70E740481C1C}">
                          <a14:useLocalDpi xmlns:a14="http://schemas.microsoft.com/office/drawing/2010/main" val="0"/>
                        </a:ext>
                      </a:extLst>
                    </a:blip>
                    <a:srcRect t="1109" r="19014" b="64079"/>
                    <a:stretch/>
                  </pic:blipFill>
                  <pic:spPr bwMode="auto">
                    <a:xfrm>
                      <a:off x="0" y="0"/>
                      <a:ext cx="4638675" cy="1495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5EA671" w14:textId="765C760B" w:rsidR="00B92F87" w:rsidRPr="002D0566" w:rsidRDefault="00C93C41" w:rsidP="000A2E05">
      <w:pPr>
        <w:widowControl w:val="0"/>
        <w:spacing w:before="120" w:line="480" w:lineRule="auto"/>
        <w:ind w:left="720" w:hanging="720"/>
      </w:pPr>
      <w:r w:rsidRPr="002D0566">
        <w:rPr>
          <w:rFonts w:ascii="Times New Roman" w:hAnsi="Times New Roman"/>
          <w:noProof/>
        </w:rPr>
        <w:t>Figure S2. Voxel-wise results for Hit vs. CR and the interaction of trial type and PK condition</w:t>
      </w:r>
      <w:r w:rsidR="00261359" w:rsidRPr="002D0566">
        <w:rPr>
          <w:rFonts w:ascii="Times New Roman" w:hAnsi="Times New Roman"/>
          <w:noProof/>
        </w:rPr>
        <w:t xml:space="preserve"> in the SVC-corrected hippocampus and vmPFC</w:t>
      </w:r>
      <w:r w:rsidRPr="002D0566">
        <w:rPr>
          <w:rFonts w:ascii="Times New Roman" w:hAnsi="Times New Roman"/>
          <w:noProof/>
        </w:rPr>
        <w:t xml:space="preserve">. Color bars represent </w:t>
      </w:r>
      <w:r w:rsidRPr="002D0566">
        <w:rPr>
          <w:rFonts w:ascii="Times New Roman" w:hAnsi="Times New Roman"/>
          <w:i/>
          <w:iCs/>
          <w:noProof/>
        </w:rPr>
        <w:t>p</w:t>
      </w:r>
      <w:r w:rsidRPr="002D0566">
        <w:rPr>
          <w:rFonts w:ascii="Times New Roman" w:hAnsi="Times New Roman"/>
          <w:noProof/>
        </w:rPr>
        <w:t xml:space="preserve">-values for the contrast of </w:t>
      </w:r>
      <w:r w:rsidR="00261359" w:rsidRPr="002D0566">
        <w:rPr>
          <w:rFonts w:ascii="Times New Roman" w:hAnsi="Times New Roman"/>
          <w:noProof/>
        </w:rPr>
        <w:t>Hit vs. CR or the interaction of trial type * PK</w:t>
      </w:r>
      <w:r w:rsidR="00261359" w:rsidRPr="002D0566" w:rsidDel="00261359">
        <w:rPr>
          <w:rFonts w:ascii="Times New Roman" w:hAnsi="Times New Roman"/>
          <w:noProof/>
        </w:rPr>
        <w:t xml:space="preserve"> </w:t>
      </w:r>
      <w:r w:rsidRPr="002D0566">
        <w:rPr>
          <w:rFonts w:ascii="Times New Roman" w:hAnsi="Times New Roman"/>
          <w:noProof/>
        </w:rPr>
        <w:t xml:space="preserve">. The left is on the left side for </w:t>
      </w:r>
      <w:r w:rsidR="005B672A" w:rsidRPr="002D0566">
        <w:rPr>
          <w:rFonts w:ascii="Times New Roman" w:hAnsi="Times New Roman"/>
          <w:noProof/>
        </w:rPr>
        <w:t xml:space="preserve">the </w:t>
      </w:r>
      <w:r w:rsidRPr="002D0566">
        <w:rPr>
          <w:rFonts w:ascii="Times New Roman" w:hAnsi="Times New Roman"/>
          <w:noProof/>
        </w:rPr>
        <w:t xml:space="preserve">coronal brain slice. </w:t>
      </w:r>
    </w:p>
    <w:sectPr w:rsidR="00B92F87" w:rsidRPr="002D0566" w:rsidSect="003864F4">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A0FD2" w14:textId="77777777" w:rsidR="00DB5991" w:rsidRDefault="00DB5991" w:rsidP="00EE6740">
      <w:r>
        <w:separator/>
      </w:r>
    </w:p>
  </w:endnote>
  <w:endnote w:type="continuationSeparator" w:id="0">
    <w:p w14:paraId="52451BA5" w14:textId="77777777" w:rsidR="00DB5991" w:rsidRDefault="00DB5991" w:rsidP="00EE6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5404854"/>
      <w:docPartObj>
        <w:docPartGallery w:val="Page Numbers (Bottom of Page)"/>
        <w:docPartUnique/>
      </w:docPartObj>
    </w:sdtPr>
    <w:sdtContent>
      <w:p w14:paraId="3C2DD739" w14:textId="1EFC5518" w:rsidR="00EE6740" w:rsidRDefault="00EE6740" w:rsidP="00262D8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423667" w14:textId="77777777" w:rsidR="00EE6740" w:rsidRDefault="00EE6740" w:rsidP="00EE67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1133826"/>
      <w:docPartObj>
        <w:docPartGallery w:val="Page Numbers (Bottom of Page)"/>
        <w:docPartUnique/>
      </w:docPartObj>
    </w:sdtPr>
    <w:sdtContent>
      <w:p w14:paraId="67F6F646" w14:textId="7253F966" w:rsidR="00EE6740" w:rsidRDefault="00EE6740" w:rsidP="00262D8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71831">
          <w:rPr>
            <w:rStyle w:val="PageNumber"/>
            <w:noProof/>
          </w:rPr>
          <w:t>2</w:t>
        </w:r>
        <w:r>
          <w:rPr>
            <w:rStyle w:val="PageNumber"/>
          </w:rPr>
          <w:fldChar w:fldCharType="end"/>
        </w:r>
      </w:p>
    </w:sdtContent>
  </w:sdt>
  <w:p w14:paraId="32259CA3" w14:textId="77777777" w:rsidR="00EE6740" w:rsidRDefault="00EE6740" w:rsidP="00EE67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41F34" w14:textId="77777777" w:rsidR="00DB5991" w:rsidRDefault="00DB5991" w:rsidP="00EE6740">
      <w:r>
        <w:separator/>
      </w:r>
    </w:p>
  </w:footnote>
  <w:footnote w:type="continuationSeparator" w:id="0">
    <w:p w14:paraId="3B6CCC08" w14:textId="77777777" w:rsidR="00DB5991" w:rsidRDefault="00DB5991" w:rsidP="00EE6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5E2"/>
    <w:rsid w:val="00024FE3"/>
    <w:rsid w:val="000413A2"/>
    <w:rsid w:val="00042F4A"/>
    <w:rsid w:val="00050D9C"/>
    <w:rsid w:val="0005642E"/>
    <w:rsid w:val="00065EB6"/>
    <w:rsid w:val="0007418F"/>
    <w:rsid w:val="0007738A"/>
    <w:rsid w:val="000852B0"/>
    <w:rsid w:val="00085A87"/>
    <w:rsid w:val="00094605"/>
    <w:rsid w:val="000A2E05"/>
    <w:rsid w:val="000C5B54"/>
    <w:rsid w:val="000D6766"/>
    <w:rsid w:val="000F5507"/>
    <w:rsid w:val="00104343"/>
    <w:rsid w:val="0011151A"/>
    <w:rsid w:val="001201AF"/>
    <w:rsid w:val="00131BCD"/>
    <w:rsid w:val="00137DD6"/>
    <w:rsid w:val="00143FC1"/>
    <w:rsid w:val="00152052"/>
    <w:rsid w:val="001546B9"/>
    <w:rsid w:val="0015796A"/>
    <w:rsid w:val="00164FD0"/>
    <w:rsid w:val="001B34D9"/>
    <w:rsid w:val="001B6524"/>
    <w:rsid w:val="001E6E69"/>
    <w:rsid w:val="001F02D8"/>
    <w:rsid w:val="00221F8E"/>
    <w:rsid w:val="00227F3B"/>
    <w:rsid w:val="00231E6A"/>
    <w:rsid w:val="002425E8"/>
    <w:rsid w:val="00261359"/>
    <w:rsid w:val="002628E7"/>
    <w:rsid w:val="00273A32"/>
    <w:rsid w:val="00286EAD"/>
    <w:rsid w:val="002873F8"/>
    <w:rsid w:val="002A23BA"/>
    <w:rsid w:val="002A4049"/>
    <w:rsid w:val="002B7F56"/>
    <w:rsid w:val="002C3363"/>
    <w:rsid w:val="002D0566"/>
    <w:rsid w:val="002D3DF0"/>
    <w:rsid w:val="002E47A4"/>
    <w:rsid w:val="002F7D17"/>
    <w:rsid w:val="0030090E"/>
    <w:rsid w:val="003015CC"/>
    <w:rsid w:val="003155CC"/>
    <w:rsid w:val="00315D2F"/>
    <w:rsid w:val="003214BD"/>
    <w:rsid w:val="003410DA"/>
    <w:rsid w:val="00345B0C"/>
    <w:rsid w:val="00362B1C"/>
    <w:rsid w:val="00362CE2"/>
    <w:rsid w:val="00367D58"/>
    <w:rsid w:val="00373808"/>
    <w:rsid w:val="0038390F"/>
    <w:rsid w:val="00383EB8"/>
    <w:rsid w:val="003864F4"/>
    <w:rsid w:val="00395CCA"/>
    <w:rsid w:val="00396DA1"/>
    <w:rsid w:val="003A0B69"/>
    <w:rsid w:val="003C3E76"/>
    <w:rsid w:val="003C713E"/>
    <w:rsid w:val="003D3D65"/>
    <w:rsid w:val="003E1ED0"/>
    <w:rsid w:val="00407206"/>
    <w:rsid w:val="004115C0"/>
    <w:rsid w:val="00426D18"/>
    <w:rsid w:val="00432E38"/>
    <w:rsid w:val="004371DC"/>
    <w:rsid w:val="00442341"/>
    <w:rsid w:val="004502F8"/>
    <w:rsid w:val="00462912"/>
    <w:rsid w:val="0046695A"/>
    <w:rsid w:val="004958EB"/>
    <w:rsid w:val="00496A38"/>
    <w:rsid w:val="00497EB2"/>
    <w:rsid w:val="004A5CDC"/>
    <w:rsid w:val="004B18A7"/>
    <w:rsid w:val="004C1E23"/>
    <w:rsid w:val="004C45ED"/>
    <w:rsid w:val="004C4CB3"/>
    <w:rsid w:val="004E35D7"/>
    <w:rsid w:val="004F4A66"/>
    <w:rsid w:val="0050683B"/>
    <w:rsid w:val="00514D73"/>
    <w:rsid w:val="005538D0"/>
    <w:rsid w:val="005603FA"/>
    <w:rsid w:val="00574644"/>
    <w:rsid w:val="00581D29"/>
    <w:rsid w:val="005B672A"/>
    <w:rsid w:val="005C0368"/>
    <w:rsid w:val="005C4F2C"/>
    <w:rsid w:val="005C51D7"/>
    <w:rsid w:val="005D75AD"/>
    <w:rsid w:val="005E24B1"/>
    <w:rsid w:val="005E49AF"/>
    <w:rsid w:val="005F7B40"/>
    <w:rsid w:val="00614CDB"/>
    <w:rsid w:val="00624994"/>
    <w:rsid w:val="00634006"/>
    <w:rsid w:val="00640135"/>
    <w:rsid w:val="00661263"/>
    <w:rsid w:val="0066217F"/>
    <w:rsid w:val="00664FFB"/>
    <w:rsid w:val="00687480"/>
    <w:rsid w:val="00695D4E"/>
    <w:rsid w:val="006A5504"/>
    <w:rsid w:val="006C55DA"/>
    <w:rsid w:val="006D3D57"/>
    <w:rsid w:val="006D4C89"/>
    <w:rsid w:val="006D6280"/>
    <w:rsid w:val="006E40CB"/>
    <w:rsid w:val="006F55C1"/>
    <w:rsid w:val="006F5846"/>
    <w:rsid w:val="0071251E"/>
    <w:rsid w:val="0072531E"/>
    <w:rsid w:val="00736A23"/>
    <w:rsid w:val="00745280"/>
    <w:rsid w:val="00750547"/>
    <w:rsid w:val="00775A7B"/>
    <w:rsid w:val="0077757E"/>
    <w:rsid w:val="007802C7"/>
    <w:rsid w:val="0078258E"/>
    <w:rsid w:val="00784EBB"/>
    <w:rsid w:val="0078502A"/>
    <w:rsid w:val="007A6D5C"/>
    <w:rsid w:val="007B7EF5"/>
    <w:rsid w:val="007C13C9"/>
    <w:rsid w:val="007F1EBF"/>
    <w:rsid w:val="007F3A00"/>
    <w:rsid w:val="007F6D86"/>
    <w:rsid w:val="00807F9D"/>
    <w:rsid w:val="00833DBE"/>
    <w:rsid w:val="008350EC"/>
    <w:rsid w:val="00837C7B"/>
    <w:rsid w:val="0085169E"/>
    <w:rsid w:val="00857DEE"/>
    <w:rsid w:val="00867EEE"/>
    <w:rsid w:val="00872CC8"/>
    <w:rsid w:val="00874227"/>
    <w:rsid w:val="008844D3"/>
    <w:rsid w:val="008A036E"/>
    <w:rsid w:val="008B1A58"/>
    <w:rsid w:val="008C411D"/>
    <w:rsid w:val="008E4E30"/>
    <w:rsid w:val="00910E73"/>
    <w:rsid w:val="009127BD"/>
    <w:rsid w:val="009132B9"/>
    <w:rsid w:val="0091619B"/>
    <w:rsid w:val="00922C0C"/>
    <w:rsid w:val="00922C69"/>
    <w:rsid w:val="00931967"/>
    <w:rsid w:val="00942F22"/>
    <w:rsid w:val="00951DD1"/>
    <w:rsid w:val="00957E58"/>
    <w:rsid w:val="00960D20"/>
    <w:rsid w:val="00970A8A"/>
    <w:rsid w:val="00972ECF"/>
    <w:rsid w:val="00973605"/>
    <w:rsid w:val="0098391F"/>
    <w:rsid w:val="009B5FA4"/>
    <w:rsid w:val="009E51F5"/>
    <w:rsid w:val="009E7250"/>
    <w:rsid w:val="00A15EEF"/>
    <w:rsid w:val="00A2380A"/>
    <w:rsid w:val="00A3200E"/>
    <w:rsid w:val="00A37C9E"/>
    <w:rsid w:val="00A51295"/>
    <w:rsid w:val="00A51BBF"/>
    <w:rsid w:val="00A64172"/>
    <w:rsid w:val="00A702D2"/>
    <w:rsid w:val="00A747A6"/>
    <w:rsid w:val="00AB05F2"/>
    <w:rsid w:val="00AC363B"/>
    <w:rsid w:val="00AC766C"/>
    <w:rsid w:val="00AE75E2"/>
    <w:rsid w:val="00AF080A"/>
    <w:rsid w:val="00AF168D"/>
    <w:rsid w:val="00B07CA7"/>
    <w:rsid w:val="00B162FA"/>
    <w:rsid w:val="00B20153"/>
    <w:rsid w:val="00B40B52"/>
    <w:rsid w:val="00B55347"/>
    <w:rsid w:val="00B55CD6"/>
    <w:rsid w:val="00B61351"/>
    <w:rsid w:val="00B80843"/>
    <w:rsid w:val="00B83E60"/>
    <w:rsid w:val="00B85E6E"/>
    <w:rsid w:val="00B92F87"/>
    <w:rsid w:val="00B9573E"/>
    <w:rsid w:val="00BA0D0F"/>
    <w:rsid w:val="00BA6051"/>
    <w:rsid w:val="00BC10D6"/>
    <w:rsid w:val="00BC1E0F"/>
    <w:rsid w:val="00BC459B"/>
    <w:rsid w:val="00BC4E08"/>
    <w:rsid w:val="00BD0AE3"/>
    <w:rsid w:val="00BE2665"/>
    <w:rsid w:val="00BF74FA"/>
    <w:rsid w:val="00C00DB3"/>
    <w:rsid w:val="00C108C1"/>
    <w:rsid w:val="00C11432"/>
    <w:rsid w:val="00C23AD2"/>
    <w:rsid w:val="00C241BF"/>
    <w:rsid w:val="00C37BE5"/>
    <w:rsid w:val="00C44F4C"/>
    <w:rsid w:val="00C574A2"/>
    <w:rsid w:val="00C91542"/>
    <w:rsid w:val="00C928D4"/>
    <w:rsid w:val="00C93C41"/>
    <w:rsid w:val="00C96442"/>
    <w:rsid w:val="00CA5E9D"/>
    <w:rsid w:val="00CB3006"/>
    <w:rsid w:val="00CB4926"/>
    <w:rsid w:val="00CC77E7"/>
    <w:rsid w:val="00CD171E"/>
    <w:rsid w:val="00CF242B"/>
    <w:rsid w:val="00CF510C"/>
    <w:rsid w:val="00D14498"/>
    <w:rsid w:val="00D258C3"/>
    <w:rsid w:val="00D513AB"/>
    <w:rsid w:val="00D53AE5"/>
    <w:rsid w:val="00D66D7F"/>
    <w:rsid w:val="00D74515"/>
    <w:rsid w:val="00D83EEA"/>
    <w:rsid w:val="00D94798"/>
    <w:rsid w:val="00DA17FE"/>
    <w:rsid w:val="00DB3C00"/>
    <w:rsid w:val="00DB5991"/>
    <w:rsid w:val="00DC2225"/>
    <w:rsid w:val="00DC627B"/>
    <w:rsid w:val="00DD2CEB"/>
    <w:rsid w:val="00DD6C97"/>
    <w:rsid w:val="00DE00FC"/>
    <w:rsid w:val="00DE4A8D"/>
    <w:rsid w:val="00E12DF7"/>
    <w:rsid w:val="00E13BF8"/>
    <w:rsid w:val="00E14A3D"/>
    <w:rsid w:val="00E77C4E"/>
    <w:rsid w:val="00E923EE"/>
    <w:rsid w:val="00EA5673"/>
    <w:rsid w:val="00EC2DCD"/>
    <w:rsid w:val="00ED32E6"/>
    <w:rsid w:val="00ED66D6"/>
    <w:rsid w:val="00EE6740"/>
    <w:rsid w:val="00EF68FB"/>
    <w:rsid w:val="00EF785D"/>
    <w:rsid w:val="00F11955"/>
    <w:rsid w:val="00F25B25"/>
    <w:rsid w:val="00F35F07"/>
    <w:rsid w:val="00F40C3C"/>
    <w:rsid w:val="00F42E72"/>
    <w:rsid w:val="00F634FB"/>
    <w:rsid w:val="00F672C1"/>
    <w:rsid w:val="00F701C6"/>
    <w:rsid w:val="00F71831"/>
    <w:rsid w:val="00F91C95"/>
    <w:rsid w:val="00F9272A"/>
    <w:rsid w:val="00FA724E"/>
    <w:rsid w:val="00FE78EB"/>
    <w:rsid w:val="00FF68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10442"/>
  <w15:chartTrackingRefBased/>
  <w15:docId w15:val="{D921A4C9-43AC-194F-83B0-22FF009B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BodyText"/>
    <w:next w:val="Normal"/>
    <w:link w:val="Heading1Char"/>
    <w:uiPriority w:val="9"/>
    <w:qFormat/>
    <w:rsid w:val="00C241BF"/>
    <w:pPr>
      <w:keepNext/>
      <w:keepLines/>
      <w:widowControl w:val="0"/>
      <w:spacing w:before="240" w:line="480" w:lineRule="auto"/>
      <w:outlineLvl w:val="0"/>
    </w:pPr>
    <w:rPr>
      <w:rFonts w:ascii="Arial" w:eastAsia="SimSun" w:hAnsi="Arial" w:cs="Times New Roman"/>
      <w:b/>
      <w:color w:val="000000"/>
      <w:sz w:val="22"/>
      <w:szCs w:val="22"/>
      <w:lang w:val="x-none" w:eastAsia="x-none"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ang1">
    <w:name w:val="Yang1"/>
    <w:basedOn w:val="Normal"/>
    <w:rsid w:val="00AE75E2"/>
    <w:pPr>
      <w:spacing w:before="60"/>
      <w:ind w:firstLine="288"/>
    </w:pPr>
    <w:rPr>
      <w:rFonts w:ascii="Times New Roman" w:eastAsia="Times" w:hAnsi="Times New Roman" w:cs="Times New Roman"/>
      <w:sz w:val="22"/>
      <w:szCs w:val="20"/>
      <w:lang w:eastAsia="en-US"/>
    </w:rPr>
  </w:style>
  <w:style w:type="character" w:customStyle="1" w:styleId="Heading1Char">
    <w:name w:val="Heading 1 Char"/>
    <w:basedOn w:val="DefaultParagraphFont"/>
    <w:link w:val="Heading1"/>
    <w:uiPriority w:val="9"/>
    <w:rsid w:val="00C241BF"/>
    <w:rPr>
      <w:rFonts w:ascii="Arial" w:eastAsia="SimSun" w:hAnsi="Arial" w:cs="Times New Roman"/>
      <w:b/>
      <w:color w:val="000000"/>
      <w:sz w:val="22"/>
      <w:szCs w:val="22"/>
      <w:lang w:val="x-none" w:eastAsia="x-none" w:bidi="he-IL"/>
    </w:rPr>
  </w:style>
  <w:style w:type="character" w:styleId="CommentReference">
    <w:name w:val="annotation reference"/>
    <w:unhideWhenUsed/>
    <w:rsid w:val="00C241BF"/>
    <w:rPr>
      <w:sz w:val="18"/>
      <w:szCs w:val="18"/>
    </w:rPr>
  </w:style>
  <w:style w:type="paragraph" w:styleId="BodyText">
    <w:name w:val="Body Text"/>
    <w:basedOn w:val="Normal"/>
    <w:link w:val="BodyTextChar"/>
    <w:uiPriority w:val="99"/>
    <w:semiHidden/>
    <w:unhideWhenUsed/>
    <w:rsid w:val="00C241BF"/>
    <w:pPr>
      <w:spacing w:after="120"/>
    </w:pPr>
  </w:style>
  <w:style w:type="character" w:customStyle="1" w:styleId="BodyTextChar">
    <w:name w:val="Body Text Char"/>
    <w:basedOn w:val="DefaultParagraphFont"/>
    <w:link w:val="BodyText"/>
    <w:uiPriority w:val="99"/>
    <w:semiHidden/>
    <w:rsid w:val="00C241BF"/>
  </w:style>
  <w:style w:type="paragraph" w:styleId="BodyTextFirstIndent">
    <w:name w:val="Body Text First Indent"/>
    <w:basedOn w:val="BodyText"/>
    <w:link w:val="BodyTextFirstIndentChar"/>
    <w:uiPriority w:val="99"/>
    <w:semiHidden/>
    <w:unhideWhenUsed/>
    <w:rsid w:val="00CA5E9D"/>
    <w:pPr>
      <w:spacing w:after="0"/>
      <w:ind w:firstLine="360"/>
    </w:pPr>
  </w:style>
  <w:style w:type="character" w:customStyle="1" w:styleId="BodyTextFirstIndentChar">
    <w:name w:val="Body Text First Indent Char"/>
    <w:basedOn w:val="BodyTextChar"/>
    <w:link w:val="BodyTextFirstIndent"/>
    <w:uiPriority w:val="99"/>
    <w:semiHidden/>
    <w:rsid w:val="00CA5E9D"/>
  </w:style>
  <w:style w:type="paragraph" w:styleId="Footer">
    <w:name w:val="footer"/>
    <w:basedOn w:val="Normal"/>
    <w:link w:val="FooterChar"/>
    <w:uiPriority w:val="99"/>
    <w:unhideWhenUsed/>
    <w:rsid w:val="00EE6740"/>
    <w:pPr>
      <w:tabs>
        <w:tab w:val="center" w:pos="4680"/>
        <w:tab w:val="right" w:pos="9360"/>
      </w:tabs>
    </w:pPr>
  </w:style>
  <w:style w:type="character" w:customStyle="1" w:styleId="FooterChar">
    <w:name w:val="Footer Char"/>
    <w:basedOn w:val="DefaultParagraphFont"/>
    <w:link w:val="Footer"/>
    <w:uiPriority w:val="99"/>
    <w:rsid w:val="00EE6740"/>
  </w:style>
  <w:style w:type="character" w:styleId="PageNumber">
    <w:name w:val="page number"/>
    <w:basedOn w:val="DefaultParagraphFont"/>
    <w:uiPriority w:val="99"/>
    <w:semiHidden/>
    <w:unhideWhenUsed/>
    <w:rsid w:val="00EE6740"/>
  </w:style>
  <w:style w:type="paragraph" w:styleId="Header">
    <w:name w:val="header"/>
    <w:basedOn w:val="Normal"/>
    <w:link w:val="HeaderChar"/>
    <w:uiPriority w:val="99"/>
    <w:unhideWhenUsed/>
    <w:rsid w:val="00F35F0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35F07"/>
    <w:rPr>
      <w:sz w:val="18"/>
      <w:szCs w:val="18"/>
    </w:rPr>
  </w:style>
  <w:style w:type="paragraph" w:styleId="Revision">
    <w:name w:val="Revision"/>
    <w:hidden/>
    <w:uiPriority w:val="99"/>
    <w:semiHidden/>
    <w:rsid w:val="004B18A7"/>
  </w:style>
  <w:style w:type="paragraph" w:styleId="BalloonText">
    <w:name w:val="Balloon Text"/>
    <w:basedOn w:val="Normal"/>
    <w:link w:val="BalloonTextChar"/>
    <w:uiPriority w:val="99"/>
    <w:semiHidden/>
    <w:unhideWhenUsed/>
    <w:rsid w:val="00D74515"/>
    <w:rPr>
      <w:sz w:val="18"/>
      <w:szCs w:val="18"/>
    </w:rPr>
  </w:style>
  <w:style w:type="character" w:customStyle="1" w:styleId="BalloonTextChar">
    <w:name w:val="Balloon Text Char"/>
    <w:basedOn w:val="DefaultParagraphFont"/>
    <w:link w:val="BalloonText"/>
    <w:uiPriority w:val="99"/>
    <w:semiHidden/>
    <w:rsid w:val="00D7451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JJ</dc:creator>
  <cp:keywords/>
  <dc:description/>
  <cp:lastModifiedBy>Yang JJ</cp:lastModifiedBy>
  <cp:revision>3</cp:revision>
  <dcterms:created xsi:type="dcterms:W3CDTF">2023-08-03T15:11:00Z</dcterms:created>
  <dcterms:modified xsi:type="dcterms:W3CDTF">2023-08-07T09:09:00Z</dcterms:modified>
</cp:coreProperties>
</file>