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D0E" w:rsidRPr="00DC5AF8" w:rsidRDefault="009B2D0E" w:rsidP="00B632E4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26015780"/>
      <w:r w:rsidRPr="00DC5AF8">
        <w:rPr>
          <w:rFonts w:asciiTheme="majorBidi" w:hAnsiTheme="majorBidi" w:cstheme="majorBidi"/>
          <w:b/>
          <w:bCs/>
          <w:sz w:val="32"/>
          <w:szCs w:val="32"/>
        </w:rPr>
        <w:t>Homogentisate 1,2-dioxygenase (</w:t>
      </w:r>
      <w:r w:rsidRPr="00DC5AF8">
        <w:rPr>
          <w:rFonts w:asciiTheme="majorBidi" w:hAnsiTheme="majorBidi" w:cstheme="majorBidi"/>
          <w:b/>
          <w:bCs/>
          <w:i/>
          <w:iCs/>
          <w:sz w:val="32"/>
          <w:szCs w:val="32"/>
        </w:rPr>
        <w:t>HGD</w:t>
      </w:r>
      <w:r w:rsidRPr="00DC5AF8">
        <w:rPr>
          <w:rFonts w:asciiTheme="majorBidi" w:hAnsiTheme="majorBidi" w:cstheme="majorBidi"/>
          <w:b/>
          <w:bCs/>
          <w:sz w:val="32"/>
          <w:szCs w:val="32"/>
        </w:rPr>
        <w:t xml:space="preserve">) gene variants in </w:t>
      </w:r>
      <w:r w:rsidR="00B632E4" w:rsidRPr="00DC5AF8">
        <w:rPr>
          <w:rFonts w:asciiTheme="majorBidi" w:hAnsiTheme="majorBidi" w:cstheme="majorBidi"/>
          <w:b/>
          <w:bCs/>
          <w:sz w:val="32"/>
          <w:szCs w:val="32"/>
        </w:rPr>
        <w:t xml:space="preserve">young </w:t>
      </w:r>
      <w:r w:rsidRPr="00DC5AF8">
        <w:rPr>
          <w:rFonts w:asciiTheme="majorBidi" w:hAnsiTheme="majorBidi" w:cstheme="majorBidi"/>
          <w:b/>
          <w:bCs/>
          <w:sz w:val="32"/>
          <w:szCs w:val="32"/>
        </w:rPr>
        <w:t xml:space="preserve">Egyptian </w:t>
      </w:r>
      <w:r w:rsidR="00B632E4" w:rsidRPr="00DC5AF8">
        <w:rPr>
          <w:rFonts w:asciiTheme="majorBidi" w:hAnsiTheme="majorBidi" w:cstheme="majorBidi"/>
          <w:b/>
          <w:bCs/>
          <w:sz w:val="32"/>
          <w:szCs w:val="32"/>
        </w:rPr>
        <w:t xml:space="preserve">patients </w:t>
      </w:r>
      <w:r w:rsidR="00B632E4">
        <w:rPr>
          <w:rFonts w:asciiTheme="majorBidi" w:hAnsiTheme="majorBidi" w:cstheme="majorBidi"/>
          <w:b/>
          <w:bCs/>
          <w:sz w:val="32"/>
          <w:szCs w:val="32"/>
        </w:rPr>
        <w:t xml:space="preserve">with </w:t>
      </w:r>
      <w:r w:rsidRPr="00DC5AF8">
        <w:rPr>
          <w:rFonts w:asciiTheme="majorBidi" w:hAnsiTheme="majorBidi" w:cstheme="majorBidi"/>
          <w:b/>
          <w:bCs/>
          <w:sz w:val="32"/>
          <w:szCs w:val="32"/>
        </w:rPr>
        <w:t>alkaptonuria</w:t>
      </w:r>
    </w:p>
    <w:bookmarkEnd w:id="0"/>
    <w:p w:rsidR="009B2D0E" w:rsidRPr="00DC5AF8" w:rsidRDefault="009B2D0E" w:rsidP="009B2D0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B2D0E" w:rsidRPr="00DC5AF8" w:rsidRDefault="009B2D0E" w:rsidP="009B2D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5AF8">
        <w:rPr>
          <w:rFonts w:ascii="Times New Roman" w:hAnsi="Times New Roman" w:cs="Times New Roman"/>
          <w:b/>
          <w:bCs/>
          <w:sz w:val="24"/>
          <w:szCs w:val="24"/>
        </w:rPr>
        <w:t>Zeinab S. Abdelkhalek</w:t>
      </w:r>
      <w:r w:rsidRPr="00DC5AF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1, </w:t>
      </w:r>
      <w:r w:rsidRPr="00DC5AF8">
        <w:rPr>
          <w:rFonts w:ascii="Times New Roman" w:hAnsi="Times New Roman" w:cs="Times New Roman"/>
          <w:b/>
          <w:bCs/>
          <w:sz w:val="24"/>
          <w:szCs w:val="24"/>
        </w:rPr>
        <w:t>*, Iman G. Mahmoud</w:t>
      </w:r>
      <w:r w:rsidRPr="00DC5AF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DC5AF8">
        <w:rPr>
          <w:rFonts w:ascii="Times New Roman" w:hAnsi="Times New Roman" w:cs="Times New Roman"/>
          <w:b/>
          <w:bCs/>
          <w:sz w:val="24"/>
          <w:szCs w:val="24"/>
        </w:rPr>
        <w:t>, Heba Omair</w:t>
      </w:r>
      <w:r w:rsidRPr="00DC5AF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DC5AF8">
        <w:rPr>
          <w:rFonts w:ascii="Times New Roman" w:hAnsi="Times New Roman" w:cs="Times New Roman"/>
          <w:b/>
          <w:bCs/>
          <w:sz w:val="24"/>
          <w:szCs w:val="24"/>
        </w:rPr>
        <w:t>, Mohamed Abdulhay</w:t>
      </w:r>
      <w:r w:rsidRPr="00DC5AF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DC5AF8">
        <w:rPr>
          <w:rFonts w:ascii="Times New Roman" w:hAnsi="Times New Roman" w:cs="Times New Roman"/>
          <w:b/>
          <w:bCs/>
          <w:sz w:val="24"/>
          <w:szCs w:val="24"/>
        </w:rPr>
        <w:t>, Mohamed A. Elmonem</w:t>
      </w:r>
      <w:r w:rsidRPr="00DC5AF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:rsidR="009B2D0E" w:rsidRPr="00DC5AF8" w:rsidRDefault="009B2D0E" w:rsidP="009B2D0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B2D0E" w:rsidRPr="00DC5AF8" w:rsidRDefault="009B2D0E" w:rsidP="009B2D0E">
      <w:pPr>
        <w:rPr>
          <w:rFonts w:ascii="Times New Roman" w:hAnsi="Times New Roman" w:cs="Times New Roman"/>
        </w:rPr>
      </w:pPr>
      <w:r w:rsidRPr="00DC5AF8">
        <w:rPr>
          <w:rFonts w:ascii="Times New Roman" w:hAnsi="Times New Roman" w:cs="Times New Roman"/>
          <w:vertAlign w:val="superscript"/>
        </w:rPr>
        <w:t>1</w:t>
      </w:r>
      <w:r w:rsidRPr="00DC5AF8">
        <w:rPr>
          <w:rFonts w:ascii="Times New Roman" w:hAnsi="Times New Roman" w:cs="Times New Roman"/>
        </w:rPr>
        <w:t xml:space="preserve"> Clinical and Chemical Pathology Department, Faculty of Medicine, Cairo University, Cairo, Egypt</w:t>
      </w:r>
    </w:p>
    <w:p w:rsidR="009B2D0E" w:rsidRPr="00DC5AF8" w:rsidRDefault="009B2D0E" w:rsidP="009B2D0E">
      <w:pPr>
        <w:rPr>
          <w:rFonts w:ascii="Times New Roman" w:hAnsi="Times New Roman" w:cs="Times New Roman"/>
        </w:rPr>
      </w:pPr>
      <w:bookmarkStart w:id="1" w:name="_Hlk123073676"/>
      <w:r w:rsidRPr="00DC5AF8">
        <w:rPr>
          <w:rFonts w:ascii="Times New Roman" w:hAnsi="Times New Roman" w:cs="Times New Roman"/>
          <w:vertAlign w:val="superscript"/>
        </w:rPr>
        <w:t>2</w:t>
      </w:r>
      <w:bookmarkStart w:id="2" w:name="_Hlk123073596"/>
      <w:bookmarkEnd w:id="1"/>
      <w:bookmarkEnd w:id="2"/>
      <w:r w:rsidR="001D4D83">
        <w:rPr>
          <w:rFonts w:asciiTheme="majorBidi" w:hAnsiTheme="majorBidi" w:cstheme="majorBidi"/>
        </w:rPr>
        <w:t xml:space="preserve"> </w:t>
      </w:r>
      <w:r w:rsidR="009325B5" w:rsidRPr="00DC5AF8">
        <w:rPr>
          <w:rFonts w:asciiTheme="majorBidi" w:hAnsiTheme="majorBidi" w:cstheme="majorBidi"/>
        </w:rPr>
        <w:t>Pediatrics Neurology Department, Metabolic Division, Faculty of Medicine, Cairo University Children’s Hospital, Cairo, Egypt</w:t>
      </w:r>
    </w:p>
    <w:p w:rsidR="009B2D0E" w:rsidRPr="00DC5AF8" w:rsidRDefault="009B2D0E" w:rsidP="009B2D0E">
      <w:pPr>
        <w:rPr>
          <w:rFonts w:ascii="Times New Roman" w:hAnsi="Times New Roman" w:cs="Times New Roman"/>
        </w:rPr>
      </w:pPr>
      <w:r w:rsidRPr="00DC5AF8">
        <w:rPr>
          <w:rFonts w:ascii="Times New Roman" w:hAnsi="Times New Roman" w:cs="Times New Roman"/>
          <w:vertAlign w:val="superscript"/>
        </w:rPr>
        <w:t>3</w:t>
      </w:r>
      <w:r w:rsidR="001D4D83">
        <w:rPr>
          <w:rFonts w:ascii="Times New Roman" w:hAnsi="Times New Roman" w:cs="Times New Roman"/>
          <w:vertAlign w:val="superscript"/>
        </w:rPr>
        <w:t xml:space="preserve"> </w:t>
      </w:r>
      <w:r w:rsidRPr="00DC5AF8">
        <w:rPr>
          <w:rFonts w:ascii="Times New Roman" w:hAnsi="Times New Roman" w:cs="Times New Roman"/>
        </w:rPr>
        <w:t>Pediatrics Department, Faculty of Medicine, Helwan University, Cairo, Egypt</w:t>
      </w: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B632E4" w:rsidRPr="00DC5AF8" w:rsidRDefault="00B632E4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9B2D0E" w:rsidRPr="00DC5AF8" w:rsidRDefault="009B2D0E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8B1DE1" w:rsidRPr="00DC5AF8" w:rsidRDefault="008B1DE1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DC5AF8">
        <w:rPr>
          <w:rFonts w:asciiTheme="majorBidi" w:hAnsiTheme="majorBidi" w:cstheme="majorBidi"/>
          <w:sz w:val="28"/>
          <w:szCs w:val="28"/>
        </w:rPr>
        <w:lastRenderedPageBreak/>
        <w:t xml:space="preserve">Supplementary Table1: PCR primers for genomic amplification of the human </w:t>
      </w:r>
      <w:r w:rsidRPr="00DC5AF8">
        <w:rPr>
          <w:rFonts w:asciiTheme="majorBidi" w:hAnsiTheme="majorBidi" w:cstheme="majorBidi"/>
          <w:i/>
          <w:iCs/>
          <w:sz w:val="28"/>
          <w:szCs w:val="28"/>
        </w:rPr>
        <w:t>HGD</w:t>
      </w:r>
      <w:r w:rsidRPr="00DC5AF8">
        <w:rPr>
          <w:rFonts w:asciiTheme="majorBidi" w:hAnsiTheme="majorBidi" w:cstheme="majorBidi"/>
          <w:sz w:val="28"/>
          <w:szCs w:val="28"/>
        </w:rPr>
        <w:t xml:space="preserve"> exons</w:t>
      </w:r>
    </w:p>
    <w:p w:rsidR="008B1DE1" w:rsidRPr="00DC5AF8" w:rsidRDefault="008B1DE1" w:rsidP="008B1DE1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DC5AF8">
        <w:rPr>
          <w:rFonts w:asciiTheme="majorBidi" w:hAnsiTheme="majorBidi" w:cstheme="majorBidi"/>
          <w:sz w:val="28"/>
          <w:szCs w:val="28"/>
        </w:rPr>
        <w:t xml:space="preserve"> (5’ → 3’).</w:t>
      </w:r>
    </w:p>
    <w:tbl>
      <w:tblPr>
        <w:tblStyle w:val="TableGrid1"/>
        <w:tblW w:w="9214" w:type="dxa"/>
        <w:tblLayout w:type="fixed"/>
        <w:tblLook w:val="04A0"/>
      </w:tblPr>
      <w:tblGrid>
        <w:gridCol w:w="992"/>
        <w:gridCol w:w="1559"/>
        <w:gridCol w:w="3261"/>
        <w:gridCol w:w="1134"/>
        <w:gridCol w:w="1263"/>
        <w:gridCol w:w="1005"/>
      </w:tblGrid>
      <w:tr w:rsidR="00D40481" w:rsidRPr="00DC5AF8" w:rsidTr="003D5F77">
        <w:trPr>
          <w:trHeight w:val="434"/>
        </w:trPr>
        <w:tc>
          <w:tcPr>
            <w:tcW w:w="992" w:type="dxa"/>
            <w:vAlign w:val="center"/>
          </w:tcPr>
          <w:p w:rsidR="00D40481" w:rsidRPr="00DC5AF8" w:rsidRDefault="00D40481" w:rsidP="00E84E5A">
            <w:pPr>
              <w:jc w:val="center"/>
              <w:rPr>
                <w:rFonts w:ascii="Calibri" w:eastAsia="Calibri" w:hAnsi="Calibri" w:cs="Arial"/>
                <w:b/>
                <w:sz w:val="20"/>
              </w:rPr>
            </w:pPr>
            <w:r w:rsidRPr="00DC5AF8">
              <w:rPr>
                <w:rFonts w:ascii="Calibri" w:eastAsia="Calibri" w:hAnsi="Calibri" w:cs="Arial"/>
                <w:b/>
                <w:sz w:val="20"/>
              </w:rPr>
              <w:t>Primer location</w:t>
            </w:r>
          </w:p>
        </w:tc>
        <w:tc>
          <w:tcPr>
            <w:tcW w:w="1559" w:type="dxa"/>
            <w:vAlign w:val="center"/>
          </w:tcPr>
          <w:p w:rsidR="00D40481" w:rsidRPr="00DC5AF8" w:rsidRDefault="00D40481" w:rsidP="00E84E5A">
            <w:pPr>
              <w:jc w:val="center"/>
              <w:rPr>
                <w:rFonts w:ascii="Calibri" w:eastAsia="Calibri" w:hAnsi="Calibri" w:cs="Arial"/>
                <w:b/>
                <w:sz w:val="20"/>
              </w:rPr>
            </w:pPr>
            <w:r w:rsidRPr="00DC5AF8">
              <w:rPr>
                <w:rFonts w:ascii="Calibri" w:eastAsia="Calibri" w:hAnsi="Calibri" w:cs="Arial"/>
                <w:b/>
                <w:sz w:val="20"/>
              </w:rPr>
              <w:t>Primer Name</w:t>
            </w:r>
          </w:p>
        </w:tc>
        <w:tc>
          <w:tcPr>
            <w:tcW w:w="3261" w:type="dxa"/>
            <w:vAlign w:val="center"/>
          </w:tcPr>
          <w:p w:rsidR="00D40481" w:rsidRPr="00DC5AF8" w:rsidRDefault="00D40481" w:rsidP="00E84E5A">
            <w:pPr>
              <w:bidi/>
              <w:jc w:val="center"/>
              <w:rPr>
                <w:rFonts w:ascii="Calibri" w:eastAsia="Calibri" w:hAnsi="Calibri" w:cs="Arial"/>
                <w:b/>
                <w:sz w:val="20"/>
                <w:lang w:val="pt-BR"/>
              </w:rPr>
            </w:pPr>
            <w:r w:rsidRPr="00DC5AF8">
              <w:rPr>
                <w:rFonts w:ascii="Calibri" w:eastAsia="Calibri" w:hAnsi="Calibri" w:cs="Arial"/>
                <w:b/>
                <w:sz w:val="20"/>
                <w:lang w:val="pt-BR"/>
              </w:rPr>
              <w:t>Primer sequence</w:t>
            </w:r>
          </w:p>
        </w:tc>
        <w:tc>
          <w:tcPr>
            <w:tcW w:w="1134" w:type="dxa"/>
          </w:tcPr>
          <w:p w:rsidR="00D40481" w:rsidRPr="00DC5AF8" w:rsidRDefault="009833D1" w:rsidP="00E84E5A">
            <w:pPr>
              <w:jc w:val="center"/>
              <w:rPr>
                <w:rFonts w:ascii="Calibri" w:eastAsia="Calibri" w:hAnsi="Calibri" w:cs="Arial"/>
                <w:b/>
                <w:sz w:val="20"/>
                <w:lang w:bidi="ar-EG"/>
              </w:rPr>
            </w:pPr>
            <w:r w:rsidRPr="00DC5AF8">
              <w:rPr>
                <w:rFonts w:ascii="Calibri" w:eastAsia="Calibri" w:hAnsi="Calibri" w:cs="Arial"/>
                <w:b/>
                <w:sz w:val="20"/>
                <w:lang w:bidi="ar-EG"/>
              </w:rPr>
              <w:t>Number of bases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bidi/>
              <w:jc w:val="center"/>
              <w:rPr>
                <w:rFonts w:ascii="Calibri" w:eastAsia="Calibri" w:hAnsi="Calibri" w:cs="Arial"/>
                <w:b/>
                <w:sz w:val="20"/>
                <w:lang w:val="pt-BR"/>
              </w:rPr>
            </w:pPr>
            <w:r w:rsidRPr="00DC5AF8">
              <w:rPr>
                <w:rFonts w:ascii="Calibri" w:eastAsia="Calibri" w:hAnsi="Calibri" w:cs="Arial"/>
                <w:b/>
                <w:sz w:val="20"/>
                <w:lang w:val="pt-BR"/>
              </w:rPr>
              <w:t>Annealing temperture</w:t>
            </w:r>
          </w:p>
        </w:tc>
        <w:tc>
          <w:tcPr>
            <w:tcW w:w="1005" w:type="dxa"/>
            <w:vAlign w:val="center"/>
          </w:tcPr>
          <w:p w:rsidR="00D40481" w:rsidRPr="00DC5AF8" w:rsidRDefault="00D40481" w:rsidP="00E84E5A">
            <w:pPr>
              <w:bidi/>
              <w:jc w:val="center"/>
              <w:rPr>
                <w:rFonts w:ascii="Calibri" w:eastAsia="Calibri" w:hAnsi="Calibri" w:cs="Arial"/>
                <w:b/>
                <w:sz w:val="20"/>
                <w:lang w:val="pt-BR"/>
              </w:rPr>
            </w:pPr>
            <w:r w:rsidRPr="00DC5AF8">
              <w:rPr>
                <w:rFonts w:ascii="Calibri" w:eastAsia="Calibri" w:hAnsi="Calibri" w:cs="Arial"/>
                <w:b/>
                <w:sz w:val="20"/>
                <w:lang w:val="pt-BR"/>
              </w:rPr>
              <w:t>Amplicon size (bp)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</w:t>
            </w: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t-BR"/>
              </w:rPr>
              <w:t xml:space="preserve"> 1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CCCTGTGTATGAGTTAGACA</w:t>
            </w:r>
          </w:p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294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lang w:bidi="ar-EG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lang w:bidi="ar-EG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CTCTAAGTCTTTTCCAACTCTG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lang w:bidi="ar-EG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Exon2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HGD_EX2_F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GCAATATCCAGCACTCTTCTGA </w:t>
            </w:r>
          </w:p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63" w:type="dxa"/>
          </w:tcPr>
          <w:p w:rsidR="00D40481" w:rsidRPr="00DC5AF8" w:rsidRDefault="00BF2E08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57.7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437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lang w:bidi="ar-EG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lang w:bidi="ar-EG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HGD_EX2_R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CCCCTATGACTTGGGAAACC</w:t>
            </w:r>
          </w:p>
          <w:p w:rsidR="00D40481" w:rsidRPr="00DC5AF8" w:rsidRDefault="00D40481" w:rsidP="00E84E5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lang w:bidi="ar-EG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Calibri" w:eastAsia="Calibri" w:hAnsi="Calibri" w:cs="Arial"/>
                <w:lang w:bidi="ar-EG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Calibri" w:eastAsia="Calibri" w:hAnsi="Calibri" w:cs="Arial"/>
                <w:lang w:bidi="ar-EG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Calibri" w:eastAsia="Calibri" w:hAnsi="Calibri" w:cs="Arial"/>
                <w:lang w:bidi="ar-EG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Exon3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HGD_EX3_F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GGGGCAAGTCACATCAAAAG </w:t>
            </w:r>
          </w:p>
          <w:p w:rsidR="00D40481" w:rsidRPr="00DC5AF8" w:rsidRDefault="00D40481" w:rsidP="00E84E5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64.6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415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HGD_EX3_R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GCTGGCAGGAAGTTCATTCT </w:t>
            </w:r>
          </w:p>
          <w:p w:rsidR="00D40481" w:rsidRPr="00DC5AF8" w:rsidRDefault="00D40481" w:rsidP="00E84E5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lang w:bidi="ar-EG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Calibri" w:eastAsia="Calibri" w:hAnsi="Calibri" w:cs="Arial"/>
                <w:lang w:bidi="ar-EG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Calibri" w:eastAsia="Calibri" w:hAnsi="Calibri" w:cs="Arial"/>
                <w:lang w:bidi="ar-EG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Calibri" w:eastAsia="Calibri" w:hAnsi="Calibri" w:cs="Arial"/>
                <w:lang w:bidi="ar-EG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Exon4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HGD_EX4_F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TTGGCAGCATGGAAATAACC</w:t>
            </w:r>
          </w:p>
          <w:p w:rsidR="00D40481" w:rsidRPr="00DC5AF8" w:rsidRDefault="00D40481" w:rsidP="00E84E5A">
            <w:pPr>
              <w:autoSpaceDE w:val="0"/>
              <w:autoSpaceDN w:val="0"/>
              <w:bidi/>
              <w:adjustRightInd w:val="0"/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BF2E08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56.6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514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  <w:rtl/>
                <w:lang w:bidi="ar-EG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HGD_EX4_R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TGAGCAGAAAACAGACACACT</w:t>
            </w:r>
          </w:p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Exon5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  <w:rtl/>
                <w:lang w:bidi="ar-EG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HGD_EX5_F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AAAACTCACTGATGTGCCTGG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63" w:type="dxa"/>
          </w:tcPr>
          <w:p w:rsidR="00D40481" w:rsidRPr="00DC5AF8" w:rsidRDefault="00BF2E08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58.5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526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HGD_EX5_R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TTGTCTCTGCTGCCTCCT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Exon6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HGD_EX6_F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ATGAGTCAGTAAATTCAGGCTC</w:t>
            </w:r>
          </w:p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64.6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471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HGD_EX6_R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GATGTTCAGTCAAGATAAATGCC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Exon7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HGD_EX7_F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GTCGCTATTCTTTCATTCCCTC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532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HGD_EX7_R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GTCCAGAAGAGATGGGCAAA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Exon8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HGD_EX8_F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CCCCTTTTTGACCATGTCAC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473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HGD_EX8_R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CTCAGATTCCCTCCTCGTTG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Exon9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HGD_EX9_F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CATGTTTGCTCTGGTCACCT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HGD_EX9_R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TTTTCTGGGAAGACACTTGGTC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Exon10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HGD_EX10_F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CTCTCTTCCCTTCCCCTCAC </w:t>
            </w:r>
          </w:p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551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HGD_EX10_R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TTTGTAGTGCCGTAGTGGTATGA </w:t>
            </w:r>
          </w:p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Exon11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HGD_EX11_F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ATACTTCTCCCAAAGGACGG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63.1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396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HGD_EX11_R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CTCCCTCACCAAAGGACAAA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Exon12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HGD_EX12_F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CCCTACCCCAAACCTCAGTA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BF2E08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58.2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595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HGD_EX12_R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CACGAGCCAAATGAACCTCT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Exon13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HGD_EX13_F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TGCCAAGAATGCCAATATGA</w:t>
            </w:r>
          </w:p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477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HGD_EX13_R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CCTCTTTTGACTCTTCCTCTG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Exon14</w:t>
            </w: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HGD_EX14_F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TTGTACCAGGTCTCACCAG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63" w:type="dxa"/>
          </w:tcPr>
          <w:p w:rsidR="00D40481" w:rsidRPr="00DC5AF8" w:rsidRDefault="00BF2E08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58.7</w:t>
            </w: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610</w:t>
            </w:r>
          </w:p>
        </w:tc>
      </w:tr>
      <w:tr w:rsidR="00D40481" w:rsidRPr="00DC5AF8" w:rsidTr="003D5F77">
        <w:trPr>
          <w:trHeight w:hRule="exact" w:val="251"/>
        </w:trPr>
        <w:tc>
          <w:tcPr>
            <w:tcW w:w="992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HGD_EX14_R</w:t>
            </w:r>
          </w:p>
        </w:tc>
        <w:tc>
          <w:tcPr>
            <w:tcW w:w="3261" w:type="dxa"/>
          </w:tcPr>
          <w:p w:rsidR="00D40481" w:rsidRPr="00DC5AF8" w:rsidRDefault="00D40481" w:rsidP="00E84E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CTGCCAGGTTTGTCTCATCA</w:t>
            </w:r>
          </w:p>
        </w:tc>
        <w:tc>
          <w:tcPr>
            <w:tcW w:w="1134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5AF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3" w:type="dxa"/>
          </w:tcPr>
          <w:p w:rsidR="00D40481" w:rsidRPr="00DC5AF8" w:rsidRDefault="00D40481" w:rsidP="00D4048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D40481" w:rsidRPr="00DC5AF8" w:rsidRDefault="00D40481" w:rsidP="009833D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C4516A" w:rsidRPr="00DC5AF8" w:rsidRDefault="00C4516A"/>
    <w:p w:rsidR="00823956" w:rsidRPr="00DC5AF8" w:rsidRDefault="00823956" w:rsidP="00823956">
      <w:pPr>
        <w:jc w:val="center"/>
      </w:pPr>
      <w:r w:rsidRPr="00DC5AF8">
        <w:rPr>
          <w:noProof/>
        </w:rPr>
        <w:lastRenderedPageBreak/>
        <w:drawing>
          <wp:inline distT="0" distB="0" distL="0" distR="0">
            <wp:extent cx="4514850" cy="47815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A6B" w:rsidRPr="00DC5AF8" w:rsidRDefault="00A21A6B" w:rsidP="001739CF">
      <w:pPr>
        <w:rPr>
          <w:rFonts w:asciiTheme="majorBidi" w:hAnsiTheme="majorBidi" w:cstheme="majorBidi"/>
          <w:sz w:val="28"/>
          <w:szCs w:val="28"/>
        </w:rPr>
      </w:pPr>
    </w:p>
    <w:p w:rsidR="001739CF" w:rsidRPr="00823956" w:rsidRDefault="001739CF" w:rsidP="001739CF">
      <w:pPr>
        <w:rPr>
          <w:rFonts w:asciiTheme="majorBidi" w:hAnsiTheme="majorBidi" w:cstheme="majorBidi"/>
          <w:sz w:val="28"/>
          <w:szCs w:val="28"/>
        </w:rPr>
      </w:pPr>
      <w:r w:rsidRPr="00DC5AF8">
        <w:rPr>
          <w:rFonts w:asciiTheme="majorBidi" w:hAnsiTheme="majorBidi" w:cstheme="majorBidi"/>
          <w:sz w:val="28"/>
          <w:szCs w:val="28"/>
        </w:rPr>
        <w:t xml:space="preserve">Supplementary Figure 1: Demographic location of </w:t>
      </w:r>
      <w:r w:rsidR="00A21A6B" w:rsidRPr="00DC5AF8">
        <w:rPr>
          <w:rFonts w:asciiTheme="majorBidi" w:hAnsiTheme="majorBidi" w:cstheme="majorBidi"/>
          <w:sz w:val="28"/>
          <w:szCs w:val="28"/>
        </w:rPr>
        <w:t xml:space="preserve">reported </w:t>
      </w:r>
      <w:r w:rsidRPr="00DC5AF8">
        <w:rPr>
          <w:rFonts w:asciiTheme="majorBidi" w:hAnsiTheme="majorBidi" w:cstheme="majorBidi"/>
          <w:sz w:val="28"/>
          <w:szCs w:val="28"/>
        </w:rPr>
        <w:t>AKU families within Egypt.</w:t>
      </w:r>
    </w:p>
    <w:p w:rsidR="00823956" w:rsidRPr="00823956" w:rsidRDefault="00823956" w:rsidP="00823956">
      <w:pPr>
        <w:tabs>
          <w:tab w:val="left" w:pos="1155"/>
        </w:tabs>
      </w:pPr>
    </w:p>
    <w:sectPr w:rsidR="00823956" w:rsidRPr="00823956" w:rsidSect="00D83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71A" w:rsidRDefault="005E071A" w:rsidP="00823956">
      <w:pPr>
        <w:spacing w:after="0" w:line="240" w:lineRule="auto"/>
      </w:pPr>
      <w:r>
        <w:separator/>
      </w:r>
    </w:p>
  </w:endnote>
  <w:endnote w:type="continuationSeparator" w:id="1">
    <w:p w:rsidR="005E071A" w:rsidRDefault="005E071A" w:rsidP="00823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71A" w:rsidRDefault="005E071A" w:rsidP="00823956">
      <w:pPr>
        <w:spacing w:after="0" w:line="240" w:lineRule="auto"/>
      </w:pPr>
      <w:r>
        <w:separator/>
      </w:r>
    </w:p>
  </w:footnote>
  <w:footnote w:type="continuationSeparator" w:id="1">
    <w:p w:rsidR="005E071A" w:rsidRDefault="005E071A" w:rsidP="008239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1DE1"/>
    <w:rsid w:val="000861CE"/>
    <w:rsid w:val="001739CF"/>
    <w:rsid w:val="001965D0"/>
    <w:rsid w:val="001D4D83"/>
    <w:rsid w:val="001E5FF8"/>
    <w:rsid w:val="00324015"/>
    <w:rsid w:val="00362147"/>
    <w:rsid w:val="003D5F77"/>
    <w:rsid w:val="005E071A"/>
    <w:rsid w:val="00627FCF"/>
    <w:rsid w:val="007E0769"/>
    <w:rsid w:val="00823956"/>
    <w:rsid w:val="00831B57"/>
    <w:rsid w:val="008B1DE1"/>
    <w:rsid w:val="008B56CD"/>
    <w:rsid w:val="009325B5"/>
    <w:rsid w:val="009772D3"/>
    <w:rsid w:val="009833D1"/>
    <w:rsid w:val="009B2D0E"/>
    <w:rsid w:val="00A21A6B"/>
    <w:rsid w:val="00A70FFC"/>
    <w:rsid w:val="00AD7AA4"/>
    <w:rsid w:val="00B632E4"/>
    <w:rsid w:val="00BE1C24"/>
    <w:rsid w:val="00BF2E08"/>
    <w:rsid w:val="00C424FD"/>
    <w:rsid w:val="00C4516A"/>
    <w:rsid w:val="00D40481"/>
    <w:rsid w:val="00D814A4"/>
    <w:rsid w:val="00D833B5"/>
    <w:rsid w:val="00DC5AF8"/>
    <w:rsid w:val="00E06D76"/>
    <w:rsid w:val="00E1283B"/>
    <w:rsid w:val="00E57B20"/>
    <w:rsid w:val="00E72CFB"/>
    <w:rsid w:val="00E84E5A"/>
    <w:rsid w:val="00F41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DE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DE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8B1D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B1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23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56"/>
  </w:style>
  <w:style w:type="paragraph" w:styleId="Footer">
    <w:name w:val="footer"/>
    <w:basedOn w:val="Normal"/>
    <w:link w:val="FooterChar"/>
    <w:uiPriority w:val="99"/>
    <w:unhideWhenUsed/>
    <w:rsid w:val="00823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956"/>
  </w:style>
  <w:style w:type="paragraph" w:styleId="BalloonText">
    <w:name w:val="Balloon Text"/>
    <w:basedOn w:val="Normal"/>
    <w:link w:val="BalloonTextChar"/>
    <w:uiPriority w:val="99"/>
    <w:semiHidden/>
    <w:unhideWhenUsed/>
    <w:rsid w:val="00A21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A6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06D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monem</dc:creator>
  <cp:lastModifiedBy>pc</cp:lastModifiedBy>
  <cp:revision>2</cp:revision>
  <dcterms:created xsi:type="dcterms:W3CDTF">2023-07-22T16:42:00Z</dcterms:created>
  <dcterms:modified xsi:type="dcterms:W3CDTF">2023-07-22T16:42:00Z</dcterms:modified>
</cp:coreProperties>
</file>