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7BC6B" w14:textId="77777777" w:rsidR="00C3249E" w:rsidRDefault="00000000">
      <w:pPr>
        <w:spacing w:after="28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Supplementary Material for </w:t>
      </w:r>
    </w:p>
    <w:p w14:paraId="034437A1" w14:textId="77777777" w:rsidR="00C3249E" w:rsidRDefault="00000000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Beyond the effects of HIV infection and integrase strand transfer inhibitors-based therapies on the oral bacteriome</w:t>
      </w:r>
    </w:p>
    <w:p w14:paraId="6B16DE66" w14:textId="77777777" w:rsidR="00C3249E" w:rsidRDefault="00000000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Villoslada-Blanco Pablo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Pérez-Matute Patricia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*, Recio-Fernández Emma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Íñiguez María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Blanco-Navarrete Pilar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Metola Luis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Ibarra Valvanera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Alba Jorge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de Toro María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, Oteo José 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5ED0C3" w14:textId="77777777" w:rsidR="00C3249E" w:rsidRDefault="00C3249E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3B7BB45D" w14:textId="77777777" w:rsidR="00C3249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Infectous Diseases, Microbiota and Metabolism Unit. Infectious Diseases Department. Center for Biomedical Research of La Rioja (CIBIR), Logroño, La Rioja, Spain. </w:t>
      </w:r>
    </w:p>
    <w:p w14:paraId="13C3205D" w14:textId="77777777" w:rsidR="00C3249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Centro de Salud Siete Infantes de Lara, Logroño, La Rioja, Spain.</w:t>
      </w:r>
    </w:p>
    <w:p w14:paraId="3FBD5BB0" w14:textId="77777777" w:rsidR="00C3249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Infectious Diseases Department. Hospital Universitario San Pedro, Logroño, La Rioja, Spain.</w:t>
      </w:r>
    </w:p>
    <w:p w14:paraId="5E7348DA" w14:textId="77777777" w:rsidR="00C3249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Genomics and Bioinformatics Platform. Center for Biomedical Research of La Rioja (CIBIR), Logroño, La Rioja, Spain.</w:t>
      </w:r>
    </w:p>
    <w:p w14:paraId="07BEABD7" w14:textId="77777777" w:rsidR="00C3249E" w:rsidRDefault="00C3249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D30603" w14:textId="77777777" w:rsidR="00C3249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  <w:vertAlign w:val="superscript"/>
        </w:rPr>
        <w:t>§</w:t>
      </w:r>
      <w:r>
        <w:rPr>
          <w:rFonts w:ascii="Times New Roman" w:eastAsia="Times New Roman" w:hAnsi="Times New Roman" w:cs="Times New Roman"/>
          <w:sz w:val="24"/>
          <w:szCs w:val="24"/>
        </w:rPr>
        <w:t>Corresponding author: Patricia Pérez-Matute</w:t>
      </w:r>
    </w:p>
    <w:p w14:paraId="129A6FB1" w14:textId="77777777" w:rsidR="00C3249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Infectious Diseases, Microbiota and Metabolism Unit. Infectious Diseases Department, Center for Biomedical Research of La Rioja (CIBIR), Logroño, La Rioja, Spain. </w:t>
      </w:r>
    </w:p>
    <w:p w14:paraId="49BBA188" w14:textId="77777777" w:rsidR="00C3249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C/Piqueras 98</w:t>
      </w:r>
    </w:p>
    <w:p w14:paraId="3E30BC24" w14:textId="77777777" w:rsidR="00C3249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CIBIR building, third floor</w:t>
      </w:r>
    </w:p>
    <w:p w14:paraId="6EAE93D5" w14:textId="77777777" w:rsidR="00C3249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26006 Logroño (La Rioja)</w:t>
      </w:r>
    </w:p>
    <w:p w14:paraId="3A6A3BA7" w14:textId="77777777" w:rsidR="00C3249E" w:rsidRDefault="00000000">
      <w:p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hyperlink r:id="rId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cpperez@riojasalud.es</w:t>
        </w:r>
      </w:hyperlink>
      <w:r>
        <w:br w:type="page"/>
      </w:r>
    </w:p>
    <w:p w14:paraId="187F5774" w14:textId="77777777" w:rsidR="00C3249E" w:rsidRDefault="000000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Supplementary Table 1</w:t>
      </w:r>
    </w:p>
    <w:p w14:paraId="684AB230" w14:textId="77777777" w:rsidR="00C3249E" w:rsidRDefault="000000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Table 2</w:t>
      </w:r>
    </w:p>
    <w:p w14:paraId="14A2CC5B" w14:textId="77777777" w:rsidR="00C3249E" w:rsidRDefault="00000000">
      <w:p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Figure 1</w:t>
      </w:r>
    </w:p>
    <w:p w14:paraId="44868EA2" w14:textId="77777777" w:rsidR="00C3249E" w:rsidRDefault="000000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Figure 2</w:t>
      </w:r>
    </w:p>
    <w:p w14:paraId="791AB2F1" w14:textId="77777777" w:rsidR="00C3249E" w:rsidRDefault="000000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Figure 3</w:t>
      </w:r>
    </w:p>
    <w:p w14:paraId="104FBC71" w14:textId="77777777" w:rsidR="00C3249E" w:rsidRDefault="000000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Figure 4</w:t>
      </w:r>
    </w:p>
    <w:p w14:paraId="5DFCFC50" w14:textId="77777777" w:rsidR="00C3249E" w:rsidRDefault="000000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Figure 5</w:t>
      </w:r>
    </w:p>
    <w:p w14:paraId="4D686AEB" w14:textId="77777777" w:rsidR="00C3249E" w:rsidRDefault="000000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Figure 6</w:t>
      </w:r>
    </w:p>
    <w:p w14:paraId="39DA9BC1" w14:textId="77777777" w:rsidR="00C3249E" w:rsidRDefault="000000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Figure 7</w:t>
      </w:r>
    </w:p>
    <w:p w14:paraId="1296018D" w14:textId="77777777" w:rsidR="00C3249E" w:rsidRDefault="000000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Figure 8</w:t>
      </w:r>
    </w:p>
    <w:p w14:paraId="1FC627CF" w14:textId="77777777" w:rsidR="00C3249E" w:rsidRDefault="000000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Figure 9</w:t>
      </w:r>
    </w:p>
    <w:p w14:paraId="0FF202C6" w14:textId="77777777" w:rsidR="00C3249E" w:rsidRDefault="00C32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  <w:sectPr w:rsidR="00C3249E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730FB154" w14:textId="3E20CC3A" w:rsidR="00C3249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Table 1.</w:t>
      </w:r>
      <w:r>
        <w:rPr>
          <w:rFonts w:ascii="Times New Roman" w:eastAsia="Times New Roman" w:hAnsi="Times New Roman" w:cs="Times New Roman"/>
        </w:rPr>
        <w:t xml:space="preserve"> Characteristics of healthy uninfected controls and HIV-infected patients (naive and under INSTIs).</w:t>
      </w:r>
    </w:p>
    <w:tbl>
      <w:tblPr>
        <w:tblStyle w:val="a"/>
        <w:tblW w:w="1161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823"/>
        <w:gridCol w:w="1559"/>
        <w:gridCol w:w="2551"/>
        <w:gridCol w:w="2552"/>
        <w:gridCol w:w="1134"/>
      </w:tblGrid>
      <w:tr w:rsidR="00C3249E" w14:paraId="2CA349B2" w14:textId="77777777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3C12DA21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3A46EC25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Control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4DDE1E35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Naive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5D39BE21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INSTIs-treated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0B3FE0E4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p value</w:t>
            </w:r>
          </w:p>
        </w:tc>
      </w:tr>
      <w:tr w:rsidR="00C3249E" w14:paraId="453B957D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EF45B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Number of patients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00ED7F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A401F2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EB6E76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F9A4FF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3249E" w14:paraId="6777F923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2C7DC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Gender (men)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1A0888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9/26 (34.62%)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C6196D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13/15 (86.67%) **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CA6A80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12/15 (80.00%) 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648CBC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0.002</w:t>
            </w:r>
          </w:p>
        </w:tc>
      </w:tr>
      <w:tr w:rsidR="00C3249E" w14:paraId="2137CC2B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9DA2D6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Age (years)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7CAD88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43.58±2.31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1A0050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33.87±2.85 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8AF46C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43.67±3.39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CFBAA3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0.033</w:t>
            </w:r>
          </w:p>
        </w:tc>
      </w:tr>
      <w:tr w:rsidR="00C3249E" w14:paraId="0843D041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A05600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BMI (kg/m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1029AC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24.30±0.69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1B8612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23.23±1.05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F35188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23.51±0.85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8BA4F4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0.616</w:t>
            </w:r>
          </w:p>
        </w:tc>
      </w:tr>
      <w:tr w:rsidR="00C3249E" w14:paraId="4B024E6F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98F627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Waist circumference (cm)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27FF6A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85.35±2.55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7E3B0C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83.83±2.86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ABF9A9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85.13±2.15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95CDBA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0.916</w:t>
            </w:r>
          </w:p>
        </w:tc>
      </w:tr>
      <w:tr w:rsidR="00C3249E" w14:paraId="74DCFE43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7C773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Systolic blood pressure (mmHg)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FB596D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120.58±2.76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A26B7C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135.67±5.67 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02596D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129.73±6.02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2D7B39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0.050</w:t>
            </w:r>
          </w:p>
        </w:tc>
      </w:tr>
      <w:tr w:rsidR="00C3249E" w14:paraId="6F4433C9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135842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Diastolic blood pressure (mmHg)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2DC8FF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72.19±1.94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84C37D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81.87±3.31 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4C7EFB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77.80±3.24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B04496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0.035</w:t>
            </w:r>
          </w:p>
        </w:tc>
      </w:tr>
      <w:tr w:rsidR="00C3249E" w14:paraId="0A705C69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3AB9E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Alcohol active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5BA125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3/26 (11.54%)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41CCA0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0/15 (0.00%)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53FB33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1/15 (6.67%)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D8D501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0.578</w:t>
            </w:r>
          </w:p>
        </w:tc>
      </w:tr>
      <w:tr w:rsidR="00C3249E" w14:paraId="2A9ABC71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95E1D8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Smoking active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05C9B2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3/26 (11.54%)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17B4A4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7/15 (46.67%) 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79BE89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10/15 (66.67%) 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8F6822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0.001</w:t>
            </w:r>
          </w:p>
        </w:tc>
      </w:tr>
    </w:tbl>
    <w:p w14:paraId="0D3BF799" w14:textId="77777777" w:rsidR="00C3249E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Qualitative variables are represented in percentage while quantitative variables are represented as mean ± standard error mean. P value refers to the comparation between two (naive </w:t>
      </w:r>
      <w:r>
        <w:rPr>
          <w:rFonts w:ascii="Times New Roman" w:eastAsia="Times New Roman" w:hAnsi="Times New Roman" w:cs="Times New Roman"/>
          <w:i/>
        </w:rPr>
        <w:t>vs.</w:t>
      </w:r>
      <w:r>
        <w:rPr>
          <w:rFonts w:ascii="Times New Roman" w:eastAsia="Times New Roman" w:hAnsi="Times New Roman" w:cs="Times New Roman"/>
        </w:rPr>
        <w:t xml:space="preserve"> INSTIs) or three (control </w:t>
      </w:r>
      <w:r>
        <w:rPr>
          <w:rFonts w:ascii="Times New Roman" w:eastAsia="Times New Roman" w:hAnsi="Times New Roman" w:cs="Times New Roman"/>
          <w:i/>
        </w:rPr>
        <w:t>vs.</w:t>
      </w:r>
      <w:r>
        <w:rPr>
          <w:rFonts w:ascii="Times New Roman" w:eastAsia="Times New Roman" w:hAnsi="Times New Roman" w:cs="Times New Roman"/>
        </w:rPr>
        <w:t xml:space="preserve"> naive </w:t>
      </w:r>
      <w:r>
        <w:rPr>
          <w:rFonts w:ascii="Times New Roman" w:eastAsia="Times New Roman" w:hAnsi="Times New Roman" w:cs="Times New Roman"/>
          <w:i/>
        </w:rPr>
        <w:t>vs.</w:t>
      </w:r>
      <w:r>
        <w:rPr>
          <w:rFonts w:ascii="Times New Roman" w:eastAsia="Times New Roman" w:hAnsi="Times New Roman" w:cs="Times New Roman"/>
        </w:rPr>
        <w:t xml:space="preserve"> INSTIs) groups, as appropriate. Statistically significant p values are in bold. Asterisks indicate statistically significant differences with respect to control group (*p&lt;0.05, **p&lt;0.01 and ***p&lt;0.001). BMI (body mass index), INSTIs (integrase strand transfer inhibitors-based treatment).</w:t>
      </w:r>
    </w:p>
    <w:p w14:paraId="50965311" w14:textId="77777777" w:rsidR="00C3249E" w:rsidRDefault="00C32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  <w:sectPr w:rsidR="00C3249E">
          <w:pgSz w:w="15840" w:h="12240" w:orient="landscape"/>
          <w:pgMar w:top="1440" w:right="1440" w:bottom="1440" w:left="1440" w:header="720" w:footer="720" w:gutter="0"/>
          <w:cols w:space="720"/>
        </w:sectPr>
      </w:pPr>
    </w:p>
    <w:p w14:paraId="31FD8CA4" w14:textId="77777777" w:rsidR="00C3249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Table 2.</w:t>
      </w:r>
      <w:r>
        <w:rPr>
          <w:rFonts w:ascii="Times New Roman" w:eastAsia="Times New Roman" w:hAnsi="Times New Roman" w:cs="Times New Roman"/>
        </w:rPr>
        <w:t xml:space="preserve"> Characteristics of HIV-infected patients (naive and under INSTIs).</w:t>
      </w:r>
    </w:p>
    <w:p w14:paraId="670944C5" w14:textId="77777777" w:rsidR="00C3249E" w:rsidRDefault="00C3249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0"/>
        <w:tblW w:w="1005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822"/>
        <w:gridCol w:w="2551"/>
        <w:gridCol w:w="2552"/>
        <w:gridCol w:w="1134"/>
      </w:tblGrid>
      <w:tr w:rsidR="00C3249E" w14:paraId="1BD54CDE" w14:textId="77777777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69A0278F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401A8BAA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Naive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556CD61E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INSTIs-treated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4B5F232D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p value</w:t>
            </w:r>
          </w:p>
        </w:tc>
      </w:tr>
      <w:tr w:rsidR="00C3249E" w14:paraId="063B6A59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F29A1E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Basal CD4 (cells/µl)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0F56F3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464.07±76.46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879141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850.53±101.68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DC3072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0.006</w:t>
            </w:r>
          </w:p>
        </w:tc>
      </w:tr>
      <w:tr w:rsidR="00C3249E" w14:paraId="56938E55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B7F25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Nadir CD4 (cells/ µl)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F98BBB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464.07±76.46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723DE1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526.53 ± 56.30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BCBC61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0.517</w:t>
            </w:r>
          </w:p>
        </w:tc>
      </w:tr>
      <w:tr w:rsidR="00C3249E" w14:paraId="75AF8467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C83C73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CD4/CD8 ratio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C4055C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0.53±0.13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0E5E63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0.84±0.10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47A5C7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0.027</w:t>
            </w:r>
          </w:p>
        </w:tc>
      </w:tr>
      <w:tr w:rsidR="00C3249E" w14:paraId="639F265B" w14:textId="77777777">
        <w:trPr>
          <w:trHeight w:val="285"/>
        </w:trPr>
        <w:tc>
          <w:tcPr>
            <w:tcW w:w="38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75DB3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Mode of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transmission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5286A7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HS: 6/15 (40.00%)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047A5A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HS: 7/15 (46.67%)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6A5B0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0.716</w:t>
            </w:r>
          </w:p>
        </w:tc>
      </w:tr>
      <w:tr w:rsidR="00C3249E" w14:paraId="4260FB7B" w14:textId="77777777">
        <w:trPr>
          <w:trHeight w:val="285"/>
        </w:trPr>
        <w:tc>
          <w:tcPr>
            <w:tcW w:w="3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F4D98" w14:textId="77777777" w:rsidR="00C3249E" w:rsidRDefault="00C32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A0A691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MSM: 9/15 (60.00%)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230DAC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MSM: 7/15 (46.67%)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06935" w14:textId="77777777" w:rsidR="00C3249E" w:rsidRDefault="00C32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49E" w14:paraId="46739501" w14:textId="77777777">
        <w:trPr>
          <w:trHeight w:val="285"/>
        </w:trPr>
        <w:tc>
          <w:tcPr>
            <w:tcW w:w="3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C86BC" w14:textId="77777777" w:rsidR="00C3249E" w:rsidRDefault="00C32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E9A71A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Parenteral: 0/15 (0.00%)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BC4AE3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Parenteral: 1/15 (6.66%)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DA62" w14:textId="77777777" w:rsidR="00C3249E" w:rsidRDefault="00C324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49E" w14:paraId="1709659E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281211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AIDS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49F3B0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1/15 (6.67%)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1674CA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0/15 (0.00%)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8B38A9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3249E" w14:paraId="213A1309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8C170B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Coinfection with hepatitis C virus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5CE720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0/15 (0.00%)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1B8034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2/15 (13.33%)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1232F7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0.483</w:t>
            </w:r>
          </w:p>
        </w:tc>
      </w:tr>
      <w:tr w:rsidR="00C3249E" w14:paraId="39FE2BDB" w14:textId="77777777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909EC" w14:textId="77777777" w:rsidR="00C3249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Coinfection with hepatitis B virus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FE91C8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0/15 (0.00%)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2B6079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0/15 (0.00%)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20F259" w14:textId="77777777" w:rsidR="00C3249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66E53D35" w14:textId="77777777" w:rsidR="00C3249E" w:rsidRDefault="0000000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Qualitative variables are represented in percentage while quantitative variables are represented as mean ± standard error mean. P value refers to the comparation between naive and INSTIs groups. Statistically significant p values are in bold. AIDS (acquired immunodeficiency syndrome), HS (heterosexual), INSTIs (integrase strand transfer inhibitors-based treatment), MSM (men who have sex with men).</w:t>
      </w:r>
      <w:r>
        <w:br w:type="page"/>
      </w:r>
    </w:p>
    <w:p w14:paraId="37843936" w14:textId="2C3B5556" w:rsidR="000038AB" w:rsidRDefault="000038A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hidden="0" allowOverlap="1" wp14:anchorId="59934F76" wp14:editId="7B459B3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2113280"/>
            <wp:effectExtent l="0" t="0" r="0" b="1270"/>
            <wp:wrapTopAndBottom distT="0" dist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3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rFonts w:ascii="Times New Roman" w:eastAsia="Times New Roman" w:hAnsi="Times New Roman" w:cs="Times New Roman"/>
          <w:b/>
        </w:rPr>
        <w:t>Supplementary Figure 1.</w:t>
      </w:r>
      <w:r w:rsidR="00000000">
        <w:rPr>
          <w:rFonts w:ascii="Times New Roman" w:eastAsia="Times New Roman" w:hAnsi="Times New Roman" w:cs="Times New Roman"/>
        </w:rPr>
        <w:t xml:space="preserve"> Flowchart of patient recruitment. INSTIs (integrase strand transfer inhibitors-based treatment).</w:t>
      </w:r>
    </w:p>
    <w:p w14:paraId="77F4AED8" w14:textId="60EE52A1" w:rsidR="000038AB" w:rsidRDefault="000038A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hidden="0" allowOverlap="1" wp14:anchorId="06488AF6" wp14:editId="31E4E05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5659120"/>
            <wp:effectExtent l="0" t="0" r="0" b="0"/>
            <wp:wrapTopAndBottom distT="0" distB="0"/>
            <wp:docPr id="4" name="image3.png" descr="Diagram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Diagrama&#10;&#10;Descripción generada automá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9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rFonts w:ascii="Times New Roman" w:eastAsia="Times New Roman" w:hAnsi="Times New Roman" w:cs="Times New Roman"/>
          <w:b/>
        </w:rPr>
        <w:t>Supplementary Figure 2.</w:t>
      </w:r>
      <w:r w:rsidR="00000000">
        <w:rPr>
          <w:rFonts w:ascii="Times New Roman" w:eastAsia="Times New Roman" w:hAnsi="Times New Roman" w:cs="Times New Roman"/>
        </w:rPr>
        <w:t xml:space="preserve"> Different indexes of α-diversity from bacteria in salivary samples of the studied population. INSTIs (integrase strand transfer inhibitors-based treatments).</w:t>
      </w:r>
    </w:p>
    <w:p w14:paraId="50623BE8" w14:textId="3B83D714" w:rsidR="00C3249E" w:rsidRDefault="000038A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hidden="0" allowOverlap="1" wp14:anchorId="4B4ACFCB" wp14:editId="3EFBFF6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905250" cy="5189220"/>
            <wp:effectExtent l="0" t="0" r="0" b="0"/>
            <wp:wrapTopAndBottom distT="0" distB="0"/>
            <wp:docPr id="7" name="image5.png" descr="Diagram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Diagrama&#10;&#10;Descripción generada automá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189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gjdgxs" w:colFirst="0" w:colLast="0"/>
      <w:bookmarkEnd w:id="0"/>
      <w:r w:rsidR="00000000">
        <w:rPr>
          <w:rFonts w:ascii="Times New Roman" w:eastAsia="Times New Roman" w:hAnsi="Times New Roman" w:cs="Times New Roman"/>
          <w:b/>
        </w:rPr>
        <w:t>Supplementary Figure 3.</w:t>
      </w:r>
      <w:r w:rsidR="00000000">
        <w:rPr>
          <w:rFonts w:ascii="Times New Roman" w:eastAsia="Times New Roman" w:hAnsi="Times New Roman" w:cs="Times New Roman"/>
        </w:rPr>
        <w:t xml:space="preserve"> PCoAs from bacteria in salivary samples from the studied population (accounting for 23% of the total variation [Component 1 = 15% and Component 2 = 8%]). Results are plotted according to the first two principal components. Each circle represents a sample: red circles represent the uninfected volunteers, green circles represent the naive group and blue circles represent the INSTIs-treated group. The clustering of samples is represented by their respective 95% confidence interval ellipse. INSTIs (integrase strand transfer inhibitors-based treatments).</w:t>
      </w:r>
    </w:p>
    <w:p w14:paraId="63A10507" w14:textId="7C99B521" w:rsidR="00C3249E" w:rsidRDefault="000038AB">
      <w:pPr>
        <w:spacing w:after="0" w:line="24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hidden="0" allowOverlap="1" wp14:anchorId="31ED8A0B" wp14:editId="52840C5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5516880"/>
            <wp:effectExtent l="0" t="0" r="0" b="0"/>
            <wp:wrapTopAndBottom distT="0" distB="0"/>
            <wp:docPr id="3" name="image7.png" descr="Imagen que contiene Logotip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Imagen que contiene Logotipo&#10;&#10;Descripción generada automá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16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rFonts w:ascii="Times New Roman" w:eastAsia="Times New Roman" w:hAnsi="Times New Roman" w:cs="Times New Roman"/>
          <w:b/>
        </w:rPr>
        <w:t>Supplementary Figure 4.</w:t>
      </w:r>
      <w:r w:rsidR="00000000">
        <w:rPr>
          <w:rFonts w:ascii="Times New Roman" w:eastAsia="Times New Roman" w:hAnsi="Times New Roman" w:cs="Times New Roman"/>
        </w:rPr>
        <w:t xml:space="preserve"> Different indexes of α-diversity from bacteria in salivary samples of the studied population regarding smoking habit. *p&lt;0.05 and **p&lt;0.01 </w:t>
      </w:r>
      <w:r w:rsidR="00000000">
        <w:rPr>
          <w:rFonts w:ascii="Times New Roman" w:eastAsia="Times New Roman" w:hAnsi="Times New Roman" w:cs="Times New Roman"/>
          <w:i/>
        </w:rPr>
        <w:t>vs.</w:t>
      </w:r>
      <w:r w:rsidR="00000000">
        <w:rPr>
          <w:rFonts w:ascii="Times New Roman" w:eastAsia="Times New Roman" w:hAnsi="Times New Roman" w:cs="Times New Roman"/>
        </w:rPr>
        <w:t xml:space="preserve"> non-smokers.</w:t>
      </w:r>
      <w:r w:rsidR="00000000">
        <w:t xml:space="preserve"> </w:t>
      </w:r>
    </w:p>
    <w:p w14:paraId="334ABDE7" w14:textId="52F73215" w:rsidR="00C3249E" w:rsidRDefault="000038A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hidden="0" allowOverlap="1" wp14:anchorId="1A980F7E" wp14:editId="51873F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124325" cy="4815840"/>
            <wp:effectExtent l="0" t="0" r="0" b="0"/>
            <wp:wrapTopAndBottom distT="0" distB="0"/>
            <wp:docPr id="9" name="image2.png" descr="Diagram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iagrama&#10;&#10;Descripción generada automá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81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rFonts w:ascii="Times New Roman" w:eastAsia="Times New Roman" w:hAnsi="Times New Roman" w:cs="Times New Roman"/>
          <w:b/>
        </w:rPr>
        <w:t>Supplementary Figure 5.</w:t>
      </w:r>
      <w:r w:rsidR="00000000">
        <w:rPr>
          <w:rFonts w:ascii="Times New Roman" w:eastAsia="Times New Roman" w:hAnsi="Times New Roman" w:cs="Times New Roman"/>
        </w:rPr>
        <w:t xml:space="preserve"> PCoAs from bacteria in salivary samples from the studied population regarding smoking habit (accounting for 23% of the total variation [Component 1 = 15% and Component 2 = 8%]). Results are plotted according to the first two principal components. Each circle represents a sample: red circles represent the non-smoking individuals and blue circles represent the smoking individuals. The clustering of samples is represented by their respective 95% confidence interval ellipse. *p&lt;0.001 smokers </w:t>
      </w:r>
      <w:r w:rsidR="00000000">
        <w:rPr>
          <w:rFonts w:ascii="Times New Roman" w:eastAsia="Times New Roman" w:hAnsi="Times New Roman" w:cs="Times New Roman"/>
          <w:i/>
        </w:rPr>
        <w:t xml:space="preserve">vs. </w:t>
      </w:r>
      <w:r w:rsidR="00000000">
        <w:rPr>
          <w:rFonts w:ascii="Times New Roman" w:eastAsia="Times New Roman" w:hAnsi="Times New Roman" w:cs="Times New Roman"/>
        </w:rPr>
        <w:t>non-smokers.</w:t>
      </w:r>
    </w:p>
    <w:p w14:paraId="3DC8CC19" w14:textId="01C01A05" w:rsidR="000038AB" w:rsidRDefault="000038A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0" simplePos="0" relativeHeight="251663360" behindDoc="0" locked="0" layoutInCell="1" hidden="0" allowOverlap="1" wp14:anchorId="7BA89679" wp14:editId="41B2F4F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5607050"/>
            <wp:effectExtent l="0" t="0" r="0" b="0"/>
            <wp:wrapTopAndBottom distT="0" distB="0"/>
            <wp:docPr id="2" name="image6.png" descr="Diagram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Diagrama&#10;&#10;Descripción generada automá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7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rFonts w:ascii="Times New Roman" w:eastAsia="Times New Roman" w:hAnsi="Times New Roman" w:cs="Times New Roman"/>
          <w:b/>
        </w:rPr>
        <w:t>Supplementary Figure 6.</w:t>
      </w:r>
      <w:r w:rsidR="00000000">
        <w:rPr>
          <w:rFonts w:ascii="Times New Roman" w:eastAsia="Times New Roman" w:hAnsi="Times New Roman" w:cs="Times New Roman"/>
        </w:rPr>
        <w:t xml:space="preserve"> Different indexes of α-diversity from bacteria in salivary samples of the non-smoking population. INSTIs (integrase strand transfer inhibitors-based treatment).</w:t>
      </w:r>
    </w:p>
    <w:p w14:paraId="7AEDDF4E" w14:textId="6D3AD6C6" w:rsidR="00C3249E" w:rsidRDefault="000038A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hidden="0" allowOverlap="1" wp14:anchorId="093FDC9D" wp14:editId="054E678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208780" cy="4949190"/>
            <wp:effectExtent l="0" t="0" r="0" b="0"/>
            <wp:wrapTopAndBottom distT="0" distB="0"/>
            <wp:docPr id="1" name="image4.png" descr="Diagram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Diagrama&#10;&#10;Descripción generada automáticament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8780" cy="4949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rFonts w:ascii="Times New Roman" w:eastAsia="Times New Roman" w:hAnsi="Times New Roman" w:cs="Times New Roman"/>
          <w:b/>
        </w:rPr>
        <w:t>Supplementary Figure 7.</w:t>
      </w:r>
      <w:r w:rsidR="00000000">
        <w:rPr>
          <w:rFonts w:ascii="Times New Roman" w:eastAsia="Times New Roman" w:hAnsi="Times New Roman" w:cs="Times New Roman"/>
        </w:rPr>
        <w:t xml:space="preserve"> PCoAs from bacteria in salivary samples from the non-smoking population (accounting for 23% of the total variation [Component 1 = 16% and Component 2 = 7%]). Results are plotted according to the first two principal components. Each circle represents a sample: red circles represent the uninfected volunteers, green circles represent the naive group and blue circles represent the INSTIs-treated group. The clustering of samples is represented by their respective 95% confidence interval ellipse. INSTIs (integrase strand transfer inhibitors-based treatments).</w:t>
      </w:r>
    </w:p>
    <w:p w14:paraId="39255B97" w14:textId="237B2201" w:rsidR="000038AB" w:rsidRDefault="000038A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hidden="0" allowOverlap="1" wp14:anchorId="63756CC5" wp14:editId="76F22F3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5608955"/>
            <wp:effectExtent l="0" t="0" r="0" b="0"/>
            <wp:wrapTopAndBottom distT="0" distB="0"/>
            <wp:docPr id="8" name="image9.png" descr="Imagen que contiene 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Imagen que contiene Texto&#10;&#10;Descripción generada automáticament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8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rFonts w:ascii="Times New Roman" w:eastAsia="Times New Roman" w:hAnsi="Times New Roman" w:cs="Times New Roman"/>
          <w:b/>
        </w:rPr>
        <w:t>Supplementary Figure 8.</w:t>
      </w:r>
      <w:r w:rsidR="00000000">
        <w:rPr>
          <w:rFonts w:ascii="Times New Roman" w:eastAsia="Times New Roman" w:hAnsi="Times New Roman" w:cs="Times New Roman"/>
        </w:rPr>
        <w:t xml:space="preserve"> Different indexes of α-diversity from bacteria in salivary samples of the smoking population. INSTIs (integrase strand transfer inhibitors-based treatment).</w:t>
      </w:r>
    </w:p>
    <w:p w14:paraId="1E05A4E3" w14:textId="2F8053CD" w:rsidR="00C3249E" w:rsidRDefault="000038A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hidden="0" allowOverlap="1" wp14:anchorId="22B351FC" wp14:editId="6ECEBF1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965575" cy="4592955"/>
            <wp:effectExtent l="0" t="0" r="0" b="0"/>
            <wp:wrapTopAndBottom distT="0" distB="0"/>
            <wp:docPr id="6" name="image8.png" descr="Gráfic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Gráfico&#10;&#10;Descripción generada automáticamente con confianza media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5575" cy="4592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rFonts w:ascii="Times New Roman" w:eastAsia="Times New Roman" w:hAnsi="Times New Roman" w:cs="Times New Roman"/>
          <w:b/>
        </w:rPr>
        <w:t>Supplementary Figure 9.</w:t>
      </w:r>
      <w:r w:rsidR="00000000">
        <w:rPr>
          <w:rFonts w:ascii="Times New Roman" w:eastAsia="Times New Roman" w:hAnsi="Times New Roman" w:cs="Times New Roman"/>
        </w:rPr>
        <w:t xml:space="preserve"> PCoAs from bacteria in salivary samples from the smoking population (accounting for 32% of the total variation [Component 1 = 19% and Component 2 = 13%]). Results are plotted according to the first two principal components. Each circle represents a sample: red circles represent the uninfected volunteers, green circles represent the naive group and blue circles represent the INSTIs-treated group. The clustering of samples is represented by their respective 95% confidence interval ellipse. INSTIs (integrase strand transfer inhibitors-based treatments).</w:t>
      </w:r>
    </w:p>
    <w:sectPr w:rsidR="00C3249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49E"/>
    <w:rsid w:val="000038AB"/>
    <w:rsid w:val="00C3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60F6"/>
  <w15:docId w15:val="{54237668-4520-450F-B337-406EBC27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mailto:cpperez@riojasalud.es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1038</Words>
  <Characters>5713</Characters>
  <Application>Microsoft Office Word</Application>
  <DocSecurity>0</DocSecurity>
  <Lines>47</Lines>
  <Paragraphs>13</Paragraphs>
  <ScaleCrop>false</ScaleCrop>
  <Company> 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Pablo Villoslada Blanco</cp:lastModifiedBy>
  <cp:revision>2</cp:revision>
  <dcterms:created xsi:type="dcterms:W3CDTF">2023-07-24T17:04:00Z</dcterms:created>
  <dcterms:modified xsi:type="dcterms:W3CDTF">2023-07-24T17:11:00Z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ba6f1-aff4-4b79-8885-6d979e1ad1b9_Enabled">
    <vt:lpwstr>true</vt:lpwstr>
  </property>
  <property fmtid="{D5CDD505-2E9C-101B-9397-08002B2CF9AE}" pid="3" name="MSIP_Label_63fba6f1-aff4-4b79-8885-6d979e1ad1b9_SetDate">
    <vt:lpwstr>2023-07-24T17:11:23Z</vt:lpwstr>
  </property>
  <property fmtid="{D5CDD505-2E9C-101B-9397-08002B2CF9AE}" pid="4" name="MSIP_Label_63fba6f1-aff4-4b79-8885-6d979e1ad1b9_Method">
    <vt:lpwstr>Standard</vt:lpwstr>
  </property>
  <property fmtid="{D5CDD505-2E9C-101B-9397-08002B2CF9AE}" pid="5" name="MSIP_Label_63fba6f1-aff4-4b79-8885-6d979e1ad1b9_Name">
    <vt:lpwstr>defa4170-0d19-0005-0004-bc88714345d2</vt:lpwstr>
  </property>
  <property fmtid="{D5CDD505-2E9C-101B-9397-08002B2CF9AE}" pid="6" name="MSIP_Label_63fba6f1-aff4-4b79-8885-6d979e1ad1b9_SiteId">
    <vt:lpwstr>1c970947-1e9c-4245-bea0-b5ce2a77773b</vt:lpwstr>
  </property>
  <property fmtid="{D5CDD505-2E9C-101B-9397-08002B2CF9AE}" pid="7" name="MSIP_Label_63fba6f1-aff4-4b79-8885-6d979e1ad1b9_ActionId">
    <vt:lpwstr>ce6ba806-3611-4f5c-8c27-efb58e19f21c</vt:lpwstr>
  </property>
  <property fmtid="{D5CDD505-2E9C-101B-9397-08002B2CF9AE}" pid="8" name="MSIP_Label_63fba6f1-aff4-4b79-8885-6d979e1ad1b9_ContentBits">
    <vt:lpwstr>0</vt:lpwstr>
  </property>
</Properties>
</file>