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8FA0D" w14:textId="0B277358" w:rsidR="009001BF" w:rsidRPr="009001BF" w:rsidRDefault="009001BF" w:rsidP="009001BF">
      <w:pPr>
        <w:pStyle w:val="Heading1"/>
        <w:rPr>
          <w:b w:val="0"/>
          <w:bCs w:val="0"/>
        </w:rPr>
      </w:pPr>
      <w:bookmarkStart w:id="0" w:name="_Hlk115621703"/>
      <w:bookmarkStart w:id="1" w:name="_Hlk111322984"/>
      <w:r w:rsidRPr="009001BF">
        <w:t>Supplementary Material</w:t>
      </w:r>
      <w:r w:rsidRPr="009001BF">
        <w:rPr>
          <w:b w:val="0"/>
          <w:bCs w:val="0"/>
        </w:rPr>
        <w:t xml:space="preserve"> for the manuscript entitled </w:t>
      </w:r>
      <w:r w:rsidRPr="009001BF">
        <w:rPr>
          <w:b w:val="0"/>
          <w:bCs w:val="0"/>
          <w:i/>
          <w:iCs/>
        </w:rPr>
        <w:t>“Long-term multiple metabolic abnormalities among healthy and high-risk people following non-severe COVID-19”</w:t>
      </w:r>
    </w:p>
    <w:p w14:paraId="2278FA0E" w14:textId="77777777" w:rsidR="009001BF" w:rsidRDefault="009001BF" w:rsidP="009001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78FA0F" w14:textId="77777777" w:rsidR="009001BF" w:rsidRPr="00C92ADF" w:rsidRDefault="009001BF" w:rsidP="009001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2ADF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</w:t>
      </w:r>
      <w:r w:rsidRPr="00C92ADF">
        <w:rPr>
          <w:rFonts w:ascii="Times New Roman" w:hAnsi="Times New Roman" w:cs="Times New Roman"/>
          <w:sz w:val="24"/>
          <w:szCs w:val="24"/>
        </w:rPr>
        <w:t>Clinical characteristics, comorbidities, and immunization statuses of people with non-severe COVID-19 with and without multiple metabolic abnormalities</w:t>
      </w:r>
      <w:bookmarkEnd w:id="0"/>
      <w:r w:rsidRPr="00C92AD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0529" w:type="dxa"/>
        <w:tblInd w:w="-36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3060"/>
        <w:gridCol w:w="2340"/>
        <w:gridCol w:w="899"/>
      </w:tblGrid>
      <w:tr w:rsidR="009001BF" w:rsidRPr="00B23F16" w14:paraId="2278FA17" w14:textId="77777777" w:rsidTr="00563C0F">
        <w:trPr>
          <w:trHeight w:val="20"/>
        </w:trPr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8FA10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 parameter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8FA11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 or mild </w:t>
            </w:r>
          </w:p>
          <w:p w14:paraId="2278FA12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metabolic abnormalities</w:t>
            </w:r>
          </w:p>
          <w:p w14:paraId="2278FA13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cs/>
              </w:rPr>
            </w:pPr>
            <w:r w:rsidRPr="00B23F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(n=273)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8FA14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Multiple metabolic abnormalities</w:t>
            </w:r>
          </w:p>
          <w:p w14:paraId="2278FA15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(n=192) 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278FA16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9001BF" w:rsidRPr="00B23F16" w14:paraId="2278FA1C" w14:textId="77777777" w:rsidTr="00563C0F">
        <w:trPr>
          <w:trHeight w:val="20"/>
        </w:trPr>
        <w:tc>
          <w:tcPr>
            <w:tcW w:w="4230" w:type="dxa"/>
            <w:tcBorders>
              <w:top w:val="single" w:sz="4" w:space="0" w:color="auto"/>
            </w:tcBorders>
            <w:vAlign w:val="center"/>
          </w:tcPr>
          <w:p w14:paraId="2278FA18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Female, n (%)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14:paraId="2278FA19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183 (67.0%)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14:paraId="2278FA1A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105 (54.7%)</w:t>
            </w:r>
          </w:p>
        </w:tc>
        <w:tc>
          <w:tcPr>
            <w:tcW w:w="899" w:type="dxa"/>
            <w:tcBorders>
              <w:top w:val="single" w:sz="4" w:space="0" w:color="auto"/>
            </w:tcBorders>
            <w:vAlign w:val="center"/>
          </w:tcPr>
          <w:p w14:paraId="2278FA1B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9001BF" w:rsidRPr="00B23F16" w14:paraId="2278FA21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1D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Age, mean (±SD)</w:t>
            </w:r>
          </w:p>
        </w:tc>
        <w:tc>
          <w:tcPr>
            <w:tcW w:w="3060" w:type="dxa"/>
            <w:vAlign w:val="center"/>
          </w:tcPr>
          <w:p w14:paraId="2278FA1E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45.7±14.9</w:t>
            </w:r>
          </w:p>
        </w:tc>
        <w:tc>
          <w:tcPr>
            <w:tcW w:w="2340" w:type="dxa"/>
            <w:vAlign w:val="center"/>
          </w:tcPr>
          <w:p w14:paraId="2278FA1F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46.5±13.9</w:t>
            </w:r>
          </w:p>
        </w:tc>
        <w:tc>
          <w:tcPr>
            <w:tcW w:w="899" w:type="dxa"/>
            <w:vAlign w:val="center"/>
          </w:tcPr>
          <w:p w14:paraId="2278FA20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9001BF" w:rsidRPr="00B23F16" w14:paraId="2278FA26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22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BMI, mean (±SD)</w:t>
            </w:r>
          </w:p>
        </w:tc>
        <w:tc>
          <w:tcPr>
            <w:tcW w:w="3060" w:type="dxa"/>
            <w:vAlign w:val="center"/>
          </w:tcPr>
          <w:p w14:paraId="2278FA23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24.2±4.7</w:t>
            </w:r>
          </w:p>
        </w:tc>
        <w:tc>
          <w:tcPr>
            <w:tcW w:w="2340" w:type="dxa"/>
            <w:vAlign w:val="center"/>
          </w:tcPr>
          <w:p w14:paraId="2278FA24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27.5±5.0</w:t>
            </w:r>
          </w:p>
        </w:tc>
        <w:tc>
          <w:tcPr>
            <w:tcW w:w="899" w:type="dxa"/>
            <w:vAlign w:val="center"/>
          </w:tcPr>
          <w:p w14:paraId="2278FA25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001BF" w:rsidRPr="00B23F16" w14:paraId="2278FA2B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27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N-gene CT threshold</w:t>
            </w:r>
          </w:p>
        </w:tc>
        <w:tc>
          <w:tcPr>
            <w:tcW w:w="3060" w:type="dxa"/>
            <w:vAlign w:val="center"/>
          </w:tcPr>
          <w:p w14:paraId="2278FA28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21.7±5.5</w:t>
            </w:r>
          </w:p>
        </w:tc>
        <w:tc>
          <w:tcPr>
            <w:tcW w:w="2340" w:type="dxa"/>
            <w:vAlign w:val="center"/>
          </w:tcPr>
          <w:p w14:paraId="2278FA29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21.1±5.6</w:t>
            </w:r>
          </w:p>
        </w:tc>
        <w:tc>
          <w:tcPr>
            <w:tcW w:w="899" w:type="dxa"/>
            <w:vAlign w:val="center"/>
          </w:tcPr>
          <w:p w14:paraId="2278FA2A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001BF" w:rsidRPr="00B23F16" w14:paraId="2278FA30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2C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 xml:space="preserve">Utility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core (median, IQR)</w:t>
            </w:r>
          </w:p>
        </w:tc>
        <w:tc>
          <w:tcPr>
            <w:tcW w:w="3060" w:type="dxa"/>
            <w:vAlign w:val="center"/>
          </w:tcPr>
          <w:p w14:paraId="2278FA2D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0.89 (0.71, 0.94)</w:t>
            </w:r>
          </w:p>
        </w:tc>
        <w:tc>
          <w:tcPr>
            <w:tcW w:w="2340" w:type="dxa"/>
            <w:vAlign w:val="center"/>
          </w:tcPr>
          <w:p w14:paraId="2278FA2E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0.88 (0.73, 0.94)</w:t>
            </w:r>
          </w:p>
        </w:tc>
        <w:tc>
          <w:tcPr>
            <w:tcW w:w="899" w:type="dxa"/>
            <w:vAlign w:val="center"/>
          </w:tcPr>
          <w:p w14:paraId="2278FA2F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</w:tr>
      <w:tr w:rsidR="009001BF" w:rsidRPr="00B23F16" w14:paraId="2278FA35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31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VAS score (median, IQR)</w:t>
            </w:r>
          </w:p>
        </w:tc>
        <w:tc>
          <w:tcPr>
            <w:tcW w:w="3060" w:type="dxa"/>
            <w:vAlign w:val="center"/>
          </w:tcPr>
          <w:p w14:paraId="2278FA32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70 (50, 90)</w:t>
            </w:r>
          </w:p>
        </w:tc>
        <w:tc>
          <w:tcPr>
            <w:tcW w:w="2340" w:type="dxa"/>
            <w:vAlign w:val="center"/>
          </w:tcPr>
          <w:p w14:paraId="2278FA33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75 (50, 85)</w:t>
            </w:r>
          </w:p>
        </w:tc>
        <w:tc>
          <w:tcPr>
            <w:tcW w:w="899" w:type="dxa"/>
            <w:vAlign w:val="center"/>
          </w:tcPr>
          <w:p w14:paraId="2278FA34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9001BF" w:rsidRPr="00B23F16" w14:paraId="2278FA3A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36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Symptomatic at presentation, n (%)</w:t>
            </w:r>
          </w:p>
        </w:tc>
        <w:tc>
          <w:tcPr>
            <w:tcW w:w="3060" w:type="dxa"/>
            <w:vAlign w:val="center"/>
          </w:tcPr>
          <w:p w14:paraId="2278FA37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241 (88.3%)</w:t>
            </w:r>
          </w:p>
        </w:tc>
        <w:tc>
          <w:tcPr>
            <w:tcW w:w="2340" w:type="dxa"/>
            <w:vAlign w:val="center"/>
          </w:tcPr>
          <w:p w14:paraId="2278FA38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176 (91.7%)</w:t>
            </w:r>
          </w:p>
        </w:tc>
        <w:tc>
          <w:tcPr>
            <w:tcW w:w="899" w:type="dxa"/>
            <w:vAlign w:val="center"/>
          </w:tcPr>
          <w:p w14:paraId="2278FA39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001BF" w:rsidRPr="00B23F16" w14:paraId="2278FA3F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3B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HT, n (%)</w:t>
            </w:r>
          </w:p>
        </w:tc>
        <w:tc>
          <w:tcPr>
            <w:tcW w:w="3060" w:type="dxa"/>
            <w:vAlign w:val="center"/>
          </w:tcPr>
          <w:p w14:paraId="2278FA3C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76 (27.8%)</w:t>
            </w:r>
          </w:p>
        </w:tc>
        <w:tc>
          <w:tcPr>
            <w:tcW w:w="2340" w:type="dxa"/>
            <w:vAlign w:val="center"/>
          </w:tcPr>
          <w:p w14:paraId="2278FA3D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 xml:space="preserve"> 46 (24.0%)</w:t>
            </w:r>
          </w:p>
        </w:tc>
        <w:tc>
          <w:tcPr>
            <w:tcW w:w="899" w:type="dxa"/>
            <w:vAlign w:val="center"/>
          </w:tcPr>
          <w:p w14:paraId="2278FA3E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9001BF" w:rsidRPr="00B23F16" w14:paraId="2278FA44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40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DLP, n (%)</w:t>
            </w:r>
          </w:p>
        </w:tc>
        <w:tc>
          <w:tcPr>
            <w:tcW w:w="3060" w:type="dxa"/>
            <w:vAlign w:val="center"/>
          </w:tcPr>
          <w:p w14:paraId="2278FA41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58 (21.2%)</w:t>
            </w:r>
          </w:p>
        </w:tc>
        <w:tc>
          <w:tcPr>
            <w:tcW w:w="2340" w:type="dxa"/>
            <w:vAlign w:val="center"/>
          </w:tcPr>
          <w:p w14:paraId="2278FA42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21 (10.9%)</w:t>
            </w:r>
          </w:p>
        </w:tc>
        <w:tc>
          <w:tcPr>
            <w:tcW w:w="899" w:type="dxa"/>
            <w:vAlign w:val="center"/>
          </w:tcPr>
          <w:p w14:paraId="2278FA43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9001BF" w:rsidRPr="00B23F16" w14:paraId="2278FA49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45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Recovery at home, n (%)</w:t>
            </w:r>
          </w:p>
        </w:tc>
        <w:tc>
          <w:tcPr>
            <w:tcW w:w="3060" w:type="dxa"/>
            <w:vAlign w:val="center"/>
          </w:tcPr>
          <w:p w14:paraId="2278FA46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257 (94.1%)</w:t>
            </w:r>
          </w:p>
        </w:tc>
        <w:tc>
          <w:tcPr>
            <w:tcW w:w="2340" w:type="dxa"/>
            <w:vAlign w:val="center"/>
          </w:tcPr>
          <w:p w14:paraId="2278FA47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181 (94.3%)</w:t>
            </w:r>
          </w:p>
        </w:tc>
        <w:tc>
          <w:tcPr>
            <w:tcW w:w="899" w:type="dxa"/>
            <w:vAlign w:val="center"/>
          </w:tcPr>
          <w:p w14:paraId="2278FA48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</w:tr>
      <w:tr w:rsidR="009001BF" w:rsidRPr="00B23F16" w14:paraId="2278FA4E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4A" w14:textId="77777777" w:rsidR="009001BF" w:rsidRPr="00B23F16" w:rsidRDefault="009001BF" w:rsidP="00563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Immuniz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ation</w:t>
            </w: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 xml:space="preserve"> status, n (%)</w:t>
            </w:r>
          </w:p>
        </w:tc>
        <w:tc>
          <w:tcPr>
            <w:tcW w:w="3060" w:type="dxa"/>
            <w:vAlign w:val="center"/>
          </w:tcPr>
          <w:p w14:paraId="2278FA4B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40" w:type="dxa"/>
            <w:vAlign w:val="center"/>
          </w:tcPr>
          <w:p w14:paraId="2278FA4C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99" w:type="dxa"/>
            <w:vAlign w:val="center"/>
          </w:tcPr>
          <w:p w14:paraId="2278FA4D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9001BF" w:rsidRPr="00B23F16" w14:paraId="2278FA53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4F" w14:textId="77777777" w:rsidR="009001BF" w:rsidRPr="00B23F16" w:rsidRDefault="009001BF" w:rsidP="009001B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49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 immunized</w:t>
            </w:r>
          </w:p>
        </w:tc>
        <w:tc>
          <w:tcPr>
            <w:tcW w:w="3060" w:type="dxa"/>
            <w:vAlign w:val="center"/>
          </w:tcPr>
          <w:p w14:paraId="2278FA50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87 (31.9%)</w:t>
            </w:r>
          </w:p>
        </w:tc>
        <w:tc>
          <w:tcPr>
            <w:tcW w:w="2340" w:type="dxa"/>
            <w:vAlign w:val="center"/>
          </w:tcPr>
          <w:p w14:paraId="2278FA51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75 (39.1%)</w:t>
            </w:r>
          </w:p>
        </w:tc>
        <w:tc>
          <w:tcPr>
            <w:tcW w:w="899" w:type="dxa"/>
            <w:vAlign w:val="center"/>
          </w:tcPr>
          <w:p w14:paraId="2278FA52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001BF" w:rsidRPr="00B23F16" w14:paraId="2278FA58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54" w14:textId="77777777" w:rsidR="009001BF" w:rsidRPr="00B23F16" w:rsidRDefault="009001BF" w:rsidP="009001B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49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Partially immunized</w:t>
            </w:r>
          </w:p>
        </w:tc>
        <w:tc>
          <w:tcPr>
            <w:tcW w:w="3060" w:type="dxa"/>
            <w:vAlign w:val="center"/>
          </w:tcPr>
          <w:p w14:paraId="2278FA55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98 (35.9%)</w:t>
            </w:r>
          </w:p>
        </w:tc>
        <w:tc>
          <w:tcPr>
            <w:tcW w:w="2340" w:type="dxa"/>
            <w:vAlign w:val="center"/>
          </w:tcPr>
          <w:p w14:paraId="2278FA56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72 (37.5%)</w:t>
            </w:r>
          </w:p>
        </w:tc>
        <w:tc>
          <w:tcPr>
            <w:tcW w:w="899" w:type="dxa"/>
            <w:vAlign w:val="center"/>
          </w:tcPr>
          <w:p w14:paraId="2278FA57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001BF" w:rsidRPr="00B23F16" w14:paraId="2278FA5D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59" w14:textId="77777777" w:rsidR="009001BF" w:rsidRPr="00B23F16" w:rsidRDefault="009001BF" w:rsidP="009001B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49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Fully immunized</w:t>
            </w:r>
            <w:r w:rsidRPr="00B23F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 doses)</w:t>
            </w:r>
          </w:p>
        </w:tc>
        <w:tc>
          <w:tcPr>
            <w:tcW w:w="3060" w:type="dxa"/>
            <w:vAlign w:val="center"/>
          </w:tcPr>
          <w:p w14:paraId="2278FA5A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62 (22.7%)</w:t>
            </w:r>
          </w:p>
        </w:tc>
        <w:tc>
          <w:tcPr>
            <w:tcW w:w="2340" w:type="dxa"/>
            <w:vAlign w:val="center"/>
          </w:tcPr>
          <w:p w14:paraId="2278FA5B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38 (19.8%)</w:t>
            </w:r>
          </w:p>
        </w:tc>
        <w:tc>
          <w:tcPr>
            <w:tcW w:w="899" w:type="dxa"/>
            <w:vAlign w:val="center"/>
          </w:tcPr>
          <w:p w14:paraId="2278FA5C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001BF" w:rsidRPr="00B23F16" w14:paraId="2278FA62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5E" w14:textId="77777777" w:rsidR="009001BF" w:rsidRPr="00B23F16" w:rsidRDefault="009001BF" w:rsidP="009001B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49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Fully immunize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Pr="00B23F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(3 doses)</w:t>
            </w:r>
          </w:p>
        </w:tc>
        <w:tc>
          <w:tcPr>
            <w:tcW w:w="3060" w:type="dxa"/>
            <w:vAlign w:val="center"/>
          </w:tcPr>
          <w:p w14:paraId="2278FA5F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26 (9.5%)</w:t>
            </w:r>
          </w:p>
        </w:tc>
        <w:tc>
          <w:tcPr>
            <w:tcW w:w="2340" w:type="dxa"/>
            <w:vAlign w:val="center"/>
          </w:tcPr>
          <w:p w14:paraId="2278FA60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7 (3.6%)</w:t>
            </w:r>
          </w:p>
        </w:tc>
        <w:tc>
          <w:tcPr>
            <w:tcW w:w="899" w:type="dxa"/>
            <w:vAlign w:val="center"/>
          </w:tcPr>
          <w:p w14:paraId="2278FA61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001BF" w:rsidRPr="00B23F16" w14:paraId="2278FA67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63" w14:textId="77777777" w:rsidR="009001BF" w:rsidRPr="00B23F16" w:rsidRDefault="009001BF" w:rsidP="00563C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Vaccine booster within 6 m after COVID-19</w:t>
            </w: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3060" w:type="dxa"/>
            <w:vAlign w:val="center"/>
          </w:tcPr>
          <w:p w14:paraId="2278FA64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278FA65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14:paraId="2278FA66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01BF" w:rsidRPr="00B23F16" w14:paraId="2278FA6C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68" w14:textId="77777777" w:rsidR="009001BF" w:rsidRPr="00B23F16" w:rsidRDefault="009001BF" w:rsidP="009001B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 xml:space="preserve">No vaccine booster </w:t>
            </w:r>
          </w:p>
        </w:tc>
        <w:tc>
          <w:tcPr>
            <w:tcW w:w="3060" w:type="dxa"/>
            <w:vAlign w:val="center"/>
          </w:tcPr>
          <w:p w14:paraId="2278FA69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22 (8.1%)</w:t>
            </w:r>
          </w:p>
        </w:tc>
        <w:tc>
          <w:tcPr>
            <w:tcW w:w="2340" w:type="dxa"/>
            <w:vAlign w:val="center"/>
          </w:tcPr>
          <w:p w14:paraId="2278FA6A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26 (13.5%)</w:t>
            </w:r>
          </w:p>
        </w:tc>
        <w:tc>
          <w:tcPr>
            <w:tcW w:w="899" w:type="dxa"/>
            <w:vAlign w:val="center"/>
          </w:tcPr>
          <w:p w14:paraId="2278FA6B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9001BF" w:rsidRPr="00B23F16" w14:paraId="2278FA71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6D" w14:textId="77777777" w:rsidR="009001BF" w:rsidRPr="00B23F16" w:rsidRDefault="009001BF" w:rsidP="009001B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 xml:space="preserve">Partial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 xml:space="preserve">accine booster &lt;14 days </w:t>
            </w:r>
          </w:p>
        </w:tc>
        <w:tc>
          <w:tcPr>
            <w:tcW w:w="3060" w:type="dxa"/>
            <w:vAlign w:val="center"/>
          </w:tcPr>
          <w:p w14:paraId="2278FA6E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6 (2.2%)</w:t>
            </w:r>
          </w:p>
        </w:tc>
        <w:tc>
          <w:tcPr>
            <w:tcW w:w="2340" w:type="dxa"/>
            <w:vAlign w:val="center"/>
          </w:tcPr>
          <w:p w14:paraId="2278FA6F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8 (4.2%)</w:t>
            </w:r>
          </w:p>
        </w:tc>
        <w:tc>
          <w:tcPr>
            <w:tcW w:w="899" w:type="dxa"/>
            <w:vAlign w:val="center"/>
          </w:tcPr>
          <w:p w14:paraId="2278FA70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01BF" w:rsidRPr="00B23F16" w14:paraId="2278FA76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72" w14:textId="77777777" w:rsidR="009001BF" w:rsidRPr="00B23F16" w:rsidRDefault="009001BF" w:rsidP="009001B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booster dose </w:t>
            </w:r>
          </w:p>
        </w:tc>
        <w:tc>
          <w:tcPr>
            <w:tcW w:w="3060" w:type="dxa"/>
            <w:vAlign w:val="center"/>
          </w:tcPr>
          <w:p w14:paraId="2278FA73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166 (60.8%)</w:t>
            </w:r>
          </w:p>
        </w:tc>
        <w:tc>
          <w:tcPr>
            <w:tcW w:w="2340" w:type="dxa"/>
            <w:vAlign w:val="center"/>
          </w:tcPr>
          <w:p w14:paraId="2278FA74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98 (51.0%)</w:t>
            </w:r>
          </w:p>
        </w:tc>
        <w:tc>
          <w:tcPr>
            <w:tcW w:w="899" w:type="dxa"/>
            <w:vAlign w:val="center"/>
          </w:tcPr>
          <w:p w14:paraId="2278FA75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01BF" w:rsidRPr="00B23F16" w14:paraId="2278FA7B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77" w14:textId="77777777" w:rsidR="009001BF" w:rsidRPr="00B23F16" w:rsidRDefault="009001BF" w:rsidP="009001B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booster doses </w:t>
            </w:r>
          </w:p>
        </w:tc>
        <w:tc>
          <w:tcPr>
            <w:tcW w:w="3060" w:type="dxa"/>
            <w:vAlign w:val="center"/>
          </w:tcPr>
          <w:p w14:paraId="2278FA78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79 (28.9%)</w:t>
            </w:r>
          </w:p>
        </w:tc>
        <w:tc>
          <w:tcPr>
            <w:tcW w:w="2340" w:type="dxa"/>
            <w:vAlign w:val="center"/>
          </w:tcPr>
          <w:p w14:paraId="2278FA79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60 (31.3%)</w:t>
            </w:r>
          </w:p>
        </w:tc>
        <w:tc>
          <w:tcPr>
            <w:tcW w:w="899" w:type="dxa"/>
            <w:vAlign w:val="center"/>
          </w:tcPr>
          <w:p w14:paraId="2278FA7A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01BF" w:rsidRPr="00B23F16" w14:paraId="2278FA80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7C" w14:textId="77777777" w:rsidR="009001BF" w:rsidRPr="00B23F16" w:rsidRDefault="009001BF" w:rsidP="00563C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B23F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Overall host status</w:t>
            </w:r>
          </w:p>
        </w:tc>
        <w:tc>
          <w:tcPr>
            <w:tcW w:w="3060" w:type="dxa"/>
            <w:vAlign w:val="center"/>
          </w:tcPr>
          <w:p w14:paraId="2278FA7D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40" w:type="dxa"/>
            <w:vAlign w:val="center"/>
          </w:tcPr>
          <w:p w14:paraId="2278FA7E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99" w:type="dxa"/>
            <w:vAlign w:val="center"/>
          </w:tcPr>
          <w:p w14:paraId="2278FA7F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001BF" w:rsidRPr="00B23F16" w14:paraId="2278FA85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81" w14:textId="77777777" w:rsidR="009001BF" w:rsidRPr="00B23F16" w:rsidRDefault="009001BF" w:rsidP="009001B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Healthy hosts, </w:t>
            </w: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</w:tc>
        <w:tc>
          <w:tcPr>
            <w:tcW w:w="3060" w:type="dxa"/>
            <w:vAlign w:val="center"/>
          </w:tcPr>
          <w:p w14:paraId="2278FA82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183 (67.0%)</w:t>
            </w:r>
          </w:p>
        </w:tc>
        <w:tc>
          <w:tcPr>
            <w:tcW w:w="2340" w:type="dxa"/>
            <w:vAlign w:val="center"/>
          </w:tcPr>
          <w:p w14:paraId="2278FA83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105 (54.7%)</w:t>
            </w:r>
          </w:p>
        </w:tc>
        <w:tc>
          <w:tcPr>
            <w:tcW w:w="899" w:type="dxa"/>
            <w:vAlign w:val="center"/>
          </w:tcPr>
          <w:p w14:paraId="2278FA84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9001BF" w:rsidRPr="00B23F16" w14:paraId="2278FA8A" w14:textId="77777777" w:rsidTr="00563C0F">
        <w:trPr>
          <w:trHeight w:val="20"/>
        </w:trPr>
        <w:tc>
          <w:tcPr>
            <w:tcW w:w="4230" w:type="dxa"/>
            <w:vAlign w:val="center"/>
          </w:tcPr>
          <w:p w14:paraId="2278FA86" w14:textId="77777777" w:rsidR="009001BF" w:rsidRPr="00B23F16" w:rsidRDefault="009001BF" w:rsidP="009001B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High-risk hosts</w:t>
            </w:r>
          </w:p>
        </w:tc>
        <w:tc>
          <w:tcPr>
            <w:tcW w:w="3060" w:type="dxa"/>
            <w:vAlign w:val="center"/>
          </w:tcPr>
          <w:p w14:paraId="2278FA87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90 (33.0%)</w:t>
            </w:r>
          </w:p>
        </w:tc>
        <w:tc>
          <w:tcPr>
            <w:tcW w:w="2340" w:type="dxa"/>
            <w:vAlign w:val="center"/>
          </w:tcPr>
          <w:p w14:paraId="2278FA88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F16">
              <w:rPr>
                <w:rFonts w:ascii="Times New Roman" w:hAnsi="Times New Roman" w:cs="Times New Roman"/>
                <w:sz w:val="20"/>
                <w:szCs w:val="20"/>
              </w:rPr>
              <w:t>87 (45.3%)</w:t>
            </w:r>
          </w:p>
        </w:tc>
        <w:tc>
          <w:tcPr>
            <w:tcW w:w="899" w:type="dxa"/>
            <w:vAlign w:val="center"/>
          </w:tcPr>
          <w:p w14:paraId="2278FA89" w14:textId="77777777" w:rsidR="009001BF" w:rsidRPr="00B23F16" w:rsidRDefault="009001BF" w:rsidP="00563C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278FA8B" w14:textId="77777777" w:rsidR="009001BF" w:rsidRPr="00CA7A34" w:rsidRDefault="009001BF" w:rsidP="009001BF">
      <w:pPr>
        <w:rPr>
          <w:rFonts w:ascii="Times New Roman" w:hAnsi="Times New Roman" w:cs="Times New Roman"/>
          <w:sz w:val="20"/>
          <w:szCs w:val="20"/>
        </w:rPr>
      </w:pPr>
      <w:r w:rsidRPr="00CA7A34">
        <w:rPr>
          <w:rFonts w:ascii="Times New Roman" w:hAnsi="Times New Roman" w:cs="Times New Roman"/>
          <w:sz w:val="20"/>
          <w:szCs w:val="20"/>
        </w:rPr>
        <w:t>DLP, dyslipidemia; HT, hypertension; IQR, interquartile range; m, month; SD, standard deviation</w:t>
      </w:r>
    </w:p>
    <w:bookmarkEnd w:id="1"/>
    <w:p w14:paraId="2278FA8C" w14:textId="77777777" w:rsidR="009001BF" w:rsidRPr="00CA7A34" w:rsidRDefault="009001BF" w:rsidP="009001BF">
      <w:pPr>
        <w:rPr>
          <w:rFonts w:ascii="Times New Roman" w:hAnsi="Times New Roman" w:cs="Times New Roman"/>
          <w:sz w:val="24"/>
          <w:szCs w:val="24"/>
        </w:rPr>
      </w:pPr>
    </w:p>
    <w:p w14:paraId="2278FA8D" w14:textId="77777777" w:rsidR="009001BF" w:rsidRPr="00CA7A34" w:rsidRDefault="009001BF" w:rsidP="009001BF">
      <w:pPr>
        <w:rPr>
          <w:rFonts w:ascii="Times New Roman" w:hAnsi="Times New Roman" w:cs="Times New Roman"/>
          <w:sz w:val="24"/>
          <w:szCs w:val="24"/>
        </w:rPr>
      </w:pPr>
    </w:p>
    <w:p w14:paraId="2278FA8E" w14:textId="77777777" w:rsidR="009001BF" w:rsidRPr="009001BF" w:rsidRDefault="009001BF">
      <w:pPr>
        <w:rPr>
          <w:rFonts w:ascii="Times New Roman" w:hAnsi="Times New Roman" w:cs="Times New Roman"/>
          <w:b/>
          <w:bCs/>
        </w:rPr>
      </w:pPr>
    </w:p>
    <w:sectPr w:rsidR="009001BF" w:rsidRPr="00900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764D8"/>
    <w:multiLevelType w:val="hybridMultilevel"/>
    <w:tmpl w:val="0792E1DA"/>
    <w:lvl w:ilvl="0" w:tplc="EEFE2EE8">
      <w:start w:val="6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14D86"/>
    <w:multiLevelType w:val="hybridMultilevel"/>
    <w:tmpl w:val="D2744E5E"/>
    <w:lvl w:ilvl="0" w:tplc="EEFE2EE8">
      <w:start w:val="6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608BF"/>
    <w:multiLevelType w:val="hybridMultilevel"/>
    <w:tmpl w:val="682611BA"/>
    <w:lvl w:ilvl="0" w:tplc="EEFE2EE8">
      <w:start w:val="6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130958">
    <w:abstractNumId w:val="1"/>
  </w:num>
  <w:num w:numId="2" w16cid:durableId="1603611102">
    <w:abstractNumId w:val="2"/>
  </w:num>
  <w:num w:numId="3" w16cid:durableId="1380860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3MbU0MTMyNLQwsDRU0lEKTi0uzszPAykwrAUAy5RPfCwAAAA="/>
  </w:docVars>
  <w:rsids>
    <w:rsidRoot w:val="009001BF"/>
    <w:rsid w:val="000939CB"/>
    <w:rsid w:val="00135910"/>
    <w:rsid w:val="00433D81"/>
    <w:rsid w:val="009001BF"/>
    <w:rsid w:val="00AE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8FA0D"/>
  <w15:chartTrackingRefBased/>
  <w15:docId w15:val="{6ABB3DA2-2C74-4364-9A00-66CCFE9B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1BF"/>
  </w:style>
  <w:style w:type="paragraph" w:styleId="Heading1">
    <w:name w:val="heading 1"/>
    <w:basedOn w:val="Normal"/>
    <w:next w:val="Normal"/>
    <w:link w:val="Heading1Char"/>
    <w:uiPriority w:val="9"/>
    <w:qFormat/>
    <w:rsid w:val="009001BF"/>
    <w:pPr>
      <w:keepNext/>
      <w:spacing w:before="100" w:beforeAutospacing="1" w:after="100" w:afterAutospacing="1" w:line="480" w:lineRule="auto"/>
      <w:outlineLvl w:val="0"/>
    </w:pPr>
    <w:rPr>
      <w:rFonts w:ascii="Times New Roman" w:hAnsi="Times New Roman" w:cs="Times New Roman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0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01B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001BF"/>
    <w:rPr>
      <w:rFonts w:ascii="Times New Roman" w:hAnsi="Times New Roman" w:cs="Times New Roman"/>
      <w:b/>
      <w:bCs/>
      <w:color w:val="000000" w:themeColor="text1"/>
      <w:sz w:val="24"/>
      <w:szCs w:val="24"/>
    </w:rPr>
  </w:style>
  <w:style w:type="paragraph" w:styleId="Revision">
    <w:name w:val="Revision"/>
    <w:hidden/>
    <w:uiPriority w:val="99"/>
    <w:semiHidden/>
    <w:rsid w:val="00AE36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Weerachai Srivanichakorn</dc:creator>
  <cp:keywords/>
  <dc:description/>
  <cp:lastModifiedBy>Weerachai Srivanichakorn</cp:lastModifiedBy>
  <cp:revision>2</cp:revision>
  <dcterms:created xsi:type="dcterms:W3CDTF">2022-12-18T13:50:00Z</dcterms:created>
  <dcterms:modified xsi:type="dcterms:W3CDTF">2022-12-18T13:50:00Z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ee075861312c13a94660667460c53bbe5969b8459b96646f6b69f4ebe08fa6f1</vt:lpwstr>
  </property>
</Properties>
</file>