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C6CB9" w14:textId="497AD63B" w:rsidR="00651E73" w:rsidRPr="0012182F" w:rsidRDefault="00E94CD6" w:rsidP="0013721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752B">
        <w:rPr>
          <w:rFonts w:ascii="Times New Roman" w:hAnsi="Times New Roman" w:cs="Times New Roman"/>
          <w:b/>
          <w:bCs/>
          <w:sz w:val="24"/>
          <w:szCs w:val="24"/>
        </w:rPr>
        <w:t>Supplement 1</w:t>
      </w:r>
      <w:r w:rsidR="0012182F" w:rsidRPr="0012182F">
        <w:rPr>
          <w:rFonts w:ascii="Times New Roman" w:hAnsi="Times New Roman" w:cs="Times New Roman"/>
          <w:sz w:val="24"/>
          <w:szCs w:val="24"/>
        </w:rPr>
        <w:t xml:space="preserve"> </w:t>
      </w:r>
      <w:r w:rsidR="00DD752B">
        <w:rPr>
          <w:rFonts w:ascii="Times New Roman" w:hAnsi="Times New Roman" w:cs="Times New Roman"/>
          <w:sz w:val="24"/>
          <w:szCs w:val="24"/>
        </w:rPr>
        <w:t>for</w:t>
      </w:r>
      <w:r w:rsidR="001A1396" w:rsidRPr="0012182F">
        <w:rPr>
          <w:rFonts w:ascii="Times New Roman" w:hAnsi="Times New Roman" w:cs="Times New Roman"/>
          <w:sz w:val="24"/>
          <w:szCs w:val="24"/>
        </w:rPr>
        <w:t xml:space="preserve"> </w:t>
      </w:r>
      <w:r w:rsidR="000711AF" w:rsidRPr="0012182F">
        <w:rPr>
          <w:rFonts w:ascii="Times New Roman" w:hAnsi="Times New Roman" w:cs="Times New Roman"/>
          <w:sz w:val="24"/>
          <w:szCs w:val="24"/>
        </w:rPr>
        <w:t>“Climate-mediated population dynamics for the world’s most endangered sea turtle species.”</w:t>
      </w:r>
    </w:p>
    <w:p w14:paraId="78A0B08B" w14:textId="47A1C3A6" w:rsidR="00E94CD6" w:rsidRDefault="00E94CD6" w:rsidP="0013721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8695FF" w14:textId="4062C6BA" w:rsidR="00EA3045" w:rsidRDefault="00EA3045" w:rsidP="0013721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 implied by “population dynamics”, the age structure of populations fluctuate</w:t>
      </w:r>
      <w:r w:rsidR="00AE38AC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temporally</w:t>
      </w:r>
      <w:r w:rsidR="001A1396">
        <w:rPr>
          <w:rFonts w:ascii="Times New Roman" w:hAnsi="Times New Roman" w:cs="Times New Roman"/>
          <w:sz w:val="24"/>
          <w:szCs w:val="24"/>
        </w:rPr>
        <w:t xml:space="preserve">, and </w:t>
      </w:r>
      <w:r>
        <w:rPr>
          <w:rFonts w:ascii="Times New Roman" w:hAnsi="Times New Roman" w:cs="Times New Roman"/>
          <w:sz w:val="24"/>
          <w:szCs w:val="24"/>
        </w:rPr>
        <w:t xml:space="preserve">presumably </w:t>
      </w:r>
      <w:r w:rsidR="001A1396">
        <w:rPr>
          <w:rFonts w:ascii="Times New Roman" w:hAnsi="Times New Roman" w:cs="Times New Roman"/>
          <w:sz w:val="24"/>
          <w:szCs w:val="24"/>
        </w:rPr>
        <w:t>oscillation occurs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E38AC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round a central </w:t>
      </w:r>
      <w:r w:rsidR="00AE38AC">
        <w:rPr>
          <w:rFonts w:ascii="Times New Roman" w:hAnsi="Times New Roman" w:cs="Times New Roman"/>
          <w:sz w:val="24"/>
          <w:szCs w:val="24"/>
        </w:rPr>
        <w:t xml:space="preserve">density favoring </w:t>
      </w:r>
      <w:r>
        <w:rPr>
          <w:rFonts w:ascii="Times New Roman" w:hAnsi="Times New Roman" w:cs="Times New Roman"/>
          <w:sz w:val="24"/>
          <w:szCs w:val="24"/>
        </w:rPr>
        <w:t xml:space="preserve">stability [A].  </w:t>
      </w:r>
      <w:r w:rsidR="001A1396">
        <w:rPr>
          <w:rFonts w:ascii="Times New Roman" w:hAnsi="Times New Roman" w:cs="Times New Roman"/>
          <w:sz w:val="24"/>
          <w:szCs w:val="24"/>
        </w:rPr>
        <w:t>As such</w:t>
      </w:r>
      <w:r>
        <w:rPr>
          <w:rFonts w:ascii="Times New Roman" w:hAnsi="Times New Roman" w:cs="Times New Roman"/>
          <w:sz w:val="24"/>
          <w:szCs w:val="24"/>
        </w:rPr>
        <w:t xml:space="preserve">, when modeling population responses to </w:t>
      </w:r>
      <w:r w:rsidR="00AE38AC">
        <w:rPr>
          <w:rFonts w:ascii="Times New Roman" w:hAnsi="Times New Roman" w:cs="Times New Roman"/>
          <w:sz w:val="24"/>
          <w:szCs w:val="24"/>
        </w:rPr>
        <w:t>life history parameter changes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1A1396">
        <w:rPr>
          <w:rFonts w:ascii="Times New Roman" w:hAnsi="Times New Roman" w:cs="Times New Roman"/>
          <w:sz w:val="24"/>
          <w:szCs w:val="24"/>
        </w:rPr>
        <w:t xml:space="preserve">(a) </w:t>
      </w:r>
      <w:r w:rsidR="001A1396">
        <w:rPr>
          <w:rFonts w:ascii="Times New Roman" w:hAnsi="Times New Roman" w:cs="Times New Roman"/>
          <w:sz w:val="24"/>
          <w:szCs w:val="24"/>
        </w:rPr>
        <w:t>ensuring that baseline life history equations are configured for stability</w:t>
      </w:r>
      <w:r w:rsidR="001A1396">
        <w:rPr>
          <w:rFonts w:ascii="Times New Roman" w:hAnsi="Times New Roman" w:cs="Times New Roman"/>
          <w:sz w:val="24"/>
          <w:szCs w:val="24"/>
        </w:rPr>
        <w:t xml:space="preserve"> is as important as (b) parameterizing life history metrics with biologically sound values.  </w:t>
      </w:r>
      <w:r>
        <w:rPr>
          <w:rFonts w:ascii="Times New Roman" w:hAnsi="Times New Roman" w:cs="Times New Roman"/>
          <w:sz w:val="24"/>
          <w:szCs w:val="24"/>
        </w:rPr>
        <w:t xml:space="preserve">With this </w:t>
      </w:r>
      <w:r w:rsidR="001A1396">
        <w:rPr>
          <w:rFonts w:ascii="Times New Roman" w:hAnsi="Times New Roman" w:cs="Times New Roman"/>
          <w:sz w:val="24"/>
          <w:szCs w:val="24"/>
        </w:rPr>
        <w:t>caveat</w:t>
      </w:r>
      <w:r>
        <w:rPr>
          <w:rFonts w:ascii="Times New Roman" w:hAnsi="Times New Roman" w:cs="Times New Roman"/>
          <w:sz w:val="24"/>
          <w:szCs w:val="24"/>
        </w:rPr>
        <w:t xml:space="preserve"> in mind, gross synthesis was completed </w:t>
      </w:r>
      <w:r w:rsidR="001A1396">
        <w:rPr>
          <w:rFonts w:ascii="Times New Roman" w:hAnsi="Times New Roman" w:cs="Times New Roman"/>
          <w:sz w:val="24"/>
          <w:szCs w:val="24"/>
        </w:rPr>
        <w:t>to evaluate prior modeling efforts for</w:t>
      </w:r>
      <w:r>
        <w:rPr>
          <w:rFonts w:ascii="Times New Roman" w:hAnsi="Times New Roman" w:cs="Times New Roman"/>
          <w:sz w:val="24"/>
          <w:szCs w:val="24"/>
        </w:rPr>
        <w:t xml:space="preserve"> Kemp’s ridley sea turtle</w:t>
      </w:r>
      <w:r w:rsidR="001A1396">
        <w:rPr>
          <w:rFonts w:ascii="Times New Roman" w:hAnsi="Times New Roman" w:cs="Times New Roman"/>
          <w:sz w:val="24"/>
          <w:szCs w:val="24"/>
        </w:rPr>
        <w:t xml:space="preserve"> </w:t>
      </w:r>
      <w:r w:rsidR="00043556">
        <w:rPr>
          <w:rFonts w:ascii="Times New Roman" w:hAnsi="Times New Roman" w:cs="Times New Roman"/>
          <w:sz w:val="24"/>
          <w:szCs w:val="24"/>
        </w:rPr>
        <w:t>(KR</w:t>
      </w:r>
      <w:r w:rsidR="001A1396">
        <w:rPr>
          <w:rFonts w:ascii="Times New Roman" w:hAnsi="Times New Roman" w:cs="Times New Roman"/>
          <w:sz w:val="24"/>
          <w:szCs w:val="24"/>
        </w:rPr>
        <w:t>ST</w:t>
      </w:r>
      <w:r w:rsidR="00043556">
        <w:rPr>
          <w:rFonts w:ascii="Times New Roman" w:hAnsi="Times New Roman" w:cs="Times New Roman"/>
          <w:sz w:val="24"/>
          <w:szCs w:val="24"/>
        </w:rPr>
        <w:t>) population dynamics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37D6CFD" w14:textId="3DCAFD80" w:rsidR="00EA3045" w:rsidRDefault="00EA3045" w:rsidP="0013721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6BFE4E" w14:textId="3F55AEE5" w:rsidR="00EA3045" w:rsidRDefault="00EA3045" w:rsidP="0013721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D96950">
        <w:rPr>
          <w:rFonts w:ascii="Times New Roman" w:hAnsi="Times New Roman" w:cs="Times New Roman"/>
          <w:sz w:val="24"/>
          <w:szCs w:val="24"/>
        </w:rPr>
        <w:t xml:space="preserve">he basic equation for annual nesting </w:t>
      </w:r>
      <w:r w:rsidR="00AE38AC">
        <w:rPr>
          <w:rFonts w:ascii="Times New Roman" w:hAnsi="Times New Roman" w:cs="Times New Roman"/>
          <w:sz w:val="24"/>
          <w:szCs w:val="24"/>
        </w:rPr>
        <w:t xml:space="preserve">in </w:t>
      </w:r>
      <w:r w:rsidR="00D96950">
        <w:rPr>
          <w:rFonts w:ascii="Times New Roman" w:hAnsi="Times New Roman" w:cs="Times New Roman"/>
          <w:sz w:val="24"/>
          <w:szCs w:val="24"/>
        </w:rPr>
        <w:t>all sea turtle</w:t>
      </w:r>
      <w:r w:rsidR="00AE38AC">
        <w:rPr>
          <w:rFonts w:ascii="Times New Roman" w:hAnsi="Times New Roman" w:cs="Times New Roman"/>
          <w:sz w:val="24"/>
          <w:szCs w:val="24"/>
        </w:rPr>
        <w:t xml:space="preserve"> species</w:t>
      </w:r>
      <w:r w:rsidR="00D96950">
        <w:rPr>
          <w:rFonts w:ascii="Times New Roman" w:hAnsi="Times New Roman" w:cs="Times New Roman"/>
          <w:sz w:val="24"/>
          <w:szCs w:val="24"/>
        </w:rPr>
        <w:t xml:space="preserve"> is as follows:</w:t>
      </w:r>
    </w:p>
    <w:p w14:paraId="12A841FD" w14:textId="5BF84BFE" w:rsidR="00D96950" w:rsidRDefault="00D96950" w:rsidP="0013721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883B3E" w14:textId="3049B04C" w:rsidR="00D96950" w:rsidRPr="00AE38AC" w:rsidRDefault="00D96950" w:rsidP="0013721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E38AC">
        <w:rPr>
          <w:rFonts w:ascii="Times New Roman" w:hAnsi="Times New Roman" w:cs="Times New Roman"/>
          <w:sz w:val="24"/>
          <w:szCs w:val="24"/>
        </w:rPr>
        <w:t>Annual nests (N) = [Mature Females (MF) / Remigration Interval (RI)] x Clutch Frequency (CF)</w:t>
      </w:r>
    </w:p>
    <w:p w14:paraId="15FD2848" w14:textId="2BFF0F60" w:rsidR="00D96950" w:rsidRDefault="00D96950" w:rsidP="0013721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FD98B5" w14:textId="4E50D758" w:rsidR="00D96950" w:rsidRDefault="00D96950" w:rsidP="0013721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equation can be further simplified </w:t>
      </w:r>
      <w:r w:rsidR="00AE38AC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N = MF x [CF/RI].</w:t>
      </w:r>
    </w:p>
    <w:p w14:paraId="1415679B" w14:textId="14345C62" w:rsidR="00D96950" w:rsidRDefault="00D96950" w:rsidP="0013721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8B5020" w14:textId="77777777" w:rsidR="001A1396" w:rsidRDefault="00D96950" w:rsidP="0013721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Annual MF reflects recruitment into the reproductive component of the population (neophyte), which must offset </w:t>
      </w:r>
      <w:r w:rsidR="00AE38AC">
        <w:rPr>
          <w:rFonts w:ascii="Times New Roman" w:hAnsi="Times New Roman" w:cs="Times New Roman"/>
          <w:sz w:val="24"/>
          <w:szCs w:val="24"/>
        </w:rPr>
        <w:t>annual loss</w:t>
      </w:r>
      <w:r>
        <w:rPr>
          <w:rFonts w:ascii="Times New Roman" w:hAnsi="Times New Roman" w:cs="Times New Roman"/>
          <w:sz w:val="24"/>
          <w:szCs w:val="24"/>
        </w:rPr>
        <w:t xml:space="preserve"> of remigrant</w:t>
      </w:r>
      <w:r w:rsidR="00AE38AC">
        <w:rPr>
          <w:rFonts w:ascii="Times New Roman" w:hAnsi="Times New Roman" w:cs="Times New Roman"/>
          <w:sz w:val="24"/>
          <w:szCs w:val="24"/>
        </w:rPr>
        <w:t xml:space="preserve"> MF to maintain a stable abundance of MF over time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37C8E27C" w14:textId="05777371" w:rsidR="00D96950" w:rsidRDefault="001A1396" w:rsidP="00137219">
      <w:pPr>
        <w:pStyle w:val="NoSpacing"/>
        <w:rPr>
          <w:rFonts w:ascii="Times New Roman" w:eastAsia="PalatinoLinotype-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At </w:t>
      </w:r>
      <w:r w:rsidR="00D96950">
        <w:rPr>
          <w:rFonts w:ascii="Times New Roman" w:hAnsi="Times New Roman" w:cs="Times New Roman"/>
          <w:sz w:val="24"/>
          <w:szCs w:val="24"/>
        </w:rPr>
        <w:t xml:space="preserve">large remigrant </w:t>
      </w:r>
      <w:r>
        <w:rPr>
          <w:rFonts w:ascii="Times New Roman" w:hAnsi="Times New Roman" w:cs="Times New Roman"/>
          <w:sz w:val="24"/>
          <w:szCs w:val="24"/>
        </w:rPr>
        <w:t xml:space="preserve">MF </w:t>
      </w:r>
      <w:r w:rsidR="00D96950">
        <w:rPr>
          <w:rFonts w:ascii="Times New Roman" w:hAnsi="Times New Roman" w:cs="Times New Roman"/>
          <w:sz w:val="24"/>
          <w:szCs w:val="24"/>
        </w:rPr>
        <w:t xml:space="preserve">population levels, </w:t>
      </w:r>
      <w:r>
        <w:rPr>
          <w:rFonts w:ascii="Times New Roman" w:hAnsi="Times New Roman" w:cs="Times New Roman"/>
          <w:sz w:val="24"/>
          <w:szCs w:val="24"/>
        </w:rPr>
        <w:t xml:space="preserve">annual </w:t>
      </w:r>
      <w:r w:rsidR="00D96950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ttrition magnitude can </w:t>
      </w:r>
      <w:r w:rsidR="00D96950">
        <w:rPr>
          <w:rFonts w:ascii="Times New Roman" w:hAnsi="Times New Roman" w:cs="Times New Roman"/>
          <w:sz w:val="24"/>
          <w:szCs w:val="24"/>
        </w:rPr>
        <w:t xml:space="preserve">be substantial even </w:t>
      </w:r>
      <w:r>
        <w:rPr>
          <w:rFonts w:ascii="Times New Roman" w:hAnsi="Times New Roman" w:cs="Times New Roman"/>
          <w:sz w:val="24"/>
          <w:szCs w:val="24"/>
        </w:rPr>
        <w:t xml:space="preserve">with </w:t>
      </w:r>
      <w:r w:rsidR="00D96950">
        <w:rPr>
          <w:rFonts w:ascii="Times New Roman" w:hAnsi="Times New Roman" w:cs="Times New Roman"/>
          <w:sz w:val="24"/>
          <w:szCs w:val="24"/>
        </w:rPr>
        <w:t xml:space="preserve">high annual survival rates [B].  For example, in 1947, the number of nesting </w:t>
      </w:r>
      <w:r w:rsidR="00043556">
        <w:rPr>
          <w:rFonts w:ascii="Times New Roman" w:hAnsi="Times New Roman" w:cs="Times New Roman"/>
          <w:sz w:val="24"/>
          <w:szCs w:val="24"/>
        </w:rPr>
        <w:t>KR</w:t>
      </w:r>
      <w:r>
        <w:rPr>
          <w:rFonts w:ascii="Times New Roman" w:hAnsi="Times New Roman" w:cs="Times New Roman"/>
          <w:sz w:val="24"/>
          <w:szCs w:val="24"/>
        </w:rPr>
        <w:t>ST</w:t>
      </w:r>
      <w:r w:rsidR="00D96950">
        <w:rPr>
          <w:rFonts w:ascii="Times New Roman" w:hAnsi="Times New Roman" w:cs="Times New Roman"/>
          <w:sz w:val="24"/>
          <w:szCs w:val="24"/>
        </w:rPr>
        <w:t xml:space="preserve"> was estimated to </w:t>
      </w:r>
      <w:r w:rsidR="00D96950" w:rsidRPr="00D96950">
        <w:rPr>
          <w:rFonts w:ascii="Times New Roman" w:hAnsi="Times New Roman" w:cs="Times New Roman"/>
          <w:sz w:val="24"/>
          <w:szCs w:val="24"/>
        </w:rPr>
        <w:t xml:space="preserve">be </w:t>
      </w:r>
      <w:r w:rsidR="00D96950" w:rsidRPr="00D96950">
        <w:rPr>
          <w:rFonts w:ascii="Times New Roman" w:eastAsia="PalatinoLinotype-Roman" w:hAnsi="Times New Roman" w:cs="Times New Roman"/>
          <w:sz w:val="24"/>
          <w:szCs w:val="24"/>
        </w:rPr>
        <w:t>48</w:t>
      </w:r>
      <w:r w:rsidR="00FD3338">
        <w:rPr>
          <w:rFonts w:ascii="Times New Roman" w:eastAsia="PalatinoLinotype-Roman" w:hAnsi="Times New Roman" w:cs="Times New Roman"/>
          <w:sz w:val="24"/>
          <w:szCs w:val="24"/>
        </w:rPr>
        <w:t>,</w:t>
      </w:r>
      <w:r w:rsidR="00D96950" w:rsidRPr="00D96950">
        <w:rPr>
          <w:rFonts w:ascii="Times New Roman" w:eastAsia="PalatinoLinotype-Roman" w:hAnsi="Times New Roman" w:cs="Times New Roman"/>
          <w:sz w:val="24"/>
          <w:szCs w:val="24"/>
        </w:rPr>
        <w:t xml:space="preserve">607 (range </w:t>
      </w:r>
      <w:r w:rsidR="00D96950">
        <w:rPr>
          <w:rFonts w:ascii="Times New Roman" w:eastAsia="PalatinoLinotype-Roman" w:hAnsi="Times New Roman" w:cs="Times New Roman"/>
          <w:sz w:val="24"/>
          <w:szCs w:val="24"/>
        </w:rPr>
        <w:t xml:space="preserve">= </w:t>
      </w:r>
      <w:r w:rsidR="00D96950" w:rsidRPr="00D96950">
        <w:rPr>
          <w:rFonts w:ascii="Times New Roman" w:eastAsia="PalatinoLinotype-Roman" w:hAnsi="Times New Roman" w:cs="Times New Roman"/>
          <w:sz w:val="24"/>
          <w:szCs w:val="24"/>
        </w:rPr>
        <w:t>33</w:t>
      </w:r>
      <w:r w:rsidR="00D96950">
        <w:rPr>
          <w:rFonts w:ascii="Times New Roman" w:eastAsia="PalatinoLinotype-Roman" w:hAnsi="Times New Roman" w:cs="Times New Roman"/>
          <w:sz w:val="24"/>
          <w:szCs w:val="24"/>
        </w:rPr>
        <w:t>,</w:t>
      </w:r>
      <w:r w:rsidR="00D96950" w:rsidRPr="00D96950">
        <w:rPr>
          <w:rFonts w:ascii="Times New Roman" w:eastAsia="PalatinoLinotype-Roman" w:hAnsi="Times New Roman" w:cs="Times New Roman"/>
          <w:sz w:val="24"/>
          <w:szCs w:val="24"/>
        </w:rPr>
        <w:t>006</w:t>
      </w:r>
      <w:r w:rsidR="00D96950">
        <w:rPr>
          <w:rFonts w:ascii="Times New Roman" w:eastAsia="PalatinoLinotype-Roman" w:hAnsi="Times New Roman" w:cs="Times New Roman"/>
          <w:sz w:val="24"/>
          <w:szCs w:val="24"/>
        </w:rPr>
        <w:t xml:space="preserve"> to </w:t>
      </w:r>
      <w:r w:rsidR="00D96950" w:rsidRPr="00D96950">
        <w:rPr>
          <w:rFonts w:ascii="Times New Roman" w:eastAsia="PalatinoLinotype-Roman" w:hAnsi="Times New Roman" w:cs="Times New Roman"/>
          <w:sz w:val="24"/>
          <w:szCs w:val="24"/>
        </w:rPr>
        <w:t>83</w:t>
      </w:r>
      <w:r w:rsidR="00D96950">
        <w:rPr>
          <w:rFonts w:ascii="Times New Roman" w:eastAsia="PalatinoLinotype-Roman" w:hAnsi="Times New Roman" w:cs="Times New Roman"/>
          <w:sz w:val="24"/>
          <w:szCs w:val="24"/>
        </w:rPr>
        <w:t>,</w:t>
      </w:r>
      <w:r w:rsidR="00D96950" w:rsidRPr="00D96950">
        <w:rPr>
          <w:rFonts w:ascii="Times New Roman" w:eastAsia="PalatinoLinotype-Roman" w:hAnsi="Times New Roman" w:cs="Times New Roman"/>
          <w:sz w:val="24"/>
          <w:szCs w:val="24"/>
        </w:rPr>
        <w:t>981</w:t>
      </w:r>
      <w:r w:rsidR="00D96950">
        <w:rPr>
          <w:rFonts w:ascii="Times New Roman" w:eastAsia="PalatinoLinotype-Roman" w:hAnsi="Times New Roman" w:cs="Times New Roman"/>
          <w:sz w:val="24"/>
          <w:szCs w:val="24"/>
        </w:rPr>
        <w:t>; C</w:t>
      </w:r>
      <w:r w:rsidR="00D96950" w:rsidRPr="00D96950">
        <w:rPr>
          <w:rFonts w:ascii="Times New Roman" w:eastAsia="PalatinoLinotype-Roman" w:hAnsi="Times New Roman" w:cs="Times New Roman"/>
          <w:sz w:val="24"/>
          <w:szCs w:val="24"/>
        </w:rPr>
        <w:t>).</w:t>
      </w:r>
      <w:r w:rsidR="00D96950">
        <w:rPr>
          <w:rFonts w:ascii="Times New Roman" w:eastAsia="PalatinoLinotype-Roman" w:hAnsi="Times New Roman" w:cs="Times New Roman"/>
          <w:sz w:val="24"/>
          <w:szCs w:val="24"/>
        </w:rPr>
        <w:t xml:space="preserve">  Doubling </w:t>
      </w:r>
      <w:r w:rsidR="00043556">
        <w:rPr>
          <w:rFonts w:ascii="Times New Roman" w:eastAsia="PalatinoLinotype-Roman" w:hAnsi="Times New Roman" w:cs="Times New Roman"/>
          <w:sz w:val="24"/>
          <w:szCs w:val="24"/>
        </w:rPr>
        <w:t>these</w:t>
      </w:r>
      <w:r w:rsidR="00D96950">
        <w:rPr>
          <w:rFonts w:ascii="Times New Roman" w:eastAsia="PalatinoLinotype-Roman" w:hAnsi="Times New Roman" w:cs="Times New Roman"/>
          <w:sz w:val="24"/>
          <w:szCs w:val="24"/>
        </w:rPr>
        <w:t xml:space="preserve"> estimate</w:t>
      </w:r>
      <w:r w:rsidR="00043556">
        <w:rPr>
          <w:rFonts w:ascii="Times New Roman" w:eastAsia="PalatinoLinotype-Roman" w:hAnsi="Times New Roman" w:cs="Times New Roman"/>
          <w:sz w:val="24"/>
          <w:szCs w:val="24"/>
        </w:rPr>
        <w:t>s</w:t>
      </w:r>
      <w:r w:rsidR="00D96950">
        <w:rPr>
          <w:rFonts w:ascii="Times New Roman" w:eastAsia="PalatinoLinotype-Roman" w:hAnsi="Times New Roman" w:cs="Times New Roman"/>
          <w:sz w:val="24"/>
          <w:szCs w:val="24"/>
        </w:rPr>
        <w:t xml:space="preserve"> to reflect a remigration interval of two years</w:t>
      </w:r>
      <w:r w:rsidR="00043556">
        <w:rPr>
          <w:rFonts w:ascii="Times New Roman" w:eastAsia="PalatinoLinotype-Roman" w:hAnsi="Times New Roman" w:cs="Times New Roman"/>
          <w:sz w:val="24"/>
          <w:szCs w:val="24"/>
        </w:rPr>
        <w:t xml:space="preserve"> suggest</w:t>
      </w:r>
      <w:r>
        <w:rPr>
          <w:rFonts w:ascii="Times New Roman" w:eastAsia="PalatinoLinotype-Roman" w:hAnsi="Times New Roman" w:cs="Times New Roman"/>
          <w:sz w:val="24"/>
          <w:szCs w:val="24"/>
        </w:rPr>
        <w:t xml:space="preserve"> existence of </w:t>
      </w:r>
      <w:r w:rsidR="00043556">
        <w:rPr>
          <w:rFonts w:ascii="Times New Roman" w:eastAsia="PalatinoLinotype-Roman" w:hAnsi="Times New Roman" w:cs="Times New Roman"/>
          <w:sz w:val="24"/>
          <w:szCs w:val="24"/>
        </w:rPr>
        <w:t xml:space="preserve">66,012 </w:t>
      </w:r>
      <w:r>
        <w:rPr>
          <w:rFonts w:ascii="Times New Roman" w:eastAsia="PalatinoLinotype-Roman" w:hAnsi="Times New Roman" w:cs="Times New Roman"/>
          <w:sz w:val="24"/>
          <w:szCs w:val="24"/>
        </w:rPr>
        <w:t>to</w:t>
      </w:r>
      <w:r w:rsidR="00043556">
        <w:rPr>
          <w:rFonts w:ascii="Times New Roman" w:eastAsia="PalatinoLinotype-Roman" w:hAnsi="Times New Roman" w:cs="Times New Roman"/>
          <w:sz w:val="24"/>
          <w:szCs w:val="24"/>
        </w:rPr>
        <w:t xml:space="preserve"> 167,962 MF KR</w:t>
      </w:r>
      <w:r>
        <w:rPr>
          <w:rFonts w:ascii="Times New Roman" w:eastAsia="PalatinoLinotype-Roman" w:hAnsi="Times New Roman" w:cs="Times New Roman"/>
          <w:sz w:val="24"/>
          <w:szCs w:val="24"/>
        </w:rPr>
        <w:t>ST</w:t>
      </w:r>
      <w:r w:rsidR="00043556">
        <w:rPr>
          <w:rFonts w:ascii="Times New Roman" w:eastAsia="PalatinoLinotype-Roman" w:hAnsi="Times New Roman" w:cs="Times New Roman"/>
          <w:sz w:val="24"/>
          <w:szCs w:val="24"/>
        </w:rPr>
        <w:t xml:space="preserve"> in 1947.  </w:t>
      </w:r>
      <w:r w:rsidR="00AE38AC">
        <w:rPr>
          <w:rFonts w:ascii="Times New Roman" w:eastAsia="PalatinoLinotype-Roman" w:hAnsi="Times New Roman" w:cs="Times New Roman"/>
          <w:sz w:val="24"/>
          <w:szCs w:val="24"/>
        </w:rPr>
        <w:t>Therefore</w:t>
      </w:r>
      <w:r w:rsidR="00043556">
        <w:rPr>
          <w:rFonts w:ascii="Times New Roman" w:eastAsia="PalatinoLinotype-Roman" w:hAnsi="Times New Roman" w:cs="Times New Roman"/>
          <w:sz w:val="24"/>
          <w:szCs w:val="24"/>
        </w:rPr>
        <w:t>, if 95% survived annually, between 3300 and 8398 neophyte MF KR</w:t>
      </w:r>
      <w:r>
        <w:rPr>
          <w:rFonts w:ascii="Times New Roman" w:eastAsia="PalatinoLinotype-Roman" w:hAnsi="Times New Roman" w:cs="Times New Roman"/>
          <w:sz w:val="24"/>
          <w:szCs w:val="24"/>
        </w:rPr>
        <w:t>ST</w:t>
      </w:r>
      <w:r w:rsidR="00043556">
        <w:rPr>
          <w:rFonts w:ascii="Times New Roman" w:eastAsia="PalatinoLinotype-Roman" w:hAnsi="Times New Roman" w:cs="Times New Roman"/>
          <w:sz w:val="24"/>
          <w:szCs w:val="24"/>
        </w:rPr>
        <w:t xml:space="preserve"> would need to recruit into the remigrant population annually to </w:t>
      </w:r>
      <w:r w:rsidR="00AE38AC">
        <w:rPr>
          <w:rFonts w:ascii="Times New Roman" w:eastAsia="PalatinoLinotype-Roman" w:hAnsi="Times New Roman" w:cs="Times New Roman"/>
          <w:sz w:val="24"/>
          <w:szCs w:val="24"/>
        </w:rPr>
        <w:t>offset loss of MF KR</w:t>
      </w:r>
      <w:r>
        <w:rPr>
          <w:rFonts w:ascii="Times New Roman" w:eastAsia="PalatinoLinotype-Roman" w:hAnsi="Times New Roman" w:cs="Times New Roman"/>
          <w:sz w:val="24"/>
          <w:szCs w:val="24"/>
        </w:rPr>
        <w:t>ST</w:t>
      </w:r>
      <w:r w:rsidR="00AE38AC">
        <w:rPr>
          <w:rFonts w:ascii="Times New Roman" w:eastAsia="PalatinoLinotype-Roman" w:hAnsi="Times New Roman" w:cs="Times New Roman"/>
          <w:sz w:val="24"/>
          <w:szCs w:val="24"/>
        </w:rPr>
        <w:t xml:space="preserve"> at </w:t>
      </w:r>
      <w:r>
        <w:rPr>
          <w:rFonts w:ascii="Times New Roman" w:eastAsia="PalatinoLinotype-Roman" w:hAnsi="Times New Roman" w:cs="Times New Roman"/>
          <w:sz w:val="24"/>
          <w:szCs w:val="24"/>
        </w:rPr>
        <w:t xml:space="preserve">this </w:t>
      </w:r>
      <w:r w:rsidR="00AE38AC">
        <w:rPr>
          <w:rFonts w:ascii="Times New Roman" w:eastAsia="PalatinoLinotype-Roman" w:hAnsi="Times New Roman" w:cs="Times New Roman"/>
          <w:sz w:val="24"/>
          <w:szCs w:val="24"/>
        </w:rPr>
        <w:t>high survival</w:t>
      </w:r>
      <w:r w:rsidR="00043556">
        <w:rPr>
          <w:rFonts w:ascii="Times New Roman" w:eastAsia="PalatinoLinotype-Roman" w:hAnsi="Times New Roman" w:cs="Times New Roman"/>
          <w:sz w:val="24"/>
          <w:szCs w:val="24"/>
        </w:rPr>
        <w:t xml:space="preserve">.  Coincidentally, these </w:t>
      </w:r>
      <w:r w:rsidR="00AE38AC">
        <w:rPr>
          <w:rFonts w:ascii="Times New Roman" w:eastAsia="PalatinoLinotype-Roman" w:hAnsi="Times New Roman" w:cs="Times New Roman"/>
          <w:sz w:val="24"/>
          <w:szCs w:val="24"/>
        </w:rPr>
        <w:t xml:space="preserve">estimates </w:t>
      </w:r>
      <w:r w:rsidR="00043556">
        <w:rPr>
          <w:rFonts w:ascii="Times New Roman" w:eastAsia="PalatinoLinotype-Roman" w:hAnsi="Times New Roman" w:cs="Times New Roman"/>
          <w:sz w:val="24"/>
          <w:szCs w:val="24"/>
        </w:rPr>
        <w:t>of neophyte recruitment are on order with the upper end (5k) of annual loss estimates for all aged KR</w:t>
      </w:r>
      <w:r>
        <w:rPr>
          <w:rFonts w:ascii="Times New Roman" w:eastAsia="PalatinoLinotype-Roman" w:hAnsi="Times New Roman" w:cs="Times New Roman"/>
          <w:sz w:val="24"/>
          <w:szCs w:val="24"/>
        </w:rPr>
        <w:t>ST</w:t>
      </w:r>
      <w:r w:rsidR="00043556">
        <w:rPr>
          <w:rFonts w:ascii="Times New Roman" w:eastAsia="PalatinoLinotype-Roman" w:hAnsi="Times New Roman" w:cs="Times New Roman"/>
          <w:sz w:val="24"/>
          <w:szCs w:val="24"/>
        </w:rPr>
        <w:t xml:space="preserve"> from shrimp trawling before Turtle Excluder Devices (TEDs) were mandated, </w:t>
      </w:r>
      <w:r w:rsidR="00AE38AC">
        <w:rPr>
          <w:rFonts w:ascii="Times New Roman" w:eastAsia="PalatinoLinotype-Roman" w:hAnsi="Times New Roman" w:cs="Times New Roman"/>
          <w:sz w:val="24"/>
          <w:szCs w:val="24"/>
        </w:rPr>
        <w:t xml:space="preserve">and </w:t>
      </w:r>
      <w:r w:rsidR="00043556">
        <w:rPr>
          <w:rFonts w:ascii="Times New Roman" w:eastAsia="PalatinoLinotype-Roman" w:hAnsi="Times New Roman" w:cs="Times New Roman"/>
          <w:sz w:val="24"/>
          <w:szCs w:val="24"/>
        </w:rPr>
        <w:t xml:space="preserve">several times greater than </w:t>
      </w:r>
      <w:r w:rsidR="00AE38AC">
        <w:rPr>
          <w:rFonts w:ascii="Times New Roman" w:eastAsia="PalatinoLinotype-Roman" w:hAnsi="Times New Roman" w:cs="Times New Roman"/>
          <w:sz w:val="24"/>
          <w:szCs w:val="24"/>
        </w:rPr>
        <w:t>the low</w:t>
      </w:r>
      <w:r w:rsidR="00043556">
        <w:rPr>
          <w:rFonts w:ascii="Times New Roman" w:eastAsia="PalatinoLinotype-Roman" w:hAnsi="Times New Roman" w:cs="Times New Roman"/>
          <w:sz w:val="24"/>
          <w:szCs w:val="24"/>
        </w:rPr>
        <w:t xml:space="preserve"> annual loss estimates (500; [D]).</w:t>
      </w:r>
    </w:p>
    <w:p w14:paraId="3312F83E" w14:textId="79CA2701" w:rsidR="00AE38AC" w:rsidRDefault="00AE38AC" w:rsidP="00137219">
      <w:pPr>
        <w:pStyle w:val="NoSpacing"/>
        <w:rPr>
          <w:rFonts w:ascii="Times New Roman" w:eastAsia="PalatinoLinotype-Roman" w:hAnsi="Times New Roman" w:cs="Times New Roman"/>
          <w:sz w:val="24"/>
          <w:szCs w:val="24"/>
        </w:rPr>
      </w:pPr>
    </w:p>
    <w:p w14:paraId="59A7E462" w14:textId="5CB4062B" w:rsidR="002A250C" w:rsidRDefault="001A1396" w:rsidP="00137219">
      <w:pPr>
        <w:pStyle w:val="NoSpacing"/>
        <w:rPr>
          <w:rFonts w:ascii="Times New Roman" w:eastAsia="PalatinoLinotype-Roman" w:hAnsi="Times New Roman" w:cs="Times New Roman"/>
          <w:sz w:val="24"/>
          <w:szCs w:val="24"/>
        </w:rPr>
      </w:pPr>
      <w:r>
        <w:rPr>
          <w:rFonts w:ascii="Times New Roman" w:eastAsia="PalatinoLinotype-Roman" w:hAnsi="Times New Roman" w:cs="Times New Roman"/>
          <w:sz w:val="24"/>
          <w:szCs w:val="24"/>
        </w:rPr>
        <w:t>Annual n</w:t>
      </w:r>
      <w:r w:rsidR="000E2F93">
        <w:rPr>
          <w:rFonts w:ascii="Times New Roman" w:eastAsia="PalatinoLinotype-Roman" w:hAnsi="Times New Roman" w:cs="Times New Roman"/>
          <w:sz w:val="24"/>
          <w:szCs w:val="24"/>
        </w:rPr>
        <w:t xml:space="preserve">eophyte recruitment into the MF component of the population reflects several life history parameter considerations within at least </w:t>
      </w:r>
      <w:r>
        <w:rPr>
          <w:rFonts w:ascii="Times New Roman" w:eastAsia="PalatinoLinotype-Roman" w:hAnsi="Times New Roman" w:cs="Times New Roman"/>
          <w:sz w:val="24"/>
          <w:szCs w:val="24"/>
        </w:rPr>
        <w:t>a</w:t>
      </w:r>
      <w:r w:rsidR="000E2F93">
        <w:rPr>
          <w:rFonts w:ascii="Times New Roman" w:eastAsia="PalatinoLinotype-Roman" w:hAnsi="Times New Roman" w:cs="Times New Roman"/>
          <w:sz w:val="24"/>
          <w:szCs w:val="24"/>
        </w:rPr>
        <w:t xml:space="preserve"> cohort, and potentially across </w:t>
      </w:r>
      <w:r>
        <w:rPr>
          <w:rFonts w:ascii="Times New Roman" w:eastAsia="PalatinoLinotype-Roman" w:hAnsi="Times New Roman" w:cs="Times New Roman"/>
          <w:sz w:val="24"/>
          <w:szCs w:val="24"/>
        </w:rPr>
        <w:t>multiple</w:t>
      </w:r>
      <w:r w:rsidR="000E2F93">
        <w:rPr>
          <w:rFonts w:ascii="Times New Roman" w:eastAsia="PalatinoLinotype-Roman" w:hAnsi="Times New Roman" w:cs="Times New Roman"/>
          <w:sz w:val="24"/>
          <w:szCs w:val="24"/>
        </w:rPr>
        <w:t xml:space="preserve"> cohorts.  </w:t>
      </w:r>
      <w:r w:rsidR="002A250C">
        <w:rPr>
          <w:rFonts w:ascii="Times New Roman" w:eastAsia="PalatinoLinotype-Roman" w:hAnsi="Times New Roman" w:cs="Times New Roman"/>
          <w:sz w:val="24"/>
          <w:szCs w:val="24"/>
        </w:rPr>
        <w:t>Critical</w:t>
      </w:r>
      <w:r w:rsidR="000E2F93">
        <w:rPr>
          <w:rFonts w:ascii="Times New Roman" w:eastAsia="PalatinoLinotype-Roman" w:hAnsi="Times New Roman" w:cs="Times New Roman"/>
          <w:sz w:val="24"/>
          <w:szCs w:val="24"/>
        </w:rPr>
        <w:t xml:space="preserve"> </w:t>
      </w:r>
      <w:r w:rsidR="002A250C">
        <w:rPr>
          <w:rFonts w:ascii="Times New Roman" w:eastAsia="PalatinoLinotype-Roman" w:hAnsi="Times New Roman" w:cs="Times New Roman"/>
          <w:sz w:val="24"/>
          <w:szCs w:val="24"/>
        </w:rPr>
        <w:t xml:space="preserve">life history </w:t>
      </w:r>
      <w:r w:rsidR="000E2F93">
        <w:rPr>
          <w:rFonts w:ascii="Times New Roman" w:eastAsia="PalatinoLinotype-Roman" w:hAnsi="Times New Roman" w:cs="Times New Roman"/>
          <w:sz w:val="24"/>
          <w:szCs w:val="24"/>
        </w:rPr>
        <w:t xml:space="preserve">considerations include the number of hatchlings per nest (HpN) that enter the ocean, </w:t>
      </w:r>
      <w:r w:rsidR="002A250C">
        <w:rPr>
          <w:rFonts w:ascii="Times New Roman" w:eastAsia="PalatinoLinotype-Roman" w:hAnsi="Times New Roman" w:cs="Times New Roman"/>
          <w:sz w:val="24"/>
          <w:szCs w:val="24"/>
        </w:rPr>
        <w:t xml:space="preserve">annual survival until reaching ASM, </w:t>
      </w:r>
      <w:r w:rsidR="00FD3338">
        <w:rPr>
          <w:rFonts w:ascii="Times New Roman" w:eastAsia="PalatinoLinotype-Roman" w:hAnsi="Times New Roman" w:cs="Times New Roman"/>
          <w:sz w:val="24"/>
          <w:szCs w:val="24"/>
        </w:rPr>
        <w:t xml:space="preserve">and </w:t>
      </w:r>
      <w:r w:rsidR="002A250C">
        <w:rPr>
          <w:rFonts w:ascii="Times New Roman" w:eastAsia="PalatinoLinotype-Roman" w:hAnsi="Times New Roman" w:cs="Times New Roman"/>
          <w:sz w:val="24"/>
          <w:szCs w:val="24"/>
        </w:rPr>
        <w:t xml:space="preserve">the proportion of survivors to ASM that are female (Prop F).  Temporal stability in MF does not guarantee lack of variability in annual N because CF/RI may </w:t>
      </w:r>
      <w:r>
        <w:rPr>
          <w:rFonts w:ascii="Times New Roman" w:eastAsia="PalatinoLinotype-Roman" w:hAnsi="Times New Roman" w:cs="Times New Roman"/>
          <w:sz w:val="24"/>
          <w:szCs w:val="24"/>
        </w:rPr>
        <w:t xml:space="preserve">also </w:t>
      </w:r>
      <w:r w:rsidR="002A250C">
        <w:rPr>
          <w:rFonts w:ascii="Times New Roman" w:eastAsia="PalatinoLinotype-Roman" w:hAnsi="Times New Roman" w:cs="Times New Roman"/>
          <w:sz w:val="24"/>
          <w:szCs w:val="24"/>
        </w:rPr>
        <w:t xml:space="preserve">not remain </w:t>
      </w:r>
      <w:r>
        <w:rPr>
          <w:rFonts w:ascii="Times New Roman" w:eastAsia="PalatinoLinotype-Roman" w:hAnsi="Times New Roman" w:cs="Times New Roman"/>
          <w:sz w:val="24"/>
          <w:szCs w:val="24"/>
        </w:rPr>
        <w:t>static</w:t>
      </w:r>
      <w:r w:rsidR="002A250C">
        <w:rPr>
          <w:rFonts w:ascii="Times New Roman" w:eastAsia="PalatinoLinotype-Roman" w:hAnsi="Times New Roman" w:cs="Times New Roman"/>
          <w:sz w:val="24"/>
          <w:szCs w:val="24"/>
        </w:rPr>
        <w:t xml:space="preserve">.  Likewise, temporal variability in HpN and/or Prop F would </w:t>
      </w:r>
      <w:r>
        <w:rPr>
          <w:rFonts w:ascii="Times New Roman" w:eastAsia="PalatinoLinotype-Roman" w:hAnsi="Times New Roman" w:cs="Times New Roman"/>
          <w:sz w:val="24"/>
          <w:szCs w:val="24"/>
        </w:rPr>
        <w:t xml:space="preserve">also require compensatory life history adjustments to foster only </w:t>
      </w:r>
      <w:r w:rsidR="002A250C">
        <w:rPr>
          <w:rFonts w:ascii="Times New Roman" w:eastAsia="PalatinoLinotype-Roman" w:hAnsi="Times New Roman" w:cs="Times New Roman"/>
          <w:sz w:val="24"/>
          <w:szCs w:val="24"/>
        </w:rPr>
        <w:t xml:space="preserve">population </w:t>
      </w:r>
      <w:r>
        <w:rPr>
          <w:rFonts w:ascii="Times New Roman" w:eastAsia="PalatinoLinotype-Roman" w:hAnsi="Times New Roman" w:cs="Times New Roman"/>
          <w:sz w:val="24"/>
          <w:szCs w:val="24"/>
        </w:rPr>
        <w:t>stability.</w:t>
      </w:r>
    </w:p>
    <w:p w14:paraId="7E330E60" w14:textId="77777777" w:rsidR="002A250C" w:rsidRDefault="002A250C" w:rsidP="00137219">
      <w:pPr>
        <w:pStyle w:val="NoSpacing"/>
        <w:rPr>
          <w:rFonts w:ascii="Times New Roman" w:eastAsia="PalatinoLinotype-Roman" w:hAnsi="Times New Roman" w:cs="Times New Roman"/>
          <w:sz w:val="24"/>
          <w:szCs w:val="24"/>
        </w:rPr>
      </w:pPr>
    </w:p>
    <w:p w14:paraId="470A8B2F" w14:textId="14C6BA02" w:rsidR="00341F94" w:rsidRDefault="00523D10" w:rsidP="00137219">
      <w:pPr>
        <w:pStyle w:val="NoSpacing"/>
        <w:rPr>
          <w:rFonts w:ascii="Times New Roman" w:eastAsia="PalatinoLinotype-Roman" w:hAnsi="Times New Roman" w:cs="Times New Roman"/>
          <w:sz w:val="24"/>
          <w:szCs w:val="24"/>
        </w:rPr>
      </w:pPr>
      <w:r w:rsidRPr="00DD752B">
        <w:rPr>
          <w:rFonts w:ascii="Times New Roman" w:eastAsia="PalatinoLinotype-Roman" w:hAnsi="Times New Roman" w:cs="Times New Roman"/>
          <w:sz w:val="24"/>
          <w:szCs w:val="24"/>
        </w:rPr>
        <w:t>Three prominent population assessments have been conducted for Kemp’s ridley sea turtles, and most have used similar values for CF/RI (1.25) and female hatchling proportion (0.7; Table S</w:t>
      </w:r>
      <w:r w:rsidR="00DD752B" w:rsidRPr="00DD752B">
        <w:rPr>
          <w:rFonts w:ascii="Times New Roman" w:eastAsia="PalatinoLinotype-Roman" w:hAnsi="Times New Roman" w:cs="Times New Roman"/>
          <w:sz w:val="24"/>
          <w:szCs w:val="24"/>
        </w:rPr>
        <w:t>1</w:t>
      </w:r>
      <w:r w:rsidRPr="00DD752B">
        <w:rPr>
          <w:rFonts w:ascii="Times New Roman" w:eastAsia="PalatinoLinotype-Roman" w:hAnsi="Times New Roman" w:cs="Times New Roman"/>
          <w:sz w:val="24"/>
          <w:szCs w:val="24"/>
        </w:rPr>
        <w:t>). Three variable but fixed (8, 10, 12) values for ASM were used by two modeling efforts [</w:t>
      </w:r>
      <w:proofErr w:type="gramStart"/>
      <w:r w:rsidRPr="00DD752B">
        <w:rPr>
          <w:rFonts w:ascii="Times New Roman" w:eastAsia="PalatinoLinotype-Roman" w:hAnsi="Times New Roman" w:cs="Times New Roman"/>
          <w:sz w:val="24"/>
          <w:szCs w:val="24"/>
        </w:rPr>
        <w:t>E,F</w:t>
      </w:r>
      <w:proofErr w:type="gramEnd"/>
      <w:r w:rsidRPr="00DD752B">
        <w:rPr>
          <w:rFonts w:ascii="Times New Roman" w:eastAsia="PalatinoLinotype-Roman" w:hAnsi="Times New Roman" w:cs="Times New Roman"/>
          <w:sz w:val="24"/>
          <w:szCs w:val="24"/>
        </w:rPr>
        <w:t>,G], while the third modeled a mean ASM of 13.5 years computed from proportional weighting between A10 (0.1) and A14 (1.0) [I,J].  Fixed annual HpN of 48 [</w:t>
      </w:r>
      <w:proofErr w:type="gramStart"/>
      <w:r w:rsidRPr="00DD752B">
        <w:rPr>
          <w:rFonts w:ascii="Times New Roman" w:eastAsia="PalatinoLinotype-Roman" w:hAnsi="Times New Roman" w:cs="Times New Roman"/>
          <w:sz w:val="24"/>
          <w:szCs w:val="24"/>
        </w:rPr>
        <w:t>I,J</w:t>
      </w:r>
      <w:proofErr w:type="gramEnd"/>
      <w:r w:rsidRPr="00DD752B">
        <w:rPr>
          <w:rFonts w:ascii="Times New Roman" w:eastAsia="PalatinoLinotype-Roman" w:hAnsi="Times New Roman" w:cs="Times New Roman"/>
          <w:sz w:val="24"/>
          <w:szCs w:val="24"/>
        </w:rPr>
        <w:t xml:space="preserve">] and 70 [E] were </w:t>
      </w:r>
      <w:r w:rsidR="00DD752B">
        <w:rPr>
          <w:rFonts w:ascii="Times New Roman" w:eastAsia="PalatinoLinotype-Roman" w:hAnsi="Times New Roman" w:cs="Times New Roman"/>
          <w:sz w:val="24"/>
          <w:szCs w:val="24"/>
        </w:rPr>
        <w:t>used by</w:t>
      </w:r>
      <w:r w:rsidRPr="00DD752B">
        <w:rPr>
          <w:rFonts w:ascii="Times New Roman" w:eastAsia="PalatinoLinotype-Roman" w:hAnsi="Times New Roman" w:cs="Times New Roman"/>
          <w:sz w:val="24"/>
          <w:szCs w:val="24"/>
        </w:rPr>
        <w:t xml:space="preserve"> two modeling efforts, while </w:t>
      </w:r>
      <w:r w:rsidR="00DD752B">
        <w:rPr>
          <w:rFonts w:ascii="Times New Roman" w:eastAsia="PalatinoLinotype-Roman" w:hAnsi="Times New Roman" w:cs="Times New Roman"/>
          <w:sz w:val="24"/>
          <w:szCs w:val="24"/>
        </w:rPr>
        <w:t xml:space="preserve">the third used </w:t>
      </w:r>
      <w:r w:rsidRPr="00DD752B">
        <w:rPr>
          <w:rFonts w:ascii="Times New Roman" w:eastAsia="PalatinoLinotype-Roman" w:hAnsi="Times New Roman" w:cs="Times New Roman"/>
          <w:sz w:val="24"/>
          <w:szCs w:val="24"/>
        </w:rPr>
        <w:t>a mean HpN of 49 [F,G].</w:t>
      </w:r>
      <w:r w:rsidR="00DD752B">
        <w:rPr>
          <w:rFonts w:ascii="Times New Roman" w:eastAsia="PalatinoLinotype-Roman" w:hAnsi="Times New Roman" w:cs="Times New Roman"/>
          <w:sz w:val="24"/>
          <w:szCs w:val="24"/>
        </w:rPr>
        <w:t xml:space="preserve">  Extrapolation of these parameterization schedules across reported survival rates reveals that </w:t>
      </w:r>
      <w:r w:rsidR="00DD752B" w:rsidRPr="00DD752B">
        <w:rPr>
          <w:rFonts w:ascii="Times New Roman" w:eastAsia="PalatinoLinotype-Roman" w:hAnsi="Times New Roman" w:cs="Times New Roman"/>
          <w:sz w:val="24"/>
          <w:szCs w:val="24"/>
        </w:rPr>
        <w:t>prior KRST population</w:t>
      </w:r>
      <w:r w:rsidR="00DD752B">
        <w:rPr>
          <w:rFonts w:ascii="Times New Roman" w:eastAsia="PalatinoLinotype-Roman" w:hAnsi="Times New Roman" w:cs="Times New Roman"/>
          <w:sz w:val="24"/>
          <w:szCs w:val="24"/>
        </w:rPr>
        <w:t xml:space="preserve"> modeling produced more ‘replacement females’ than ‘starting </w:t>
      </w:r>
      <w:proofErr w:type="gramStart"/>
      <w:r w:rsidR="00DD752B">
        <w:rPr>
          <w:rFonts w:ascii="Times New Roman" w:eastAsia="PalatinoLinotype-Roman" w:hAnsi="Times New Roman" w:cs="Times New Roman"/>
          <w:sz w:val="24"/>
          <w:szCs w:val="24"/>
        </w:rPr>
        <w:t>females’</w:t>
      </w:r>
      <w:proofErr w:type="gramEnd"/>
      <w:r w:rsidR="00DD752B">
        <w:rPr>
          <w:rFonts w:ascii="Times New Roman" w:eastAsia="PalatinoLinotype-Roman" w:hAnsi="Times New Roman" w:cs="Times New Roman"/>
          <w:sz w:val="24"/>
          <w:szCs w:val="24"/>
        </w:rPr>
        <w:t>.  Consequently, all prior efforts biased for positive temporal slope, which necessitated reduced survival to fit true N data.</w:t>
      </w:r>
    </w:p>
    <w:p w14:paraId="5EA44F9C" w14:textId="77777777" w:rsidR="00341F94" w:rsidRPr="00341F94" w:rsidRDefault="00341F94" w:rsidP="00137219">
      <w:pPr>
        <w:pStyle w:val="NoSpacing"/>
        <w:rPr>
          <w:rFonts w:ascii="Times New Roman" w:eastAsia="PalatinoLinotype-Roman" w:hAnsi="Times New Roman" w:cs="Times New Roman"/>
          <w:sz w:val="24"/>
          <w:szCs w:val="24"/>
        </w:rPr>
      </w:pPr>
    </w:p>
    <w:p w14:paraId="2B754AAE" w14:textId="54097A3D" w:rsidR="00341F94" w:rsidRDefault="00DD752B" w:rsidP="00137219">
      <w:pPr>
        <w:pStyle w:val="NoSpacing"/>
        <w:rPr>
          <w:rFonts w:ascii="Times New Roman" w:eastAsia="PalatinoLinotype-Roman" w:hAnsi="Times New Roman" w:cs="Times New Roman"/>
          <w:sz w:val="24"/>
          <w:szCs w:val="24"/>
        </w:rPr>
      </w:pPr>
      <w:r>
        <w:rPr>
          <w:rFonts w:ascii="Times New Roman" w:eastAsia="PalatinoLinotype-Roman" w:hAnsi="Times New Roman" w:cs="Times New Roman"/>
          <w:b/>
          <w:bCs/>
          <w:sz w:val="24"/>
          <w:szCs w:val="24"/>
        </w:rPr>
        <w:t>T</w:t>
      </w:r>
      <w:r w:rsidR="00341F94" w:rsidRPr="00341F94">
        <w:rPr>
          <w:rFonts w:ascii="Times New Roman" w:eastAsia="PalatinoLinotype-Roman" w:hAnsi="Times New Roman" w:cs="Times New Roman"/>
          <w:b/>
          <w:bCs/>
          <w:sz w:val="24"/>
          <w:szCs w:val="24"/>
        </w:rPr>
        <w:t>able S</w:t>
      </w:r>
      <w:r>
        <w:rPr>
          <w:rFonts w:ascii="Times New Roman" w:eastAsia="PalatinoLinotype-Roman" w:hAnsi="Times New Roman" w:cs="Times New Roman"/>
          <w:b/>
          <w:bCs/>
          <w:sz w:val="24"/>
          <w:szCs w:val="24"/>
        </w:rPr>
        <w:t>1</w:t>
      </w:r>
      <w:r w:rsidR="00341F94">
        <w:rPr>
          <w:rFonts w:ascii="Times New Roman" w:eastAsia="PalatinoLinotype-Roman" w:hAnsi="Times New Roman" w:cs="Times New Roman"/>
          <w:sz w:val="24"/>
          <w:szCs w:val="24"/>
        </w:rPr>
        <w:t xml:space="preserve">. Parameterization and </w:t>
      </w:r>
      <w:r w:rsidR="00943A8C">
        <w:rPr>
          <w:rFonts w:ascii="Times New Roman" w:eastAsia="PalatinoLinotype-Roman" w:hAnsi="Times New Roman" w:cs="Times New Roman"/>
          <w:sz w:val="24"/>
          <w:szCs w:val="24"/>
        </w:rPr>
        <w:t>slope ratio</w:t>
      </w:r>
      <w:r w:rsidR="00341F94">
        <w:rPr>
          <w:rFonts w:ascii="Times New Roman" w:eastAsia="PalatinoLinotype-Roman" w:hAnsi="Times New Roman" w:cs="Times New Roman"/>
          <w:sz w:val="24"/>
          <w:szCs w:val="24"/>
        </w:rPr>
        <w:t xml:space="preserve"> (</w:t>
      </w:r>
      <w:r w:rsidR="00943A8C" w:rsidRPr="00943A8C">
        <w:rPr>
          <w:rFonts w:ascii="Times New Roman" w:eastAsia="PalatinoLinotype-Roman" w:hAnsi="Times New Roman" w:cs="Times New Roman"/>
          <w:i/>
          <w:iCs/>
          <w:sz w:val="24"/>
          <w:szCs w:val="24"/>
        </w:rPr>
        <w:t>R</w:t>
      </w:r>
      <w:r w:rsidR="00341F94">
        <w:rPr>
          <w:rFonts w:ascii="Times New Roman" w:eastAsia="PalatinoLinotype-Roman" w:hAnsi="Times New Roman" w:cs="Times New Roman"/>
          <w:sz w:val="24"/>
          <w:szCs w:val="24"/>
        </w:rPr>
        <w:t>) for prominent Kemp’s ridley modeling to date.</w:t>
      </w:r>
    </w:p>
    <w:p w14:paraId="2968166F" w14:textId="1A81618E" w:rsidR="00341F94" w:rsidRDefault="00341F94" w:rsidP="00137219">
      <w:pPr>
        <w:pStyle w:val="NoSpacing"/>
        <w:rPr>
          <w:rFonts w:ascii="Times New Roman" w:eastAsia="PalatinoLinotype-Roman" w:hAnsi="Times New Roman" w:cs="Times New Roman"/>
          <w:sz w:val="16"/>
          <w:szCs w:val="16"/>
        </w:rPr>
      </w:pPr>
    </w:p>
    <w:p w14:paraId="708839DB" w14:textId="0E18D2F4" w:rsidR="00341F94" w:rsidRPr="00341F94" w:rsidRDefault="00943A8C" w:rsidP="00341F94">
      <w:pPr>
        <w:pStyle w:val="NoSpacing"/>
        <w:jc w:val="center"/>
        <w:rPr>
          <w:rFonts w:ascii="Times New Roman" w:eastAsia="PalatinoLinotype-Roman" w:hAnsi="Times New Roman" w:cs="Times New Roman"/>
          <w:sz w:val="24"/>
          <w:szCs w:val="24"/>
        </w:rPr>
      </w:pPr>
      <w:r w:rsidRPr="00943A8C">
        <w:rPr>
          <w:noProof/>
        </w:rPr>
        <w:drawing>
          <wp:inline distT="0" distB="0" distL="0" distR="0" wp14:anchorId="5E447859" wp14:editId="706C35FC">
            <wp:extent cx="2709949" cy="3709079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1258" cy="3724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9B8A5B" w14:textId="77777777" w:rsidR="00E13E3C" w:rsidRPr="00D554E8" w:rsidRDefault="00E13E3C" w:rsidP="00137219">
      <w:pPr>
        <w:pStyle w:val="NoSpacing"/>
        <w:rPr>
          <w:rFonts w:ascii="Times New Roman" w:eastAsia="PalatinoLinotype-Roman" w:hAnsi="Times New Roman" w:cs="Times New Roman"/>
          <w:sz w:val="16"/>
          <w:szCs w:val="16"/>
        </w:rPr>
      </w:pPr>
    </w:p>
    <w:p w14:paraId="23DB9A96" w14:textId="0A3F01CB" w:rsidR="00E94CD6" w:rsidRPr="00D554E8" w:rsidRDefault="00EA3045" w:rsidP="00137219">
      <w:pPr>
        <w:pStyle w:val="NoSpacing"/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</w:pPr>
      <w:r w:rsidRPr="00D554E8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r w:rsidRPr="00D554E8">
        <w:rPr>
          <w:rFonts w:ascii="Times New Roman" w:hAnsi="Times New Roman" w:cs="Times New Roman"/>
          <w:sz w:val="20"/>
          <w:szCs w:val="20"/>
        </w:rPr>
        <w:t>Turchin, P. “Population Regulation: Old Arguments and a New Synthesis</w:t>
      </w:r>
      <w:r w:rsidRPr="00D554E8">
        <w:rPr>
          <w:rFonts w:ascii="Times New Roman" w:hAnsi="Times New Roman" w:cs="Times New Roman"/>
          <w:i/>
          <w:iCs/>
          <w:sz w:val="20"/>
          <w:szCs w:val="20"/>
        </w:rPr>
        <w:t xml:space="preserve">.” </w:t>
      </w:r>
      <w:r w:rsidRPr="00D554E8">
        <w:rPr>
          <w:rFonts w:ascii="Times New Roman" w:hAnsi="Times New Roman" w:cs="Times New Roman"/>
          <w:i/>
          <w:iCs/>
          <w:color w:val="222222"/>
          <w:sz w:val="20"/>
          <w:szCs w:val="20"/>
          <w:shd w:val="clear" w:color="auto" w:fill="FFFFFF"/>
        </w:rPr>
        <w:t>Population dynamics: new approaches and synthesis</w:t>
      </w:r>
      <w:r w:rsidRPr="00D554E8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 (1995): 19-40.</w:t>
      </w:r>
    </w:p>
    <w:p w14:paraId="2E348F08" w14:textId="315FE7EB" w:rsidR="00D96950" w:rsidRPr="00D554E8" w:rsidRDefault="00D96950" w:rsidP="00137219">
      <w:pPr>
        <w:pStyle w:val="NoSpacing"/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</w:pPr>
    </w:p>
    <w:p w14:paraId="4750FD2F" w14:textId="66D60392" w:rsidR="00D96950" w:rsidRPr="00D554E8" w:rsidRDefault="00D96950" w:rsidP="00137219">
      <w:pPr>
        <w:pStyle w:val="NoSpacing"/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</w:pPr>
      <w:r w:rsidRPr="00D554E8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  <w:vertAlign w:val="superscript"/>
        </w:rPr>
        <w:t>B</w:t>
      </w:r>
      <w:r w:rsidRPr="00D554E8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Arendt, M. D., J. A. Schwenter, B. E. Witherington, A. B. Meylan, and V. S. Saba. "Historical versus contemporary climate forcing on the annual nesting variability of loggerhead sea turtles in the Northwest Atlantic Ocean." </w:t>
      </w:r>
      <w:r w:rsidRPr="00D554E8">
        <w:rPr>
          <w:rFonts w:ascii="Times New Roman" w:hAnsi="Times New Roman" w:cs="Times New Roman"/>
          <w:i/>
          <w:iCs/>
          <w:color w:val="222222"/>
          <w:sz w:val="20"/>
          <w:szCs w:val="20"/>
          <w:shd w:val="clear" w:color="auto" w:fill="FFFFFF"/>
        </w:rPr>
        <w:t>PLoS One</w:t>
      </w:r>
      <w:r w:rsidRPr="00D554E8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 8.12 (2013): e81097.</w:t>
      </w:r>
    </w:p>
    <w:p w14:paraId="3B53EEBA" w14:textId="1DFA249F" w:rsidR="00D96950" w:rsidRPr="00D554E8" w:rsidRDefault="00D96950" w:rsidP="00137219">
      <w:pPr>
        <w:pStyle w:val="NoSpacing"/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</w:pPr>
    </w:p>
    <w:p w14:paraId="78FFBB0E" w14:textId="01CF1D4A" w:rsidR="00D96950" w:rsidRPr="00D554E8" w:rsidRDefault="00D96950" w:rsidP="00D96950">
      <w:pPr>
        <w:pStyle w:val="NoSpacing"/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</w:pPr>
      <w:r w:rsidRPr="00D554E8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  <w:vertAlign w:val="superscript"/>
        </w:rPr>
        <w:t>C</w:t>
      </w:r>
      <w:r w:rsidRPr="00D554E8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Bevan, E., T. Wibbels, B. M Z. Najera, L. Sarti, F. I. Martinez, et al. "Estimating the historic size and current status of the Kemp's ridley sea turtle (</w:t>
      </w:r>
      <w:r w:rsidRPr="00D554E8">
        <w:rPr>
          <w:rFonts w:ascii="Times New Roman" w:hAnsi="Times New Roman" w:cs="Times New Roman"/>
          <w:i/>
          <w:iCs/>
          <w:color w:val="222222"/>
          <w:sz w:val="20"/>
          <w:szCs w:val="20"/>
          <w:shd w:val="clear" w:color="auto" w:fill="FFFFFF"/>
        </w:rPr>
        <w:t>Lepidochelys kempii</w:t>
      </w:r>
      <w:r w:rsidRPr="00D554E8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) population." </w:t>
      </w:r>
      <w:r w:rsidRPr="00D554E8">
        <w:rPr>
          <w:rFonts w:ascii="Times New Roman" w:hAnsi="Times New Roman" w:cs="Times New Roman"/>
          <w:i/>
          <w:iCs/>
          <w:color w:val="222222"/>
          <w:sz w:val="20"/>
          <w:szCs w:val="20"/>
          <w:shd w:val="clear" w:color="auto" w:fill="FFFFFF"/>
        </w:rPr>
        <w:t>Ecosphere</w:t>
      </w:r>
      <w:r w:rsidRPr="00D554E8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 7.3 (2016): e01244.</w:t>
      </w:r>
    </w:p>
    <w:p w14:paraId="205BB371" w14:textId="4AB62B03" w:rsidR="00D96950" w:rsidRPr="00D554E8" w:rsidRDefault="00D96950" w:rsidP="00137219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14:paraId="499CDD51" w14:textId="0E4E22FB" w:rsidR="00043556" w:rsidRPr="00D554E8" w:rsidRDefault="00043556" w:rsidP="00137219">
      <w:pPr>
        <w:pStyle w:val="NoSpacing"/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</w:pPr>
      <w:r w:rsidRPr="00D554E8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  <w:vertAlign w:val="superscript"/>
        </w:rPr>
        <w:t>D</w:t>
      </w:r>
      <w:r w:rsidRPr="00D554E8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National Research Council. “Decline of the sea </w:t>
      </w:r>
      <w:proofErr w:type="gramStart"/>
      <w:r w:rsidRPr="00D554E8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turtles:</w:t>
      </w:r>
      <w:proofErr w:type="gramEnd"/>
      <w:r w:rsidRPr="00D554E8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causes and prevention.” National Academies Press, 1990.</w:t>
      </w:r>
    </w:p>
    <w:p w14:paraId="66A0C269" w14:textId="404F1E12" w:rsidR="00341F94" w:rsidRPr="00D554E8" w:rsidRDefault="00341F94" w:rsidP="00137219">
      <w:pPr>
        <w:pStyle w:val="NoSpacing"/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</w:pPr>
    </w:p>
    <w:p w14:paraId="1B43DAF3" w14:textId="696576D5" w:rsidR="00D554E8" w:rsidRDefault="00341F94" w:rsidP="00137219">
      <w:pPr>
        <w:pStyle w:val="NoSpacing"/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</w:pPr>
      <w:r w:rsidRPr="00D554E8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  <w:vertAlign w:val="superscript"/>
        </w:rPr>
        <w:t>E</w:t>
      </w:r>
      <w:r w:rsidRPr="00D554E8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Turtle Expert Working Group. “An assessment of the Kemp’s ridley (</w:t>
      </w:r>
      <w:r w:rsidRPr="00D554E8">
        <w:rPr>
          <w:rFonts w:ascii="Times New Roman" w:hAnsi="Times New Roman" w:cs="Times New Roman"/>
          <w:i/>
          <w:iCs/>
          <w:color w:val="222222"/>
          <w:sz w:val="20"/>
          <w:szCs w:val="20"/>
          <w:shd w:val="clear" w:color="auto" w:fill="FFFFFF"/>
        </w:rPr>
        <w:t>Lepidochelys kempii</w:t>
      </w:r>
      <w:r w:rsidRPr="00D554E8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) and loggerhead (</w:t>
      </w:r>
      <w:r w:rsidRPr="00D554E8">
        <w:rPr>
          <w:rFonts w:ascii="Times New Roman" w:hAnsi="Times New Roman" w:cs="Times New Roman"/>
          <w:i/>
          <w:iCs/>
          <w:color w:val="222222"/>
          <w:sz w:val="20"/>
          <w:szCs w:val="20"/>
          <w:shd w:val="clear" w:color="auto" w:fill="FFFFFF"/>
        </w:rPr>
        <w:t>Caretta caretta</w:t>
      </w:r>
      <w:r w:rsidRPr="00D554E8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) sea turtle populations in the western North Atlantic.” NOAA Technical Memorandum NMFS-SEFSC-409 (1998), 96 p.</w:t>
      </w:r>
    </w:p>
    <w:p w14:paraId="6D030B39" w14:textId="77777777" w:rsidR="00D554E8" w:rsidRDefault="00D554E8" w:rsidP="00137219">
      <w:pPr>
        <w:pStyle w:val="NoSpacing"/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</w:pPr>
    </w:p>
    <w:p w14:paraId="36416FE8" w14:textId="145FC8EC" w:rsidR="00341F94" w:rsidRDefault="00D554E8" w:rsidP="00137219">
      <w:pPr>
        <w:pStyle w:val="NoSpacing"/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</w:pPr>
      <w:r w:rsidRPr="00D554E8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  <w:vertAlign w:val="superscript"/>
        </w:rPr>
        <w:t>F</w:t>
      </w:r>
      <w:r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Heppell, S. S., D. T. Crouse, L. B. Crowder, S. P. Epperly, W. Gabriel, et al. “A population model to estimate recovery time, population size, and management impacts on Kemp’s ridley sea turtles.” </w:t>
      </w:r>
      <w:r w:rsidRPr="00D554E8">
        <w:rPr>
          <w:rFonts w:ascii="Times New Roman" w:hAnsi="Times New Roman" w:cs="Times New Roman"/>
          <w:i/>
          <w:iCs/>
          <w:color w:val="222222"/>
          <w:sz w:val="20"/>
          <w:szCs w:val="20"/>
          <w:shd w:val="clear" w:color="auto" w:fill="FFFFFF"/>
        </w:rPr>
        <w:t>Chelonian Conservation and Biology</w:t>
      </w:r>
      <w:r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4.4 (2004): 765-771.</w:t>
      </w:r>
    </w:p>
    <w:p w14:paraId="39ABB803" w14:textId="77777777" w:rsidR="00D554E8" w:rsidRPr="00D554E8" w:rsidRDefault="00D554E8" w:rsidP="00137219">
      <w:pPr>
        <w:pStyle w:val="NoSpacing"/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</w:pPr>
    </w:p>
    <w:p w14:paraId="58BE8099" w14:textId="7E88E9DE" w:rsidR="00341F94" w:rsidRDefault="00D554E8" w:rsidP="00137219">
      <w:pPr>
        <w:pStyle w:val="NoSpacing"/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</w:pPr>
      <w:r w:rsidRPr="00D554E8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  <w:vertAlign w:val="superscript"/>
        </w:rPr>
        <w:t>G</w:t>
      </w:r>
      <w:r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National Marine Fisheries Service and U.S. Fish and Wildlife Service. “Kemp’s ridley sea turtle (Lepidochelys kempii) 5-year review: Summary and Evaluation.” (2015), 62 pages.</w:t>
      </w:r>
    </w:p>
    <w:p w14:paraId="6580D325" w14:textId="1A31290E" w:rsidR="00D554E8" w:rsidRDefault="00D554E8" w:rsidP="00137219">
      <w:pPr>
        <w:pStyle w:val="NoSpacing"/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</w:pPr>
    </w:p>
    <w:p w14:paraId="6B00C62A" w14:textId="55248433" w:rsidR="00D554E8" w:rsidRPr="00D554E8" w:rsidRDefault="00D554E8" w:rsidP="00137219">
      <w:pPr>
        <w:pStyle w:val="NoSpacing"/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</w:pPr>
      <w:r w:rsidRPr="00D554E8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  <w:vertAlign w:val="superscript"/>
        </w:rPr>
        <w:t>H</w:t>
      </w:r>
      <w:r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Gallaway, B. J., C. W. Caillouet, Jr., P. T. Plotkin, W. J. Gazey, J. G. Cole, and S. W. Raborn. “Kemp’s ridley stock assessment project.” Final report to Gulf States Marine Fisheries Commission (2013), 61 p. plus appendices.</w:t>
      </w:r>
    </w:p>
    <w:p w14:paraId="19F7066A" w14:textId="77777777" w:rsidR="00D554E8" w:rsidRPr="00D554E8" w:rsidRDefault="00D554E8" w:rsidP="00137219">
      <w:pPr>
        <w:pStyle w:val="NoSpacing"/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</w:pPr>
    </w:p>
    <w:p w14:paraId="18401157" w14:textId="5153E8AC" w:rsidR="00341F94" w:rsidRPr="00D554E8" w:rsidRDefault="00341F94" w:rsidP="00137219">
      <w:pPr>
        <w:pStyle w:val="NoSpacing"/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</w:pPr>
      <w:r w:rsidRPr="00D554E8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  <w:vertAlign w:val="superscript"/>
        </w:rPr>
        <w:t>I</w:t>
      </w:r>
      <w:r w:rsidRPr="00D554E8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Gallaway, B. J., W. J. Gazey, C. W. Caillouet, Jr., P. T. Plotkin, F. Alberto Abreu Grobois, et al. “Development of Kemp’s ridley sea turtle stock assessment model.” </w:t>
      </w:r>
      <w:r w:rsidRPr="00D554E8">
        <w:rPr>
          <w:rFonts w:ascii="Times New Roman" w:hAnsi="Times New Roman" w:cs="Times New Roman"/>
          <w:i/>
          <w:iCs/>
          <w:color w:val="222222"/>
          <w:sz w:val="20"/>
          <w:szCs w:val="20"/>
          <w:shd w:val="clear" w:color="auto" w:fill="FFFFFF"/>
        </w:rPr>
        <w:t>Gulf of Mexico Science</w:t>
      </w:r>
      <w:r w:rsidRPr="00D554E8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33.2 (2016): 138-157.</w:t>
      </w:r>
    </w:p>
    <w:sectPr w:rsidR="00341F94" w:rsidRPr="00D554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Linotype-Roman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219"/>
    <w:rsid w:val="00013EAE"/>
    <w:rsid w:val="00043556"/>
    <w:rsid w:val="000711AF"/>
    <w:rsid w:val="000E2F93"/>
    <w:rsid w:val="000E32BF"/>
    <w:rsid w:val="0012182F"/>
    <w:rsid w:val="00137219"/>
    <w:rsid w:val="001A1396"/>
    <w:rsid w:val="0024393F"/>
    <w:rsid w:val="00256AC1"/>
    <w:rsid w:val="002A250C"/>
    <w:rsid w:val="00341F94"/>
    <w:rsid w:val="003E38CC"/>
    <w:rsid w:val="00523D10"/>
    <w:rsid w:val="00553CEB"/>
    <w:rsid w:val="0059519A"/>
    <w:rsid w:val="005E64AC"/>
    <w:rsid w:val="006D2154"/>
    <w:rsid w:val="00943A8C"/>
    <w:rsid w:val="009C6979"/>
    <w:rsid w:val="00AE38AC"/>
    <w:rsid w:val="00C46290"/>
    <w:rsid w:val="00CA0F82"/>
    <w:rsid w:val="00CE0689"/>
    <w:rsid w:val="00D554E8"/>
    <w:rsid w:val="00D80028"/>
    <w:rsid w:val="00D96950"/>
    <w:rsid w:val="00DD752B"/>
    <w:rsid w:val="00E13E3C"/>
    <w:rsid w:val="00E94CD6"/>
    <w:rsid w:val="00EA3045"/>
    <w:rsid w:val="00EC5F49"/>
    <w:rsid w:val="00F809CC"/>
    <w:rsid w:val="00FD3338"/>
    <w:rsid w:val="00FE2921"/>
    <w:rsid w:val="00FF6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96ADAF"/>
  <w15:chartTrackingRefBased/>
  <w15:docId w15:val="{D2DB2F86-BE8D-4DD4-81F1-3D4129F51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3721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2</Pages>
  <Words>804</Words>
  <Characters>4585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Arendt</dc:creator>
  <cp:keywords/>
  <dc:description/>
  <cp:lastModifiedBy>Mike Arendt</cp:lastModifiedBy>
  <cp:revision>20</cp:revision>
  <cp:lastPrinted>2023-04-24T19:03:00Z</cp:lastPrinted>
  <dcterms:created xsi:type="dcterms:W3CDTF">2023-02-24T18:49:00Z</dcterms:created>
  <dcterms:modified xsi:type="dcterms:W3CDTF">2023-06-30T20:23:00Z</dcterms:modified>
</cp:coreProperties>
</file>