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1C603" w14:textId="77777777" w:rsidR="007B5F66" w:rsidRPr="002C65AA" w:rsidRDefault="007B5F66" w:rsidP="007B5F66">
      <w:pPr>
        <w:spacing w:before="100" w:beforeAutospacing="1" w:after="100" w:afterAutospacing="1"/>
        <w:rPr>
          <w:rFonts w:cstheme="minorHAnsi"/>
        </w:rPr>
      </w:pPr>
      <w:r w:rsidRPr="004A66B2">
        <w:rPr>
          <w:rFonts w:cstheme="minorHAnsi"/>
          <w:color w:val="000000" w:themeColor="text1"/>
        </w:rPr>
        <w:t>Supplementary Table S5</w:t>
      </w:r>
      <w:r w:rsidRPr="00EA0F39">
        <w:rPr>
          <w:rFonts w:cstheme="minorHAnsi"/>
        </w:rPr>
        <w:t>: The</w:t>
      </w:r>
      <w:r w:rsidRPr="00EA0F39">
        <w:rPr>
          <w:rFonts w:cstheme="minorHAnsi"/>
          <w:b/>
          <w:bCs/>
        </w:rPr>
        <w:t xml:space="preserve"> </w:t>
      </w:r>
      <w:r w:rsidRPr="00EA0F39">
        <w:rPr>
          <w:rFonts w:cstheme="minorHAnsi"/>
        </w:rPr>
        <w:t>mean MD of each region of the cerebellum, compared between cases and controls.</w:t>
      </w:r>
      <w:r>
        <w:rPr>
          <w:rFonts w:cstheme="minorHAnsi"/>
        </w:rPr>
        <w:t xml:space="preserve"> Also shown are uncorrected </w:t>
      </w:r>
      <w:r w:rsidRPr="00EA0F39">
        <w:rPr>
          <w:rFonts w:cstheme="minorHAnsi"/>
        </w:rPr>
        <w:t xml:space="preserve">p-values from case-control comparison and FDR-corrected p-values. </w:t>
      </w:r>
      <w:r>
        <w:rPr>
          <w:rFonts w:cstheme="minorHAnsi"/>
        </w:rPr>
        <w:t>One s</w:t>
      </w:r>
      <w:r w:rsidRPr="00EA0F39">
        <w:rPr>
          <w:rFonts w:cstheme="minorHAnsi"/>
        </w:rPr>
        <w:t>ubject</w:t>
      </w:r>
      <w:r>
        <w:rPr>
          <w:rFonts w:cstheme="minorHAnsi"/>
        </w:rPr>
        <w:t xml:space="preserve"> was excluded from analysis of the hemispheres of the inferior posterior lobe as &lt;10% of voxels had diffusion measurements available. </w:t>
      </w:r>
      <w:r w:rsidRPr="00EA0F39">
        <w:rPr>
          <w:rFonts w:cstheme="minorHAnsi"/>
        </w:rPr>
        <w:t>n.s. = not significant.</w:t>
      </w:r>
    </w:p>
    <w:tbl>
      <w:tblPr>
        <w:tblStyle w:val="TableGrid"/>
        <w:tblW w:w="9057" w:type="dxa"/>
        <w:tblBorders>
          <w:top w:val="single" w:sz="12" w:space="0" w:color="A5A5A5"/>
          <w:left w:val="single" w:sz="12" w:space="0" w:color="A5A5A5"/>
          <w:bottom w:val="single" w:sz="12" w:space="0" w:color="A5A5A5"/>
          <w:right w:val="single" w:sz="12" w:space="0" w:color="A5A5A5"/>
          <w:insideH w:val="single" w:sz="12" w:space="0" w:color="A5A5A5"/>
          <w:insideV w:val="single" w:sz="12" w:space="0" w:color="A5A5A5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1560"/>
        <w:gridCol w:w="1701"/>
        <w:gridCol w:w="1134"/>
        <w:gridCol w:w="1275"/>
      </w:tblGrid>
      <w:tr w:rsidR="007B5F66" w:rsidRPr="00706833" w14:paraId="2994FFE4" w14:textId="77777777" w:rsidTr="00AF50EB">
        <w:tc>
          <w:tcPr>
            <w:tcW w:w="3387" w:type="dxa"/>
          </w:tcPr>
          <w:p w14:paraId="04E635B0" w14:textId="77777777" w:rsidR="007B5F66" w:rsidRPr="00706833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06833">
              <w:rPr>
                <w:rFonts w:ascii="Calibri" w:hAnsi="Calibri" w:cs="Calibri"/>
                <w:b/>
                <w:bCs/>
                <w:color w:val="000000" w:themeColor="text1"/>
              </w:rPr>
              <w:t xml:space="preserve">Cerebellar region </w:t>
            </w:r>
          </w:p>
        </w:tc>
        <w:tc>
          <w:tcPr>
            <w:tcW w:w="1560" w:type="dxa"/>
          </w:tcPr>
          <w:p w14:paraId="0EA65730" w14:textId="77777777" w:rsidR="007B5F66" w:rsidRPr="00706833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06833">
              <w:rPr>
                <w:rFonts w:ascii="Calibri" w:hAnsi="Calibri" w:cs="Calibri"/>
                <w:b/>
                <w:bCs/>
                <w:color w:val="000000" w:themeColor="text1"/>
              </w:rPr>
              <w:t>Case mean MD</w:t>
            </w:r>
          </w:p>
        </w:tc>
        <w:tc>
          <w:tcPr>
            <w:tcW w:w="1701" w:type="dxa"/>
          </w:tcPr>
          <w:p w14:paraId="1E6B9366" w14:textId="77777777" w:rsidR="007B5F66" w:rsidRPr="00706833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06833">
              <w:rPr>
                <w:rFonts w:ascii="Calibri" w:hAnsi="Calibri" w:cs="Calibri"/>
                <w:b/>
                <w:bCs/>
                <w:color w:val="000000" w:themeColor="text1"/>
              </w:rPr>
              <w:t xml:space="preserve">Control mean MD </w:t>
            </w:r>
          </w:p>
        </w:tc>
        <w:tc>
          <w:tcPr>
            <w:tcW w:w="1134" w:type="dxa"/>
          </w:tcPr>
          <w:p w14:paraId="2002640F" w14:textId="77777777" w:rsidR="007B5F66" w:rsidRPr="00706833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06833">
              <w:rPr>
                <w:rFonts w:ascii="Calibri" w:hAnsi="Calibri" w:cs="Calibri"/>
                <w:b/>
                <w:bCs/>
                <w:color w:val="000000" w:themeColor="text1"/>
              </w:rPr>
              <w:t xml:space="preserve">P-value </w:t>
            </w:r>
          </w:p>
        </w:tc>
        <w:tc>
          <w:tcPr>
            <w:tcW w:w="1275" w:type="dxa"/>
          </w:tcPr>
          <w:p w14:paraId="16C5492D" w14:textId="77777777" w:rsidR="007B5F66" w:rsidRPr="00706833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706833">
              <w:rPr>
                <w:rFonts w:ascii="Calibri" w:hAnsi="Calibri" w:cs="Calibri"/>
                <w:b/>
                <w:bCs/>
                <w:color w:val="000000" w:themeColor="text1"/>
              </w:rPr>
              <w:t xml:space="preserve">Corrected P-value </w:t>
            </w:r>
          </w:p>
        </w:tc>
      </w:tr>
      <w:tr w:rsidR="007B5F66" w:rsidRPr="00706833" w14:paraId="5058658A" w14:textId="77777777" w:rsidTr="00AF50EB">
        <w:tc>
          <w:tcPr>
            <w:tcW w:w="3387" w:type="dxa"/>
          </w:tcPr>
          <w:p w14:paraId="54299EAD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 xml:space="preserve">Anterior Lobe </w:t>
            </w:r>
          </w:p>
        </w:tc>
        <w:tc>
          <w:tcPr>
            <w:tcW w:w="1560" w:type="dxa"/>
          </w:tcPr>
          <w:p w14:paraId="5BB92C50" w14:textId="77777777" w:rsidR="007B5F66" w:rsidRPr="00C2179B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0.825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69E5CE41" w14:textId="77777777" w:rsidR="007B5F66" w:rsidRPr="00A34694" w:rsidRDefault="007B5F66" w:rsidP="00AF50EB">
            <w:pPr>
              <w:rPr>
                <w:rFonts w:ascii="Calibri" w:hAnsi="Calibri" w:cs="Calibri"/>
                <w:vertAlign w:val="superscript"/>
              </w:rPr>
            </w:pPr>
            <w:r>
              <w:rPr>
                <w:rFonts w:ascii="Calibri" w:hAnsi="Calibri" w:cs="Calibri"/>
              </w:rPr>
              <w:t>0.805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3026819C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n.s</w:t>
            </w:r>
            <w:proofErr w:type="gramEnd"/>
          </w:p>
        </w:tc>
        <w:tc>
          <w:tcPr>
            <w:tcW w:w="1275" w:type="dxa"/>
          </w:tcPr>
          <w:p w14:paraId="50470A06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5580F1FE" w14:textId="77777777" w:rsidTr="00AF50EB">
        <w:tc>
          <w:tcPr>
            <w:tcW w:w="3387" w:type="dxa"/>
          </w:tcPr>
          <w:p w14:paraId="6A3C4568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Hemisphere </w:t>
            </w:r>
            <w:r w:rsidRPr="00706833">
              <w:rPr>
                <w:rFonts w:ascii="Calibri" w:hAnsi="Calibri" w:cs="Calibri"/>
                <w:color w:val="000000" w:themeColor="text1"/>
              </w:rPr>
              <w:t>Superior Posterior Lobe</w:t>
            </w:r>
          </w:p>
        </w:tc>
        <w:tc>
          <w:tcPr>
            <w:tcW w:w="1560" w:type="dxa"/>
          </w:tcPr>
          <w:p w14:paraId="253FA4AA" w14:textId="77777777" w:rsidR="007B5F66" w:rsidRPr="00C2179B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0.745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159CC73B" w14:textId="77777777" w:rsidR="007B5F66" w:rsidRPr="00C2179B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0.726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3A93E220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D77A42">
              <w:rPr>
                <w:rFonts w:ascii="Calibri" w:hAnsi="Calibri" w:cs="Calibri"/>
              </w:rPr>
              <w:t>0.0282</w:t>
            </w:r>
          </w:p>
        </w:tc>
        <w:tc>
          <w:tcPr>
            <w:tcW w:w="1275" w:type="dxa"/>
          </w:tcPr>
          <w:p w14:paraId="5656A83C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19A83502" w14:textId="77777777" w:rsidTr="00AF50EB">
        <w:tc>
          <w:tcPr>
            <w:tcW w:w="3387" w:type="dxa"/>
          </w:tcPr>
          <w:p w14:paraId="4ED08234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Hemisphere </w:t>
            </w:r>
            <w:r w:rsidRPr="00706833">
              <w:rPr>
                <w:rFonts w:ascii="Calibri" w:hAnsi="Calibri" w:cs="Calibri"/>
                <w:color w:val="000000" w:themeColor="text1"/>
              </w:rPr>
              <w:t xml:space="preserve">Inferior posterior lobe </w:t>
            </w:r>
          </w:p>
        </w:tc>
        <w:tc>
          <w:tcPr>
            <w:tcW w:w="1560" w:type="dxa"/>
          </w:tcPr>
          <w:p w14:paraId="301FD211" w14:textId="77777777" w:rsidR="007B5F66" w:rsidRPr="009C0017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</w:rPr>
              <w:t>0.712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4FCAB376" w14:textId="77777777" w:rsidR="007B5F66" w:rsidRPr="009C0017" w:rsidRDefault="007B5F66" w:rsidP="00AF50EB">
            <w:pPr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</w:rPr>
              <w:t>0.680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2E53952D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n.s.</w:t>
            </w:r>
          </w:p>
        </w:tc>
        <w:tc>
          <w:tcPr>
            <w:tcW w:w="1275" w:type="dxa"/>
          </w:tcPr>
          <w:p w14:paraId="578EBAFC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6543647F" w14:textId="77777777" w:rsidTr="00AF50EB">
        <w:tc>
          <w:tcPr>
            <w:tcW w:w="3387" w:type="dxa"/>
          </w:tcPr>
          <w:p w14:paraId="650650EF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 xml:space="preserve">Vermis superior posterior lobe </w:t>
            </w:r>
          </w:p>
        </w:tc>
        <w:tc>
          <w:tcPr>
            <w:tcW w:w="1560" w:type="dxa"/>
          </w:tcPr>
          <w:p w14:paraId="3E5BDE68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0.819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656FFFBD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0.802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14B2EC33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n.s.</w:t>
            </w:r>
          </w:p>
        </w:tc>
        <w:tc>
          <w:tcPr>
            <w:tcW w:w="1275" w:type="dxa"/>
          </w:tcPr>
          <w:p w14:paraId="2F1C21A4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680F1091" w14:textId="77777777" w:rsidTr="00AF50EB">
        <w:tc>
          <w:tcPr>
            <w:tcW w:w="3387" w:type="dxa"/>
          </w:tcPr>
          <w:p w14:paraId="657346C2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>Vermis inferior posterior lobe</w:t>
            </w:r>
          </w:p>
        </w:tc>
        <w:tc>
          <w:tcPr>
            <w:tcW w:w="1560" w:type="dxa"/>
          </w:tcPr>
          <w:p w14:paraId="126E6C87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0.812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314627AC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0.790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6B6CC6E6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C010BC">
              <w:rPr>
                <w:rFonts w:ascii="Calibri" w:hAnsi="Calibri" w:cs="Calibri"/>
              </w:rPr>
              <w:t>0.0233</w:t>
            </w:r>
          </w:p>
        </w:tc>
        <w:tc>
          <w:tcPr>
            <w:tcW w:w="1275" w:type="dxa"/>
          </w:tcPr>
          <w:p w14:paraId="47176874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638B75DB" w14:textId="77777777" w:rsidTr="00AF50EB">
        <w:tc>
          <w:tcPr>
            <w:tcW w:w="3387" w:type="dxa"/>
          </w:tcPr>
          <w:p w14:paraId="24FB7021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>Flocculonodular lobe</w:t>
            </w:r>
          </w:p>
        </w:tc>
        <w:tc>
          <w:tcPr>
            <w:tcW w:w="1560" w:type="dxa"/>
          </w:tcPr>
          <w:p w14:paraId="5D097994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0.993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4F8A0991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0.932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7D9DE19B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n.s.</w:t>
            </w:r>
          </w:p>
        </w:tc>
        <w:tc>
          <w:tcPr>
            <w:tcW w:w="1275" w:type="dxa"/>
          </w:tcPr>
          <w:p w14:paraId="2CE4E0A9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7962CA1E" w14:textId="77777777" w:rsidTr="00AF50EB">
        <w:tc>
          <w:tcPr>
            <w:tcW w:w="3387" w:type="dxa"/>
          </w:tcPr>
          <w:p w14:paraId="783530D1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>Dentate nucleus</w:t>
            </w:r>
          </w:p>
        </w:tc>
        <w:tc>
          <w:tcPr>
            <w:tcW w:w="1560" w:type="dxa"/>
          </w:tcPr>
          <w:p w14:paraId="2B9EAF19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0.781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01B01E97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0.785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5C92256D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n.s.</w:t>
            </w:r>
          </w:p>
        </w:tc>
        <w:tc>
          <w:tcPr>
            <w:tcW w:w="1275" w:type="dxa"/>
          </w:tcPr>
          <w:p w14:paraId="6DB2A4A2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757143FA" w14:textId="77777777" w:rsidTr="00AF50EB">
        <w:tc>
          <w:tcPr>
            <w:tcW w:w="3387" w:type="dxa"/>
          </w:tcPr>
          <w:p w14:paraId="5DF0D70F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 xml:space="preserve">Interposed nucleus </w:t>
            </w:r>
          </w:p>
        </w:tc>
        <w:tc>
          <w:tcPr>
            <w:tcW w:w="1560" w:type="dxa"/>
          </w:tcPr>
          <w:p w14:paraId="7B774585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0.827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29B2EED0" w14:textId="77777777" w:rsidR="007B5F66" w:rsidRPr="00051485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0.837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50805FD4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n.s.</w:t>
            </w:r>
          </w:p>
        </w:tc>
        <w:tc>
          <w:tcPr>
            <w:tcW w:w="1275" w:type="dxa"/>
          </w:tcPr>
          <w:p w14:paraId="67E91FAE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  <w:tr w:rsidR="007B5F66" w:rsidRPr="00706833" w14:paraId="513BF29A" w14:textId="77777777" w:rsidTr="00AF50EB">
        <w:tc>
          <w:tcPr>
            <w:tcW w:w="3387" w:type="dxa"/>
          </w:tcPr>
          <w:p w14:paraId="1549D1FF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 w:rsidRPr="00706833">
              <w:rPr>
                <w:rFonts w:ascii="Calibri" w:hAnsi="Calibri" w:cs="Calibri"/>
                <w:color w:val="000000" w:themeColor="text1"/>
              </w:rPr>
              <w:t xml:space="preserve">Fastigial nucleus </w:t>
            </w:r>
          </w:p>
        </w:tc>
        <w:tc>
          <w:tcPr>
            <w:tcW w:w="1560" w:type="dxa"/>
          </w:tcPr>
          <w:p w14:paraId="4C09E6FF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0.841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701" w:type="dxa"/>
          </w:tcPr>
          <w:p w14:paraId="32EFA9CB" w14:textId="77777777" w:rsidR="007B5F66" w:rsidRPr="00706833" w:rsidRDefault="007B5F66" w:rsidP="00AF50EB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t>0.846 x 10</w:t>
            </w:r>
            <w:r>
              <w:rPr>
                <w:rFonts w:ascii="Calibri" w:hAnsi="Calibri" w:cs="Calibri"/>
                <w:vertAlign w:val="superscript"/>
              </w:rPr>
              <w:t>-3</w:t>
            </w:r>
          </w:p>
        </w:tc>
        <w:tc>
          <w:tcPr>
            <w:tcW w:w="1134" w:type="dxa"/>
          </w:tcPr>
          <w:p w14:paraId="2F518C77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n.s.</w:t>
            </w:r>
          </w:p>
        </w:tc>
        <w:tc>
          <w:tcPr>
            <w:tcW w:w="1275" w:type="dxa"/>
          </w:tcPr>
          <w:p w14:paraId="66868227" w14:textId="77777777" w:rsidR="007B5F66" w:rsidRPr="00706833" w:rsidRDefault="007B5F66" w:rsidP="00AF50EB">
            <w:pPr>
              <w:rPr>
                <w:rFonts w:ascii="Calibri" w:hAnsi="Calibri" w:cs="Calibri"/>
              </w:rPr>
            </w:pPr>
            <w:r w:rsidRPr="00706833">
              <w:rPr>
                <w:rFonts w:ascii="Calibri" w:hAnsi="Calibri" w:cs="Calibri"/>
              </w:rPr>
              <w:t>n.s.</w:t>
            </w:r>
          </w:p>
        </w:tc>
      </w:tr>
    </w:tbl>
    <w:p w14:paraId="25EE7ABC" w14:textId="77777777" w:rsidR="009175AB" w:rsidRDefault="009175AB"/>
    <w:sectPr w:rsidR="009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66"/>
    <w:rsid w:val="002D6B0A"/>
    <w:rsid w:val="007B5F66"/>
    <w:rsid w:val="0091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138091"/>
  <w15:chartTrackingRefBased/>
  <w15:docId w15:val="{46FBCFD0-DFF5-BA4B-ACBB-A24DA5EA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66"/>
    <w:pPr>
      <w:spacing w:after="120" w:line="360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F66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Spencer</dc:creator>
  <cp:keywords/>
  <dc:description/>
  <cp:lastModifiedBy>Arthur Spencer</cp:lastModifiedBy>
  <cp:revision>1</cp:revision>
  <dcterms:created xsi:type="dcterms:W3CDTF">2023-05-29T06:46:00Z</dcterms:created>
  <dcterms:modified xsi:type="dcterms:W3CDTF">2023-05-29T06:46:00Z</dcterms:modified>
</cp:coreProperties>
</file>