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61284" w14:textId="77777777" w:rsidR="002E7F26" w:rsidRPr="00AC0A71" w:rsidRDefault="002E7F26" w:rsidP="002E7F26">
      <w:pPr>
        <w:spacing w:line="480" w:lineRule="auto"/>
        <w:rPr>
          <w:rFonts w:ascii="Times New Roman"/>
          <w:b/>
          <w:bCs/>
          <w:sz w:val="28"/>
          <w:szCs w:val="32"/>
        </w:rPr>
      </w:pPr>
      <w:r>
        <w:rPr>
          <w:rFonts w:ascii="Times New Roman"/>
          <w:b/>
          <w:bCs/>
          <w:sz w:val="28"/>
          <w:szCs w:val="32"/>
        </w:rPr>
        <w:t xml:space="preserve">Supplementary </w:t>
      </w:r>
      <w:r w:rsidRPr="00AC0A71">
        <w:rPr>
          <w:rFonts w:ascii="Times New Roman"/>
          <w:b/>
          <w:bCs/>
          <w:sz w:val="28"/>
          <w:szCs w:val="32"/>
        </w:rPr>
        <w:t>Figure legends</w:t>
      </w:r>
    </w:p>
    <w:p w14:paraId="01F130F7" w14:textId="77777777" w:rsidR="002E7F26" w:rsidRPr="008D1A26" w:rsidRDefault="002E7F26" w:rsidP="002E7F26">
      <w:pPr>
        <w:spacing w:line="480" w:lineRule="auto"/>
        <w:rPr>
          <w:rFonts w:ascii="Times New Roman"/>
          <w:b/>
          <w:bCs/>
          <w:sz w:val="22"/>
        </w:rPr>
      </w:pPr>
    </w:p>
    <w:p w14:paraId="1CF0337F" w14:textId="77777777" w:rsidR="002E7F26" w:rsidRPr="008D1A26" w:rsidRDefault="002E7F26" w:rsidP="002E7F26">
      <w:pPr>
        <w:spacing w:line="480" w:lineRule="auto"/>
        <w:rPr>
          <w:rFonts w:ascii="Times New Roman"/>
          <w:b/>
          <w:bCs/>
          <w:sz w:val="22"/>
        </w:rPr>
      </w:pPr>
      <w:r>
        <w:rPr>
          <w:rFonts w:ascii="Times New Roman"/>
          <w:b/>
          <w:bCs/>
          <w:sz w:val="22"/>
        </w:rPr>
        <w:t>Supplementary F</w:t>
      </w:r>
      <w:r w:rsidRPr="008D1A26">
        <w:rPr>
          <w:rFonts w:ascii="Times New Roman"/>
          <w:b/>
          <w:bCs/>
          <w:sz w:val="22"/>
        </w:rPr>
        <w:t>ig</w:t>
      </w:r>
      <w:r>
        <w:rPr>
          <w:rFonts w:ascii="Times New Roman"/>
          <w:b/>
          <w:bCs/>
          <w:sz w:val="22"/>
        </w:rPr>
        <w:t>.</w:t>
      </w:r>
      <w:r w:rsidRPr="008D1A26">
        <w:rPr>
          <w:rFonts w:ascii="Times New Roman"/>
          <w:b/>
          <w:bCs/>
          <w:sz w:val="22"/>
        </w:rPr>
        <w:t xml:space="preserve"> </w:t>
      </w:r>
      <w:r>
        <w:rPr>
          <w:rFonts w:ascii="Times New Roman"/>
          <w:b/>
          <w:bCs/>
          <w:sz w:val="22"/>
        </w:rPr>
        <w:t>S1</w:t>
      </w:r>
      <w:r w:rsidRPr="008D1A26">
        <w:rPr>
          <w:rFonts w:ascii="Times New Roman"/>
          <w:b/>
          <w:bCs/>
          <w:sz w:val="22"/>
        </w:rPr>
        <w:t>. Brain magnetic resonance images of patients with spinocerebellar ataxia</w:t>
      </w:r>
    </w:p>
    <w:p w14:paraId="45F458B8" w14:textId="77777777" w:rsidR="002E7F26" w:rsidRPr="008D1A26" w:rsidRDefault="002E7F26" w:rsidP="002E7F26">
      <w:pPr>
        <w:spacing w:line="480" w:lineRule="auto"/>
        <w:rPr>
          <w:rFonts w:ascii="Times New Roman"/>
          <w:sz w:val="22"/>
        </w:rPr>
      </w:pPr>
      <w:r w:rsidRPr="008D1A26">
        <w:rPr>
          <w:rFonts w:ascii="Times New Roman"/>
          <w:sz w:val="22"/>
        </w:rPr>
        <w:t xml:space="preserve">Axial T1-weighted or fluid-attenuated inversion recovery (FLAIR) images of the patients indicate cerebellar atrophy with or without brainstem </w:t>
      </w:r>
      <w:r>
        <w:rPr>
          <w:rFonts w:ascii="Times New Roman"/>
          <w:sz w:val="22"/>
        </w:rPr>
        <w:t>atrophy</w:t>
      </w:r>
      <w:r w:rsidRPr="008D1A26">
        <w:rPr>
          <w:rFonts w:ascii="Times New Roman"/>
          <w:sz w:val="22"/>
        </w:rPr>
        <w:t>.</w:t>
      </w:r>
    </w:p>
    <w:p w14:paraId="49FC638F" w14:textId="77777777" w:rsidR="002E7F26" w:rsidRPr="008D1A26" w:rsidRDefault="002E7F26" w:rsidP="002E7F26">
      <w:pPr>
        <w:spacing w:line="480" w:lineRule="auto"/>
        <w:rPr>
          <w:rFonts w:ascii="Times New Roman"/>
          <w:sz w:val="18"/>
          <w:szCs w:val="18"/>
        </w:rPr>
      </w:pPr>
      <w:r w:rsidRPr="0005150F">
        <w:rPr>
          <w:rFonts w:ascii="Times New Roman"/>
          <w:sz w:val="18"/>
          <w:szCs w:val="18"/>
          <w:vertAlign w:val="superscript"/>
        </w:rPr>
        <w:t>*</w:t>
      </w:r>
      <w:r>
        <w:rPr>
          <w:rFonts w:ascii="Times New Roman"/>
          <w:sz w:val="18"/>
          <w:szCs w:val="18"/>
        </w:rPr>
        <w:t>D</w:t>
      </w:r>
      <w:r w:rsidRPr="008D1A26">
        <w:rPr>
          <w:rFonts w:ascii="Times New Roman"/>
          <w:sz w:val="18"/>
          <w:szCs w:val="18"/>
        </w:rPr>
        <w:t>enotes the cases combined with brainstem atrophy</w:t>
      </w:r>
    </w:p>
    <w:p w14:paraId="7284412F" w14:textId="77777777" w:rsidR="002E7F26" w:rsidRPr="008D1A26" w:rsidRDefault="002E7F26" w:rsidP="002E7F26">
      <w:pPr>
        <w:spacing w:line="480" w:lineRule="auto"/>
        <w:rPr>
          <w:rFonts w:ascii="Times New Roman"/>
          <w:sz w:val="24"/>
        </w:rPr>
      </w:pPr>
    </w:p>
    <w:p w14:paraId="56C598EA" w14:textId="77777777" w:rsidR="002E7F26" w:rsidRPr="008D1A26" w:rsidRDefault="002E7F26" w:rsidP="002E7F26">
      <w:pPr>
        <w:spacing w:line="480" w:lineRule="auto"/>
        <w:rPr>
          <w:rFonts w:ascii="Times New Roman"/>
          <w:sz w:val="24"/>
        </w:rPr>
      </w:pPr>
    </w:p>
    <w:p w14:paraId="75883820" w14:textId="77777777" w:rsidR="002E7F26" w:rsidRDefault="002E7F26" w:rsidP="002E7F26">
      <w:pPr>
        <w:spacing w:line="480" w:lineRule="auto"/>
        <w:rPr>
          <w:rFonts w:ascii="Times New Roman"/>
          <w:b/>
          <w:noProof/>
          <w:sz w:val="24"/>
        </w:rPr>
      </w:pPr>
    </w:p>
    <w:p w14:paraId="05DE0BC7" w14:textId="77777777" w:rsidR="002E7F26" w:rsidRPr="008D1A26" w:rsidRDefault="002E7F26" w:rsidP="002E7F26">
      <w:pPr>
        <w:spacing w:line="480" w:lineRule="auto"/>
        <w:rPr>
          <w:rFonts w:ascii="Times New Roman"/>
          <w:b/>
          <w:noProof/>
          <w:sz w:val="24"/>
        </w:rPr>
      </w:pPr>
    </w:p>
    <w:p w14:paraId="3276975A" w14:textId="77777777" w:rsidR="002E7F26" w:rsidRPr="008D1A26" w:rsidRDefault="002E7F26" w:rsidP="002E7F26">
      <w:pPr>
        <w:spacing w:line="480" w:lineRule="auto"/>
        <w:rPr>
          <w:rFonts w:ascii="Times New Roman"/>
          <w:b/>
          <w:bCs/>
          <w:sz w:val="22"/>
        </w:rPr>
      </w:pPr>
      <w:r>
        <w:rPr>
          <w:rFonts w:ascii="Times New Roman"/>
          <w:b/>
          <w:bCs/>
          <w:sz w:val="22"/>
        </w:rPr>
        <w:t>Supplementary Fig. S2</w:t>
      </w:r>
      <w:r w:rsidRPr="008D1A26">
        <w:rPr>
          <w:rFonts w:ascii="Times New Roman"/>
          <w:b/>
          <w:bCs/>
          <w:sz w:val="22"/>
        </w:rPr>
        <w:t>. Results of the video head impulse test: representative cases for each subtype of spinocerebellar ataxia (SCA)</w:t>
      </w:r>
    </w:p>
    <w:p w14:paraId="0A992B2B" w14:textId="77777777" w:rsidR="002E7F26" w:rsidRPr="008D1A26" w:rsidRDefault="002E7F26" w:rsidP="002E7F26">
      <w:pPr>
        <w:spacing w:line="480" w:lineRule="auto"/>
        <w:rPr>
          <w:rFonts w:ascii="Times New Roman"/>
          <w:sz w:val="22"/>
        </w:rPr>
      </w:pPr>
      <w:r w:rsidRPr="008D1A26">
        <w:rPr>
          <w:rFonts w:ascii="Times New Roman"/>
          <w:sz w:val="22"/>
        </w:rPr>
        <w:t>(A) In a patient with SCA2 (</w:t>
      </w:r>
      <w:r w:rsidRPr="008D1A26">
        <w:rPr>
          <w:rFonts w:ascii="Times New Roman"/>
          <w:b/>
          <w:bCs/>
          <w:sz w:val="22"/>
        </w:rPr>
        <w:t>Patient 8</w:t>
      </w:r>
      <w:r w:rsidRPr="008D1A26">
        <w:rPr>
          <w:rFonts w:ascii="Times New Roman"/>
          <w:sz w:val="22"/>
        </w:rPr>
        <w:t>), the vestibular-ocular reflex (VOR) gains for all semicircular canals are spared. (B) In SCA3 (</w:t>
      </w:r>
      <w:r w:rsidRPr="008D1A26">
        <w:rPr>
          <w:rFonts w:ascii="Times New Roman"/>
          <w:b/>
          <w:bCs/>
          <w:sz w:val="22"/>
        </w:rPr>
        <w:t>Patient 12</w:t>
      </w:r>
      <w:r w:rsidRPr="008D1A26">
        <w:rPr>
          <w:rFonts w:ascii="Times New Roman"/>
          <w:sz w:val="22"/>
        </w:rPr>
        <w:t xml:space="preserve">), the VOR gains are generally decreased, and abnormal catch-up saccades </w:t>
      </w:r>
      <w:r>
        <w:rPr>
          <w:rFonts w:ascii="Times New Roman"/>
          <w:sz w:val="22"/>
        </w:rPr>
        <w:t xml:space="preserve">(both overt and covert saccades) </w:t>
      </w:r>
      <w:r w:rsidRPr="008D1A26">
        <w:rPr>
          <w:rFonts w:ascii="Times New Roman"/>
          <w:sz w:val="22"/>
        </w:rPr>
        <w:t xml:space="preserve">are documented in </w:t>
      </w:r>
      <w:r>
        <w:rPr>
          <w:rFonts w:ascii="Times New Roman"/>
          <w:sz w:val="22"/>
        </w:rPr>
        <w:t xml:space="preserve">both </w:t>
      </w:r>
      <w:r w:rsidRPr="008D1A26">
        <w:rPr>
          <w:rFonts w:ascii="Times New Roman"/>
          <w:sz w:val="22"/>
        </w:rPr>
        <w:t>horizontal canal plane</w:t>
      </w:r>
      <w:r>
        <w:rPr>
          <w:rFonts w:ascii="Times New Roman"/>
          <w:sz w:val="22"/>
        </w:rPr>
        <w:t>s</w:t>
      </w:r>
      <w:r w:rsidRPr="008D1A26">
        <w:rPr>
          <w:rFonts w:ascii="Times New Roman"/>
          <w:sz w:val="22"/>
        </w:rPr>
        <w:t xml:space="preserve"> </w:t>
      </w:r>
      <w:r>
        <w:rPr>
          <w:rFonts w:ascii="Times New Roman"/>
          <w:sz w:val="22"/>
        </w:rPr>
        <w:t>with right-sided predominance</w:t>
      </w:r>
      <w:r w:rsidRPr="008D1A26">
        <w:rPr>
          <w:rFonts w:ascii="Times New Roman"/>
          <w:sz w:val="22"/>
        </w:rPr>
        <w:t>. (C) In SCA6 (</w:t>
      </w:r>
      <w:r w:rsidRPr="008D1A26">
        <w:rPr>
          <w:rFonts w:ascii="Times New Roman"/>
          <w:b/>
          <w:bCs/>
          <w:sz w:val="22"/>
        </w:rPr>
        <w:t>Patient 16</w:t>
      </w:r>
      <w:r w:rsidRPr="008D1A26">
        <w:rPr>
          <w:rFonts w:ascii="Times New Roman"/>
          <w:sz w:val="22"/>
        </w:rPr>
        <w:t>), the VOR gains for the posterior canals are significantly decreased and abnormal catch-up saccades can be seen in both posterior canal plane</w:t>
      </w:r>
      <w:r>
        <w:rPr>
          <w:rFonts w:ascii="Times New Roman"/>
          <w:sz w:val="22"/>
        </w:rPr>
        <w:t>s</w:t>
      </w:r>
      <w:r w:rsidRPr="008D1A26">
        <w:rPr>
          <w:rFonts w:ascii="Times New Roman"/>
          <w:sz w:val="22"/>
        </w:rPr>
        <w:t>. (D) In SCA7 (</w:t>
      </w:r>
      <w:r w:rsidRPr="008D1A26">
        <w:rPr>
          <w:rFonts w:ascii="Times New Roman"/>
          <w:b/>
          <w:bCs/>
          <w:sz w:val="22"/>
        </w:rPr>
        <w:t>Patient 27</w:t>
      </w:r>
      <w:r w:rsidRPr="008D1A26">
        <w:rPr>
          <w:rFonts w:ascii="Times New Roman"/>
          <w:sz w:val="22"/>
        </w:rPr>
        <w:t>), the VOR gains for the vertical canals (both anterior and posterior canals) are decreased.</w:t>
      </w:r>
    </w:p>
    <w:p w14:paraId="3119D16F" w14:textId="77777777" w:rsidR="002E7F26" w:rsidRPr="008D1A26" w:rsidRDefault="002E7F26" w:rsidP="002E7F26">
      <w:pPr>
        <w:spacing w:line="480" w:lineRule="auto"/>
        <w:rPr>
          <w:rFonts w:ascii="Times New Roman"/>
          <w:sz w:val="16"/>
          <w:szCs w:val="16"/>
        </w:rPr>
      </w:pPr>
      <w:r w:rsidRPr="008D1A26">
        <w:rPr>
          <w:rFonts w:ascii="Times New Roman"/>
          <w:sz w:val="16"/>
          <w:szCs w:val="16"/>
        </w:rPr>
        <w:t xml:space="preserve">Abbreviations: AC, anterior canal; HC, horizontal canal; PC, posterior canal; Rt., right; Lt., left. </w:t>
      </w:r>
      <w:r w:rsidRPr="008D1A26">
        <w:rPr>
          <w:rFonts w:ascii="Times New Roman"/>
          <w:sz w:val="15"/>
          <w:szCs w:val="15"/>
        </w:rPr>
        <w:t>Figures marked in red indicate d</w:t>
      </w:r>
      <w:r w:rsidRPr="008D1A26">
        <w:rPr>
          <w:rFonts w:ascii="Times New Roman"/>
          <w:sz w:val="16"/>
          <w:szCs w:val="16"/>
        </w:rPr>
        <w:t>ecreased VOR gains, defined as &lt;0.8 for the horizontal canal, and &lt;0.73 for the vertical canals.</w:t>
      </w:r>
    </w:p>
    <w:p w14:paraId="262E9D19" w14:textId="77777777" w:rsidR="00430362" w:rsidRPr="002E7F26" w:rsidRDefault="00430362"/>
    <w:sectPr w:rsidR="00430362" w:rsidRPr="002E7F2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F26"/>
    <w:rsid w:val="002E7F26"/>
    <w:rsid w:val="0043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AC645"/>
  <w15:chartTrackingRefBased/>
  <w15:docId w15:val="{78669E22-4E29-4B6A-A44B-C7EA0BD3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F2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재명</dc:creator>
  <cp:keywords/>
  <dc:description/>
  <cp:lastModifiedBy>김 재명</cp:lastModifiedBy>
  <cp:revision>1</cp:revision>
  <dcterms:created xsi:type="dcterms:W3CDTF">2023-07-28T11:47:00Z</dcterms:created>
  <dcterms:modified xsi:type="dcterms:W3CDTF">2023-07-28T11:47:00Z</dcterms:modified>
</cp:coreProperties>
</file>