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819" w:rsidRDefault="00000000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 xml:space="preserve">Supplementary table 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  <w:szCs w:val="22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 xml:space="preserve">. Correlation between ADRM1 expression and the clinicopathological features of </w:t>
      </w:r>
      <w:r w:rsidR="00C63B9E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bladder cancer patients in</w:t>
      </w:r>
      <w: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spacing w:val="15"/>
          <w:sz w:val="22"/>
          <w:szCs w:val="22"/>
        </w:rPr>
        <w:t>GSE32894</w:t>
      </w:r>
      <w:r w:rsidR="00C63B9E">
        <w:rPr>
          <w:rFonts w:ascii="Times New Roman" w:eastAsia="宋体" w:hAnsi="Times New Roman" w:cs="Times New Roman"/>
          <w:color w:val="000000"/>
          <w:spacing w:val="15"/>
          <w:sz w:val="22"/>
          <w:szCs w:val="22"/>
        </w:rPr>
        <w:t xml:space="preserve"> </w:t>
      </w:r>
      <w:r w:rsidR="00C63B9E"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dataset</w:t>
      </w:r>
      <w:r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  <w:t>.</w:t>
      </w:r>
    </w:p>
    <w:p w:rsidR="00D03819" w:rsidRDefault="00D03819">
      <w:pPr>
        <w:widowControl/>
        <w:jc w:val="left"/>
        <w:textAlignment w:val="center"/>
        <w:rPr>
          <w:rFonts w:ascii="Times New Roman" w:eastAsia="宋体" w:hAnsi="Times New Roman" w:cs="Times New Roman"/>
          <w:color w:val="000000"/>
          <w:kern w:val="0"/>
          <w:sz w:val="22"/>
          <w:szCs w:val="22"/>
          <w:lang w:bidi="ar"/>
        </w:rPr>
      </w:pPr>
    </w:p>
    <w:tbl>
      <w:tblPr>
        <w:tblW w:w="8174" w:type="dxa"/>
        <w:tblInd w:w="98" w:type="dxa"/>
        <w:tblLook w:val="04A0" w:firstRow="1" w:lastRow="0" w:firstColumn="1" w:lastColumn="0" w:noHBand="0" w:noVBand="1"/>
      </w:tblPr>
      <w:tblGrid>
        <w:gridCol w:w="2529"/>
        <w:gridCol w:w="2211"/>
        <w:gridCol w:w="2012"/>
        <w:gridCol w:w="1422"/>
      </w:tblGrid>
      <w:tr w:rsidR="00D03819" w:rsidTr="00C63B9E">
        <w:trPr>
          <w:trHeight w:val="280"/>
        </w:trPr>
        <w:tc>
          <w:tcPr>
            <w:tcW w:w="252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819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Characteristic</w:t>
            </w:r>
          </w:p>
        </w:tc>
        <w:tc>
          <w:tcPr>
            <w:tcW w:w="42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819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ADRM1 mRNA expression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819" w:rsidRDefault="00000000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</w:p>
        </w:tc>
      </w:tr>
      <w:tr w:rsidR="00D03819" w:rsidTr="00C63B9E">
        <w:trPr>
          <w:trHeight w:val="280"/>
        </w:trPr>
        <w:tc>
          <w:tcPr>
            <w:tcW w:w="2529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03819" w:rsidRDefault="00D0381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819" w:rsidRDefault="00000000" w:rsidP="00C63B9E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Low, n (%)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03819" w:rsidRDefault="00000000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High, n (%)</w:t>
            </w:r>
          </w:p>
        </w:tc>
        <w:tc>
          <w:tcPr>
            <w:tcW w:w="1422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D03819" w:rsidRDefault="00D03819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D03819" w:rsidTr="00C63B9E">
        <w:trPr>
          <w:trHeight w:val="280"/>
        </w:trPr>
        <w:tc>
          <w:tcPr>
            <w:tcW w:w="25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819" w:rsidRDefault="00000000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n</w:t>
            </w:r>
          </w:p>
        </w:tc>
        <w:tc>
          <w:tcPr>
            <w:tcW w:w="22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819" w:rsidRDefault="00000000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201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819" w:rsidRDefault="00000000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4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03819" w:rsidRDefault="00D03819">
            <w:pPr>
              <w:jc w:val="left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 w:rsidTr="00C63B9E">
        <w:trPr>
          <w:trHeight w:val="280"/>
        </w:trPr>
        <w:tc>
          <w:tcPr>
            <w:tcW w:w="25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Age, mean ± SD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68.29 ± 10.58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70.57 ± 11.88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0.131</w:t>
            </w: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2C2F1A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Sex</w:t>
            </w:r>
            <w:r w:rsidR="00C63B9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 (13.8%)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30 (13.4%)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81 (36.2%)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82 (36.6%)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WHO grade,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0.096</w:t>
            </w: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 (7.7%)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 (12.6%)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 (18%)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44 (19.8%)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G3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53 (23.9%)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40 (18%)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 stage,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0.073</w:t>
            </w: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T1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31 (13.8%)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32 (14.3%)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T2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28 (12.5%)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15 (6.7%)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T3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5 (2.2%)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2 (0.9%)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T4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 (0.4%)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 (0%)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Tx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47 (21%)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63 (28.1%)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2C2F1A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Overall survival</w:t>
            </w:r>
            <w:r w:rsidR="00C63B9E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, n (%)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0.09</w:t>
            </w:r>
          </w:p>
        </w:tc>
      </w:tr>
      <w:tr w:rsidR="00C63B9E" w:rsidTr="002C2F1A">
        <w:trPr>
          <w:trHeight w:val="280"/>
        </w:trPr>
        <w:tc>
          <w:tcPr>
            <w:tcW w:w="2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Alive</w:t>
            </w:r>
          </w:p>
        </w:tc>
        <w:tc>
          <w:tcPr>
            <w:tcW w:w="2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95 (42.4%)</w:t>
            </w:r>
          </w:p>
        </w:tc>
        <w:tc>
          <w:tcPr>
            <w:tcW w:w="20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104 (46.4%)</w:t>
            </w:r>
          </w:p>
        </w:tc>
        <w:tc>
          <w:tcPr>
            <w:tcW w:w="14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C63B9E" w:rsidTr="002C2F1A">
        <w:trPr>
          <w:trHeight w:val="280"/>
        </w:trPr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ind w:leftChars="100" w:left="210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Dead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17 (7.6%)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8 (3.6%)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63B9E" w:rsidRDefault="00C63B9E" w:rsidP="00C63B9E">
            <w:pPr>
              <w:jc w:val="center"/>
              <w:rPr>
                <w:rFonts w:ascii="Times New Roman" w:eastAsia="宋体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2C2F1A" w:rsidRDefault="002C2F1A" w:rsidP="002C2F1A">
      <w:r>
        <w:rPr>
          <w:rFonts w:ascii="Times New Roman" w:hAnsi="Times New Roman" w:cs="Times New Roman"/>
        </w:rPr>
        <w:t>SD:</w:t>
      </w:r>
      <w:r w:rsidRPr="00E23EC5">
        <w:t xml:space="preserve"> </w:t>
      </w:r>
      <w:r w:rsidRPr="00E23EC5">
        <w:rPr>
          <w:rFonts w:ascii="Times New Roman" w:hAnsi="Times New Roman" w:cs="Times New Roman"/>
        </w:rPr>
        <w:t>Standard deviation</w:t>
      </w:r>
      <w:r>
        <w:rPr>
          <w:rFonts w:ascii="Times New Roman" w:hAnsi="Times New Roman" w:cs="Times New Roman"/>
        </w:rPr>
        <w:t xml:space="preserve">; WHO: </w:t>
      </w:r>
      <w:r w:rsidRPr="00804BAB">
        <w:rPr>
          <w:rFonts w:ascii="Times New Roman" w:hAnsi="Times New Roman" w:cs="Times New Roman"/>
        </w:rPr>
        <w:t>World Health Organization</w:t>
      </w:r>
      <w:r>
        <w:rPr>
          <w:rFonts w:ascii="Times New Roman" w:hAnsi="Times New Roman" w:cs="Times New Roman"/>
        </w:rPr>
        <w:t>; n: Number.</w:t>
      </w:r>
    </w:p>
    <w:p w:rsidR="00D03819" w:rsidRPr="002C2F1A" w:rsidRDefault="00D03819">
      <w:pPr>
        <w:rPr>
          <w:rFonts w:ascii="Times New Roman" w:hAnsi="Times New Roman" w:cs="Times New Roman"/>
          <w:sz w:val="22"/>
          <w:szCs w:val="22"/>
        </w:rPr>
      </w:pPr>
    </w:p>
    <w:p w:rsidR="00D03819" w:rsidRDefault="00D03819">
      <w:pPr>
        <w:rPr>
          <w:rFonts w:ascii="Times New Roman" w:hAnsi="Times New Roman" w:cs="Times New Roman"/>
          <w:sz w:val="22"/>
          <w:szCs w:val="22"/>
        </w:rPr>
      </w:pPr>
    </w:p>
    <w:sectPr w:rsidR="00D038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E4841" w:rsidRDefault="00AE4841" w:rsidP="00C63B9E">
      <w:r>
        <w:separator/>
      </w:r>
    </w:p>
  </w:endnote>
  <w:endnote w:type="continuationSeparator" w:id="0">
    <w:p w:rsidR="00AE4841" w:rsidRDefault="00AE4841" w:rsidP="00C6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E4841" w:rsidRDefault="00AE4841" w:rsidP="00C63B9E">
      <w:r>
        <w:separator/>
      </w:r>
    </w:p>
  </w:footnote>
  <w:footnote w:type="continuationSeparator" w:id="0">
    <w:p w:rsidR="00AE4841" w:rsidRDefault="00AE4841" w:rsidP="00C63B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YyMjU0ZGRhY2NjYmNjNmQ1OWI5ZWZmNTQxZmJiY2YifQ=="/>
  </w:docVars>
  <w:rsids>
    <w:rsidRoot w:val="00D03819"/>
    <w:rsid w:val="002C2F1A"/>
    <w:rsid w:val="00AE4841"/>
    <w:rsid w:val="00C63B9E"/>
    <w:rsid w:val="00D03819"/>
    <w:rsid w:val="11BF05D9"/>
    <w:rsid w:val="404942A3"/>
    <w:rsid w:val="6B78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1BDAE2"/>
  <w15:docId w15:val="{95ADC01A-07F9-4676-9BE2-47B83D21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3B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3B9E"/>
    <w:rPr>
      <w:kern w:val="2"/>
      <w:sz w:val="18"/>
      <w:szCs w:val="18"/>
    </w:rPr>
  </w:style>
  <w:style w:type="paragraph" w:styleId="a5">
    <w:name w:val="footer"/>
    <w:basedOn w:val="a"/>
    <w:link w:val="a6"/>
    <w:rsid w:val="00C63B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3B9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15987</dc:creator>
  <cp:lastModifiedBy>LI XIONG</cp:lastModifiedBy>
  <cp:revision>3</cp:revision>
  <dcterms:created xsi:type="dcterms:W3CDTF">2022-09-11T11:29:00Z</dcterms:created>
  <dcterms:modified xsi:type="dcterms:W3CDTF">2022-11-11T13:13:00Z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C01359AF7F3C4F7B911E78DBBA26E355</vt:lpwstr>
  </property>
</Properties>
</file>