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D32D6C" w14:textId="71DC9A8D" w:rsidR="00E142DC" w:rsidRPr="00E142DC" w:rsidRDefault="00E142DC" w:rsidP="00E142DC">
      <w:pPr>
        <w:spacing w:line="480" w:lineRule="auto"/>
        <w:rPr>
          <w:rFonts w:ascii="Times New Roman" w:hAnsi="Times New Roman" w:cs="Times New Roman"/>
        </w:rPr>
      </w:pPr>
      <w:r w:rsidRPr="00E142DC">
        <w:rPr>
          <w:rFonts w:ascii="Times New Roman" w:hAnsi="Times New Roman" w:cs="Times New Roman"/>
          <w:b/>
          <w:bCs/>
        </w:rPr>
        <w:t>Supplement</w:t>
      </w:r>
      <w:r w:rsidR="007B1BAB">
        <w:rPr>
          <w:rFonts w:ascii="Times New Roman" w:hAnsi="Times New Roman" w:cs="Times New Roman"/>
          <w:b/>
          <w:bCs/>
        </w:rPr>
        <w:t>al</w:t>
      </w:r>
      <w:r w:rsidRPr="00E142DC">
        <w:rPr>
          <w:rFonts w:ascii="Times New Roman" w:hAnsi="Times New Roman" w:cs="Times New Roman"/>
          <w:b/>
          <w:bCs/>
        </w:rPr>
        <w:t xml:space="preserve"> figure 1. Distribution of variation in molecular markers in the </w:t>
      </w:r>
      <w:r w:rsidR="006C62B7" w:rsidRPr="006433F1">
        <w:rPr>
          <w:rFonts w:ascii="Times New Roman" w:hAnsi="Times New Roman" w:cs="Times New Roman"/>
          <w:b/>
          <w:bCs/>
        </w:rPr>
        <w:t>screening</w:t>
      </w:r>
      <w:r w:rsidRPr="006433F1">
        <w:rPr>
          <w:rFonts w:ascii="Times New Roman" w:hAnsi="Times New Roman" w:cs="Times New Roman"/>
          <w:b/>
          <w:bCs/>
        </w:rPr>
        <w:t xml:space="preserve"> </w:t>
      </w:r>
      <w:r w:rsidRPr="00E142DC">
        <w:rPr>
          <w:rFonts w:ascii="Times New Roman" w:hAnsi="Times New Roman" w:cs="Times New Roman"/>
          <w:b/>
          <w:bCs/>
        </w:rPr>
        <w:t>cohort.</w:t>
      </w:r>
      <w:r w:rsidRPr="00E142DC">
        <w:rPr>
          <w:rFonts w:ascii="Times New Roman" w:hAnsi="Times New Roman" w:cs="Times New Roman"/>
        </w:rPr>
        <w:t xml:space="preserve"> Unsupervised dimensionality reduction of expressions with A</w:t>
      </w:r>
      <w:r w:rsidR="00691369">
        <w:rPr>
          <w:rFonts w:ascii="Times New Roman" w:hAnsi="Times New Roman" w:cs="Times New Roman"/>
        </w:rPr>
        <w:t>)</w:t>
      </w:r>
      <w:r w:rsidRPr="00E142DC">
        <w:rPr>
          <w:rFonts w:ascii="Times New Roman" w:hAnsi="Times New Roman" w:cs="Times New Roman"/>
        </w:rPr>
        <w:t xml:space="preserve"> Principal Component Analysis (PCA), and supervised dimensionality reduction with B</w:t>
      </w:r>
      <w:r w:rsidR="00691369">
        <w:rPr>
          <w:rFonts w:ascii="Times New Roman" w:hAnsi="Times New Roman" w:cs="Times New Roman"/>
        </w:rPr>
        <w:t>)</w:t>
      </w:r>
      <w:r w:rsidRPr="00E142DC">
        <w:rPr>
          <w:rFonts w:ascii="Times New Roman" w:hAnsi="Times New Roman" w:cs="Times New Roman"/>
        </w:rPr>
        <w:t xml:space="preserve"> Partial Least Squares (PLS) for separation of sepsis and non-sepsis patients. Figures are overlaid with color representing sepsis and non-sepsis patients.</w:t>
      </w:r>
    </w:p>
    <w:p w14:paraId="47824886" w14:textId="77777777" w:rsidR="00E142DC" w:rsidRPr="00E142DC" w:rsidRDefault="00E142DC" w:rsidP="00E142DC">
      <w:pPr>
        <w:spacing w:line="480" w:lineRule="auto"/>
        <w:rPr>
          <w:rFonts w:ascii="Times New Roman" w:hAnsi="Times New Roman" w:cs="Times New Roman"/>
        </w:rPr>
      </w:pPr>
      <w:r w:rsidRPr="00E142DC">
        <w:rPr>
          <w:rFonts w:ascii="Times New Roman" w:hAnsi="Times New Roman" w:cs="Times New Roman"/>
        </w:rPr>
        <w:t xml:space="preserve"> </w:t>
      </w:r>
    </w:p>
    <w:p w14:paraId="6C2510AC" w14:textId="33C47FAE" w:rsidR="00E142DC" w:rsidRPr="00E142DC" w:rsidRDefault="00E142DC" w:rsidP="00E142DC">
      <w:pPr>
        <w:spacing w:line="480" w:lineRule="auto"/>
        <w:rPr>
          <w:rFonts w:ascii="Times New Roman" w:hAnsi="Times New Roman" w:cs="Times New Roman"/>
        </w:rPr>
      </w:pPr>
      <w:r w:rsidRPr="00E142DC">
        <w:rPr>
          <w:rFonts w:ascii="Times New Roman" w:hAnsi="Times New Roman" w:cs="Times New Roman"/>
          <w:b/>
          <w:bCs/>
        </w:rPr>
        <w:t>Supplementa</w:t>
      </w:r>
      <w:r w:rsidR="007B1BAB">
        <w:rPr>
          <w:rFonts w:ascii="Times New Roman" w:hAnsi="Times New Roman" w:cs="Times New Roman"/>
          <w:b/>
          <w:bCs/>
        </w:rPr>
        <w:t>l</w:t>
      </w:r>
      <w:r w:rsidRPr="00E142DC">
        <w:rPr>
          <w:rFonts w:ascii="Times New Roman" w:hAnsi="Times New Roman" w:cs="Times New Roman"/>
          <w:b/>
          <w:bCs/>
        </w:rPr>
        <w:t xml:space="preserve"> figure 2. Distribution of variation of immune m</w:t>
      </w:r>
      <w:bookmarkStart w:id="0" w:name="_GoBack"/>
      <w:bookmarkEnd w:id="0"/>
      <w:r w:rsidRPr="00E142DC">
        <w:rPr>
          <w:rFonts w:ascii="Times New Roman" w:hAnsi="Times New Roman" w:cs="Times New Roman"/>
          <w:b/>
          <w:bCs/>
        </w:rPr>
        <w:t xml:space="preserve">akers in the </w:t>
      </w:r>
      <w:r w:rsidR="0095723F" w:rsidRPr="006433F1">
        <w:rPr>
          <w:rFonts w:ascii="Times New Roman" w:eastAsia="Times New Roman" w:hAnsi="Times New Roman" w:cs="Times New Roman"/>
          <w:b/>
          <w:bCs/>
          <w:sz w:val="24"/>
          <w:szCs w:val="24"/>
        </w:rPr>
        <w:t>prediction</w:t>
      </w:r>
      <w:r w:rsidR="0095723F" w:rsidRPr="00A768A0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E142DC">
        <w:rPr>
          <w:rFonts w:ascii="Times New Roman" w:hAnsi="Times New Roman" w:cs="Times New Roman"/>
          <w:b/>
          <w:bCs/>
        </w:rPr>
        <w:t>cohort.</w:t>
      </w:r>
      <w:r w:rsidRPr="00E142DC">
        <w:rPr>
          <w:rFonts w:ascii="Times New Roman" w:hAnsi="Times New Roman" w:cs="Times New Roman"/>
        </w:rPr>
        <w:t xml:space="preserve"> Distribution of variation in immune mediator and gene expressions with respect to sepsis and non-sepsis using unsupervised dimensionality reduction of expressions with </w:t>
      </w:r>
      <w:r w:rsidR="00E4697A">
        <w:rPr>
          <w:rFonts w:ascii="Times New Roman" w:hAnsi="Times New Roman" w:cs="Times New Roman"/>
        </w:rPr>
        <w:t>A</w:t>
      </w:r>
      <w:r w:rsidRPr="00E142DC">
        <w:rPr>
          <w:rFonts w:ascii="Times New Roman" w:hAnsi="Times New Roman" w:cs="Times New Roman"/>
        </w:rPr>
        <w:t xml:space="preserve">) Principal Component Analysis (PCA), and supervised dimensionality reduction with </w:t>
      </w:r>
      <w:r w:rsidR="00E4697A">
        <w:rPr>
          <w:rFonts w:ascii="Times New Roman" w:hAnsi="Times New Roman" w:cs="Times New Roman"/>
        </w:rPr>
        <w:t>B</w:t>
      </w:r>
      <w:r w:rsidRPr="00E142DC">
        <w:rPr>
          <w:rFonts w:ascii="Times New Roman" w:hAnsi="Times New Roman" w:cs="Times New Roman"/>
        </w:rPr>
        <w:t>) Partial Least Squares (PLS) for separation of sepsis and non-sepsis patients. Figures are overlaid with color representing sepsis and non-sepsis patients.</w:t>
      </w:r>
    </w:p>
    <w:p w14:paraId="1FE055B5" w14:textId="4015BA81" w:rsidR="00D35775" w:rsidRPr="00E142DC" w:rsidRDefault="00D35775" w:rsidP="00E142DC">
      <w:pPr>
        <w:rPr>
          <w:rFonts w:ascii="Times New Roman" w:hAnsi="Times New Roman" w:cs="Times New Roman"/>
          <w:sz w:val="24"/>
          <w:szCs w:val="24"/>
        </w:rPr>
      </w:pPr>
    </w:p>
    <w:sectPr w:rsidR="00D35775" w:rsidRPr="00E142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2DC"/>
    <w:rsid w:val="006433F1"/>
    <w:rsid w:val="00691369"/>
    <w:rsid w:val="006C62B7"/>
    <w:rsid w:val="007B1BAB"/>
    <w:rsid w:val="0095723F"/>
    <w:rsid w:val="00D35775"/>
    <w:rsid w:val="00E142DC"/>
    <w:rsid w:val="00E46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EE7DB"/>
  <w15:chartTrackingRefBased/>
  <w15:docId w15:val="{DD96AC61-C9F6-456E-94B6-B6123899F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134</Words>
  <Characters>766</Characters>
  <Application>Microsoft Office Word</Application>
  <DocSecurity>0</DocSecurity>
  <Lines>6</Lines>
  <Paragraphs>1</Paragraphs>
  <ScaleCrop>false</ScaleCrop>
  <Company/>
  <LinksUpToDate>false</LinksUpToDate>
  <CharactersWithSpaces>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Kaya Tuerxun</dc:creator>
  <cp:keywords/>
  <dc:description/>
  <cp:lastModifiedBy>Venkatesan Muthu(Editor)</cp:lastModifiedBy>
  <cp:revision>7</cp:revision>
  <dcterms:created xsi:type="dcterms:W3CDTF">2023-05-02T13:40:00Z</dcterms:created>
  <dcterms:modified xsi:type="dcterms:W3CDTF">2023-09-06T08:50:00Z</dcterms:modified>
</cp:coreProperties>
</file>