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3F1EDD" w14:textId="5848CB59" w:rsidR="00724FD7" w:rsidRPr="006C1621" w:rsidRDefault="00724FD7" w:rsidP="00724FD7">
      <w:pPr>
        <w:spacing w:line="480" w:lineRule="auto"/>
        <w:rPr>
          <w:rFonts w:ascii="Arial" w:hAnsi="Arial" w:cs="Arial"/>
          <w:b/>
          <w:iCs/>
          <w:color w:val="000000" w:themeColor="text1"/>
          <w:shd w:val="clear" w:color="auto" w:fill="FFFFFF"/>
          <w:lang w:val="en-US"/>
        </w:rPr>
      </w:pPr>
      <w:r w:rsidRPr="006C1621">
        <w:rPr>
          <w:rFonts w:ascii="Arial" w:hAnsi="Arial" w:cs="Arial"/>
          <w:b/>
          <w:iCs/>
          <w:color w:val="000000" w:themeColor="text1"/>
          <w:shd w:val="clear" w:color="auto" w:fill="FFFFFF"/>
          <w:lang w:val="en-US"/>
        </w:rPr>
        <w:t>Supplementary Material 2</w:t>
      </w:r>
    </w:p>
    <w:p w14:paraId="6F1430A0" w14:textId="77777777" w:rsidR="00724FD7" w:rsidRPr="006C1621" w:rsidRDefault="00724FD7" w:rsidP="00724FD7">
      <w:pPr>
        <w:spacing w:line="480" w:lineRule="auto"/>
        <w:rPr>
          <w:rFonts w:ascii="Arial" w:hAnsi="Arial" w:cs="Arial"/>
          <w:bCs/>
          <w:iCs/>
          <w:color w:val="000000" w:themeColor="text1"/>
          <w:u w:val="single"/>
          <w:shd w:val="clear" w:color="auto" w:fill="FFFFFF"/>
          <w:lang w:val="en-US"/>
        </w:rPr>
      </w:pPr>
    </w:p>
    <w:p w14:paraId="038FD00B" w14:textId="5C8B8257" w:rsidR="00724FD7" w:rsidRPr="006C1621" w:rsidRDefault="00724FD7" w:rsidP="00724FD7">
      <w:pPr>
        <w:spacing w:line="480" w:lineRule="auto"/>
        <w:rPr>
          <w:rFonts w:ascii="Arial" w:hAnsi="Arial" w:cs="Arial"/>
          <w:bCs/>
          <w:iCs/>
          <w:color w:val="000000" w:themeColor="text1"/>
          <w:u w:val="single"/>
          <w:shd w:val="clear" w:color="auto" w:fill="FFFFFF"/>
          <w:lang w:val="en-US"/>
        </w:rPr>
      </w:pPr>
      <w:r w:rsidRPr="006C1621">
        <w:rPr>
          <w:rFonts w:ascii="Arial" w:hAnsi="Arial" w:cs="Arial"/>
          <w:bCs/>
          <w:iCs/>
          <w:color w:val="000000" w:themeColor="text1"/>
          <w:u w:val="single"/>
          <w:shd w:val="clear" w:color="auto" w:fill="FFFFFF"/>
          <w:lang w:val="en-US"/>
        </w:rPr>
        <w:t>Clinical Testing</w:t>
      </w:r>
    </w:p>
    <w:p w14:paraId="3F2CDB9C" w14:textId="77777777" w:rsidR="00724FD7" w:rsidRPr="006C1621" w:rsidRDefault="00724FD7" w:rsidP="00724FD7">
      <w:pPr>
        <w:spacing w:line="480" w:lineRule="auto"/>
        <w:rPr>
          <w:rFonts w:ascii="Arial" w:hAnsi="Arial" w:cs="Arial"/>
          <w:bCs/>
          <w:iCs/>
          <w:color w:val="000000" w:themeColor="text1"/>
          <w:shd w:val="clear" w:color="auto" w:fill="FFFFFF"/>
          <w:lang w:val="en-US"/>
        </w:rPr>
      </w:pPr>
    </w:p>
    <w:p w14:paraId="36F1D08E" w14:textId="77777777" w:rsidR="00724FD7" w:rsidRPr="006C1621" w:rsidRDefault="00724FD7" w:rsidP="00724FD7">
      <w:pPr>
        <w:spacing w:line="480" w:lineRule="auto"/>
        <w:jc w:val="both"/>
        <w:rPr>
          <w:rFonts w:ascii="Arial" w:hAnsi="Arial" w:cs="Arial"/>
          <w:bCs/>
          <w:i/>
          <w:iCs/>
          <w:color w:val="000000" w:themeColor="text1"/>
          <w:shd w:val="clear" w:color="auto" w:fill="FFFFFF"/>
        </w:rPr>
      </w:pPr>
      <w:r w:rsidRPr="006C1621">
        <w:rPr>
          <w:rFonts w:ascii="Arial" w:hAnsi="Arial" w:cs="Arial"/>
          <w:bCs/>
          <w:i/>
          <w:iCs/>
          <w:color w:val="000000" w:themeColor="text1"/>
          <w:shd w:val="clear" w:color="auto" w:fill="FFFFFF"/>
        </w:rPr>
        <w:t xml:space="preserve">Sensory Testing; </w:t>
      </w:r>
      <w:r w:rsidRPr="006C1621">
        <w:rPr>
          <w:rFonts w:ascii="Arial" w:hAnsi="Arial" w:cs="Arial"/>
          <w:bCs/>
          <w:iCs/>
          <w:color w:val="000000" w:themeColor="text1"/>
          <w:shd w:val="clear" w:color="auto" w:fill="FFFFFF"/>
        </w:rPr>
        <w:t xml:space="preserve">Three sensory tests were utilised to measure sensibility outcomes including: the Weinstein Enhanced Sensory Test (WEST) to assess single-point pressure threshold and the integrity of the afferent fibre populations, the static two-point discrimination test (S2PD) to assess sensory discrimination and </w:t>
      </w:r>
      <w:proofErr w:type="spellStart"/>
      <w:r w:rsidRPr="006C1621">
        <w:rPr>
          <w:rFonts w:ascii="Arial" w:hAnsi="Arial" w:cs="Arial"/>
          <w:bCs/>
          <w:iCs/>
          <w:color w:val="000000" w:themeColor="text1"/>
          <w:shd w:val="clear" w:color="auto" w:fill="FFFFFF"/>
        </w:rPr>
        <w:t>locognosia</w:t>
      </w:r>
      <w:proofErr w:type="spellEnd"/>
      <w:r w:rsidRPr="006C1621">
        <w:rPr>
          <w:rFonts w:ascii="Arial" w:hAnsi="Arial" w:cs="Arial"/>
          <w:bCs/>
          <w:iCs/>
          <w:color w:val="000000" w:themeColor="text1"/>
          <w:shd w:val="clear" w:color="auto" w:fill="FFFFFF"/>
        </w:rPr>
        <w:t xml:space="preserve"> testing to assess functional sensibility of the injured nerves. Testing was performed by the primary author (RM) competent in using the described sensory testing techniques.</w:t>
      </w:r>
    </w:p>
    <w:p w14:paraId="75DAAC1A" w14:textId="77777777" w:rsidR="00724FD7" w:rsidRPr="006C1621" w:rsidRDefault="00724FD7" w:rsidP="00724FD7">
      <w:pPr>
        <w:spacing w:line="480" w:lineRule="auto"/>
        <w:jc w:val="both"/>
        <w:rPr>
          <w:rFonts w:ascii="Arial" w:hAnsi="Arial" w:cs="Arial"/>
          <w:bCs/>
          <w:iCs/>
          <w:color w:val="000000" w:themeColor="text1"/>
          <w:shd w:val="clear" w:color="auto" w:fill="FFFFFF"/>
        </w:rPr>
      </w:pPr>
    </w:p>
    <w:p w14:paraId="61095D73" w14:textId="77777777" w:rsidR="00724FD7" w:rsidRPr="006C1621" w:rsidRDefault="00724FD7" w:rsidP="00724FD7">
      <w:pPr>
        <w:spacing w:line="480" w:lineRule="auto"/>
        <w:jc w:val="both"/>
        <w:rPr>
          <w:rFonts w:ascii="Arial" w:hAnsi="Arial" w:cs="Arial"/>
          <w:bCs/>
          <w:iCs/>
          <w:color w:val="000000" w:themeColor="text1"/>
          <w:shd w:val="clear" w:color="auto" w:fill="FFFFFF"/>
        </w:rPr>
      </w:pPr>
      <w:r w:rsidRPr="006C1621">
        <w:rPr>
          <w:rFonts w:ascii="Arial" w:hAnsi="Arial" w:cs="Arial"/>
          <w:bCs/>
          <w:iCs/>
          <w:color w:val="000000" w:themeColor="text1"/>
          <w:shd w:val="clear" w:color="auto" w:fill="FFFFFF"/>
        </w:rPr>
        <w:t>All tests were performed in a quiet room with the patient sitting opposite the examiner with their arms resting on a pillow, elbows at ~45-90 degrees of flexion and semi-supination of the wrists. This position was chosen as the most comfortable position for most patients to sit through the sensory testing without movement of the hands. The hands were then placed through a JAMAR sensory testing shield (Performance Health, IL, USA) to blind the patient to the stimulus during the examination.</w:t>
      </w:r>
    </w:p>
    <w:p w14:paraId="3F52F64B" w14:textId="77777777" w:rsidR="00724FD7" w:rsidRPr="006C1621" w:rsidRDefault="00724FD7" w:rsidP="00724FD7">
      <w:pPr>
        <w:spacing w:line="480" w:lineRule="auto"/>
        <w:jc w:val="both"/>
        <w:rPr>
          <w:rFonts w:ascii="Arial" w:hAnsi="Arial" w:cs="Arial"/>
          <w:bCs/>
          <w:iCs/>
          <w:color w:val="000000" w:themeColor="text1"/>
          <w:shd w:val="clear" w:color="auto" w:fill="FFFFFF"/>
        </w:rPr>
      </w:pPr>
    </w:p>
    <w:p w14:paraId="6CBF7C33" w14:textId="169ABC83" w:rsidR="00724FD7" w:rsidRPr="006C1621" w:rsidRDefault="00724FD7" w:rsidP="00724FD7">
      <w:pPr>
        <w:spacing w:line="480" w:lineRule="auto"/>
        <w:jc w:val="both"/>
        <w:rPr>
          <w:rFonts w:ascii="Arial" w:hAnsi="Arial" w:cs="Arial"/>
          <w:bCs/>
          <w:iCs/>
          <w:color w:val="000000" w:themeColor="text1"/>
          <w:shd w:val="clear" w:color="auto" w:fill="FFFFFF"/>
        </w:rPr>
      </w:pPr>
      <w:r w:rsidRPr="006C1621">
        <w:rPr>
          <w:rFonts w:ascii="Arial" w:hAnsi="Arial" w:cs="Arial"/>
          <w:bCs/>
          <w:iCs/>
          <w:color w:val="000000" w:themeColor="text1"/>
          <w:shd w:val="clear" w:color="auto" w:fill="FFFFFF"/>
        </w:rPr>
        <w:t xml:space="preserve">The WEST monofilament tool (Fabrication Enterprises Inc., NY, USA) developed by Sidney Weinstein </w:t>
      </w:r>
      <w:r w:rsidR="00CA320B" w:rsidRPr="006C1621">
        <w:rPr>
          <w:rFonts w:ascii="Arial" w:hAnsi="Arial" w:cs="Arial"/>
          <w:bCs/>
          <w:iCs/>
          <w:color w:val="000000" w:themeColor="text1"/>
          <w:shd w:val="clear" w:color="auto" w:fill="FFFFFF"/>
        </w:rPr>
        <w:fldChar w:fldCharType="begin"/>
      </w:r>
      <w:r w:rsidR="006C1621" w:rsidRPr="006C1621">
        <w:rPr>
          <w:rFonts w:ascii="Arial" w:hAnsi="Arial" w:cs="Arial"/>
          <w:bCs/>
          <w:iCs/>
          <w:color w:val="000000" w:themeColor="text1"/>
          <w:shd w:val="clear" w:color="auto" w:fill="FFFFFF"/>
        </w:rPr>
        <w:instrText xml:space="preserve"> ADDIN EN.CITE &lt;EndNote&gt;&lt;Cite&gt;&lt;Author&gt;Weinstein&lt;/Author&gt;&lt;Year&gt;1993&lt;/Year&gt;&lt;IDText&gt;Fifty years of somatosensory research: From the Semmes-Weinstein Monofilaments to the Weinstein Enhanced Sensory Test&lt;/IDText&gt;&lt;DisplayText&gt;[1]&lt;/DisplayText&gt;&lt;record&gt;&lt;dates&gt;&lt;pub-dates&gt;&lt;date&gt;1993/1//&lt;/date&gt;&lt;/pub-dates&gt;&lt;year&gt;1993&lt;/year&gt;&lt;/dates&gt;&lt;urls&gt;&lt;related-urls&gt;&lt;url&gt;https://www.sciencedirect.com/science/article/pii/S0894113012801761&lt;/url&gt;&lt;url&gt;http://dx.doi.org/10.1016/S0894-1130(12)80176-1&lt;/url&gt;&lt;/related-urls&gt;&lt;/urls&gt;&lt;titles&gt;&lt;title&gt;Fifty years of somatosensory research: From the Semmes-Weinstein Monofilaments to the Weinstein Enhanced Sensory Test&lt;/title&gt;&lt;secondary-title&gt;Journal of Hand Therapy&lt;/secondary-title&gt;&lt;/titles&gt;&lt;pages&gt;11-22&lt;/pages&gt;&lt;number&gt;1&lt;/number&gt;&lt;contributors&gt;&lt;authors&gt;&lt;author&gt;Weinstein, Sidney&lt;/author&gt;&lt;/authors&gt;&lt;/contributors&gt;&lt;added-date format="utc"&gt;1659109372&lt;/added-date&gt;&lt;ref-type name="Journal Article"&gt;17&lt;/ref-type&gt;&lt;rec-number&gt;8662&lt;/rec-number&gt;&lt;publisher&gt;Hanley &amp;amp; Belfus, Inc.&lt;/publisher&gt;&lt;last-updated-date format="utc"&gt;1659109372&lt;/last-updated-date&gt;&lt;electronic-resource-num&gt;10.1016/S0894-1130(12)80176-1&lt;/electronic-resource-num&gt;&lt;volume&gt;6&lt;/volume&gt;&lt;/record&gt;&lt;/Cite&gt;&lt;/EndNote&gt;</w:instrText>
      </w:r>
      <w:r w:rsidR="00CA320B" w:rsidRPr="006C1621">
        <w:rPr>
          <w:rFonts w:ascii="Arial" w:hAnsi="Arial" w:cs="Arial"/>
          <w:bCs/>
          <w:iCs/>
          <w:color w:val="000000" w:themeColor="text1"/>
          <w:shd w:val="clear" w:color="auto" w:fill="FFFFFF"/>
        </w:rPr>
        <w:fldChar w:fldCharType="separate"/>
      </w:r>
      <w:r w:rsidR="006C1621" w:rsidRPr="006C1621">
        <w:rPr>
          <w:rFonts w:ascii="Arial" w:hAnsi="Arial" w:cs="Arial"/>
          <w:bCs/>
          <w:iCs/>
          <w:noProof/>
          <w:color w:val="000000" w:themeColor="text1"/>
          <w:shd w:val="clear" w:color="auto" w:fill="FFFFFF"/>
        </w:rPr>
        <w:t>[1]</w:t>
      </w:r>
      <w:r w:rsidR="00CA320B" w:rsidRPr="006C1621">
        <w:rPr>
          <w:rFonts w:ascii="Arial" w:hAnsi="Arial" w:cs="Arial"/>
          <w:bCs/>
          <w:iCs/>
          <w:color w:val="000000" w:themeColor="text1"/>
          <w:shd w:val="clear" w:color="auto" w:fill="FFFFFF"/>
        </w:rPr>
        <w:fldChar w:fldCharType="end"/>
      </w:r>
      <w:r w:rsidR="00CA320B" w:rsidRPr="006C1621">
        <w:rPr>
          <w:rFonts w:ascii="Arial" w:hAnsi="Arial" w:cs="Arial"/>
          <w:bCs/>
          <w:iCs/>
          <w:color w:val="000000" w:themeColor="text1"/>
          <w:shd w:val="clear" w:color="auto" w:fill="FFFFFF"/>
        </w:rPr>
        <w:t xml:space="preserve"> </w:t>
      </w:r>
      <w:r w:rsidRPr="006C1621">
        <w:rPr>
          <w:rFonts w:ascii="Arial" w:hAnsi="Arial" w:cs="Arial"/>
          <w:bCs/>
          <w:iCs/>
          <w:color w:val="000000" w:themeColor="text1"/>
          <w:shd w:val="clear" w:color="auto" w:fill="FFFFFF"/>
        </w:rPr>
        <w:t xml:space="preserve">was used for pressure threshold testing. This tool includes five standard filaments which apply a standard calibrated force of 0.07g, 0.2g, 2.0g, 4.0g and 200g. For the purposes of this study a corresponding integer from 5 (0.07g) to 1 (200g) represented the incremental monofilaments with 0 representing an inability to detect any force. A random monofilament test was employed whereby each filament </w:t>
      </w:r>
      <w:r w:rsidRPr="006C1621">
        <w:rPr>
          <w:rFonts w:ascii="Arial" w:hAnsi="Arial" w:cs="Arial"/>
          <w:bCs/>
          <w:iCs/>
          <w:color w:val="000000" w:themeColor="text1"/>
          <w:shd w:val="clear" w:color="auto" w:fill="FFFFFF"/>
        </w:rPr>
        <w:lastRenderedPageBreak/>
        <w:t>was applied in random order to the test sites with the lowest detectable stimulus recorded in terms of the corresponding integer.</w:t>
      </w:r>
    </w:p>
    <w:p w14:paraId="090CB262" w14:textId="77777777" w:rsidR="00724FD7" w:rsidRPr="006C1621" w:rsidRDefault="00724FD7" w:rsidP="00724FD7">
      <w:pPr>
        <w:spacing w:line="480" w:lineRule="auto"/>
        <w:jc w:val="both"/>
        <w:rPr>
          <w:rFonts w:ascii="Arial" w:hAnsi="Arial" w:cs="Arial"/>
          <w:bCs/>
          <w:iCs/>
          <w:color w:val="000000" w:themeColor="text1"/>
          <w:shd w:val="clear" w:color="auto" w:fill="FFFFFF"/>
        </w:rPr>
      </w:pPr>
    </w:p>
    <w:p w14:paraId="472404D6" w14:textId="0826001C" w:rsidR="00724FD7" w:rsidRPr="006C1621" w:rsidRDefault="00724FD7" w:rsidP="00724FD7">
      <w:pPr>
        <w:spacing w:line="480" w:lineRule="auto"/>
        <w:jc w:val="both"/>
        <w:rPr>
          <w:rFonts w:ascii="Arial" w:hAnsi="Arial" w:cs="Arial"/>
          <w:bCs/>
          <w:iCs/>
          <w:color w:val="000000" w:themeColor="text1"/>
          <w:shd w:val="clear" w:color="auto" w:fill="FFFFFF"/>
        </w:rPr>
      </w:pPr>
      <w:r w:rsidRPr="006C1621">
        <w:rPr>
          <w:rFonts w:ascii="Arial" w:hAnsi="Arial" w:cs="Arial"/>
          <w:bCs/>
          <w:iCs/>
          <w:color w:val="000000" w:themeColor="text1"/>
          <w:shd w:val="clear" w:color="auto" w:fill="FFFFFF"/>
        </w:rPr>
        <w:t xml:space="preserve">The S2PD test was performed incrementally using a blunt-tipped discriminator (Baseline DISCRIM-A-GON, Fabrication Enterprises Inc., NY, USA) as described by Mackinnon and </w:t>
      </w:r>
      <w:proofErr w:type="spellStart"/>
      <w:r w:rsidRPr="006C1621">
        <w:rPr>
          <w:rFonts w:ascii="Arial" w:hAnsi="Arial" w:cs="Arial"/>
          <w:bCs/>
          <w:iCs/>
          <w:color w:val="000000" w:themeColor="text1"/>
          <w:shd w:val="clear" w:color="auto" w:fill="FFFFFF"/>
        </w:rPr>
        <w:t>Dellon</w:t>
      </w:r>
      <w:proofErr w:type="spellEnd"/>
      <w:r w:rsidRPr="006C1621">
        <w:rPr>
          <w:rFonts w:ascii="Arial" w:hAnsi="Arial" w:cs="Arial"/>
          <w:bCs/>
          <w:iCs/>
          <w:color w:val="000000" w:themeColor="text1"/>
          <w:shd w:val="clear" w:color="auto" w:fill="FFFFFF"/>
        </w:rPr>
        <w:t xml:space="preserve"> </w:t>
      </w:r>
      <w:r w:rsidR="00085014" w:rsidRPr="006C1621">
        <w:rPr>
          <w:rFonts w:ascii="Arial" w:hAnsi="Arial" w:cs="Arial"/>
          <w:bCs/>
          <w:iCs/>
          <w:color w:val="000000" w:themeColor="text1"/>
          <w:shd w:val="clear" w:color="auto" w:fill="FFFFFF"/>
        </w:rPr>
        <w:fldChar w:fldCharType="begin"/>
      </w:r>
      <w:r w:rsidR="006C1621" w:rsidRPr="006C1621">
        <w:rPr>
          <w:rFonts w:ascii="Arial" w:hAnsi="Arial" w:cs="Arial"/>
          <w:bCs/>
          <w:iCs/>
          <w:color w:val="000000" w:themeColor="text1"/>
          <w:shd w:val="clear" w:color="auto" w:fill="FFFFFF"/>
        </w:rPr>
        <w:instrText xml:space="preserve"> ADDIN EN.CITE &lt;EndNote&gt;&lt;Cite&gt;&lt;Author&gt;Mackinnon&lt;/Author&gt;&lt;Year&gt;1985&lt;/Year&gt;&lt;IDText&gt;Two-point discrimination tester&lt;/IDText&gt;&lt;DisplayText&gt;[2]&lt;/DisplayText&gt;&lt;record&gt;&lt;titles&gt;&lt;title&gt;Two-point discrimination tester&lt;/title&gt;&lt;secondary-title&gt;Journal of Hand Surgery&lt;/secondary-title&gt;&lt;/titles&gt;&lt;contributors&gt;&lt;authors&gt;&lt;author&gt;Mackinnon, Susan E.&lt;/author&gt;&lt;author&gt;Dellon, A. Lee&lt;/author&gt;&lt;/authors&gt;&lt;/contributors&gt;&lt;added-date format="utc"&gt;1659109302&lt;/added-date&gt;&lt;ref-type name="Journal Article"&gt;17&lt;/ref-type&gt;&lt;dates&gt;&lt;year&gt;1985&lt;/year&gt;&lt;/dates&gt;&lt;rec-number&gt;7810&lt;/rec-number&gt;&lt;last-updated-date format="utc"&gt;1659109302&lt;/last-updated-date&gt;&lt;electronic-resource-num&gt;10.1016/S0363-5023(85)80173-8&lt;/electronic-resource-num&gt;&lt;/record&gt;&lt;/Cite&gt;&lt;/EndNote&gt;</w:instrText>
      </w:r>
      <w:r w:rsidR="00085014" w:rsidRPr="006C1621">
        <w:rPr>
          <w:rFonts w:ascii="Arial" w:hAnsi="Arial" w:cs="Arial"/>
          <w:bCs/>
          <w:iCs/>
          <w:color w:val="000000" w:themeColor="text1"/>
          <w:shd w:val="clear" w:color="auto" w:fill="FFFFFF"/>
        </w:rPr>
        <w:fldChar w:fldCharType="separate"/>
      </w:r>
      <w:r w:rsidR="006C1621" w:rsidRPr="006C1621">
        <w:rPr>
          <w:rFonts w:ascii="Arial" w:hAnsi="Arial" w:cs="Arial"/>
          <w:bCs/>
          <w:iCs/>
          <w:noProof/>
          <w:color w:val="000000" w:themeColor="text1"/>
          <w:shd w:val="clear" w:color="auto" w:fill="FFFFFF"/>
        </w:rPr>
        <w:t>[2]</w:t>
      </w:r>
      <w:r w:rsidR="00085014" w:rsidRPr="006C1621">
        <w:rPr>
          <w:rFonts w:ascii="Arial" w:hAnsi="Arial" w:cs="Arial"/>
          <w:bCs/>
          <w:iCs/>
          <w:color w:val="000000" w:themeColor="text1"/>
          <w:shd w:val="clear" w:color="auto" w:fill="FFFFFF"/>
        </w:rPr>
        <w:fldChar w:fldCharType="end"/>
      </w:r>
      <w:r w:rsidRPr="006C1621">
        <w:rPr>
          <w:rFonts w:ascii="Arial" w:hAnsi="Arial" w:cs="Arial"/>
          <w:bCs/>
          <w:iCs/>
          <w:color w:val="000000" w:themeColor="text1"/>
          <w:shd w:val="clear" w:color="auto" w:fill="FFFFFF"/>
        </w:rPr>
        <w:fldChar w:fldCharType="begin" w:fldLock="1"/>
      </w:r>
      <w:r w:rsidRPr="006C1621">
        <w:rPr>
          <w:rFonts w:ascii="Arial" w:hAnsi="Arial" w:cs="Arial"/>
          <w:bCs/>
          <w:iCs/>
          <w:color w:val="000000" w:themeColor="text1"/>
          <w:shd w:val="clear" w:color="auto" w:fill="FFFFFF"/>
        </w:rPr>
        <w:instrText>ADDIN CSL_CITATION {"citationItems":[{"id":"ITEM-1","itemData":{"DOI":"10.1016/S0363-5023(85)80173-8","ISSN":"03635023","author":[{"dropping-particle":"","family":"Mackinnon","given":"Susan E.","non-dropping-particle":"","parse-names":false,"suffix":""},{"dropping-particle":"","family":"Dellon","given":"A. Lee","non-dropping-particle":"","parse-names":false,"suffix":""}],"container-title":"Journal of Hand Surgery","id":"ITEM-1","issued":{"date-parts":[["1985"]]},"title":"Two-point discrimination tester","type":"article-journal"},"uris":["http://www.mendeley.com/documents/?uuid=a222367f-89fb-3a1a-9117-de6b858d4020"]}],"mendeley":{"formattedCitation":"(Mackinnon and Dellon, 1985)","plainTextFormattedCitation":"(Mackinnon and Dellon, 1985)","previouslyFormattedCitation":"(Mackinnon and Dellon, 1985)"},"properties":{"noteIndex":0},"schema":"https://github.com/citation-style-language/schema/raw/master/csl-citation.json"}</w:instrText>
      </w:r>
      <w:r w:rsidRPr="006C1621">
        <w:rPr>
          <w:rFonts w:ascii="Arial" w:hAnsi="Arial" w:cs="Arial"/>
          <w:bCs/>
          <w:iCs/>
          <w:color w:val="000000" w:themeColor="text1"/>
          <w:shd w:val="clear" w:color="auto" w:fill="FFFFFF"/>
        </w:rPr>
        <w:fldChar w:fldCharType="end"/>
      </w:r>
      <w:r w:rsidRPr="006C1621">
        <w:rPr>
          <w:rFonts w:ascii="Arial" w:hAnsi="Arial" w:cs="Arial"/>
          <w:bCs/>
          <w:iCs/>
          <w:color w:val="000000" w:themeColor="text1"/>
          <w:shd w:val="clear" w:color="auto" w:fill="FFFFFF"/>
        </w:rPr>
        <w:t xml:space="preserve"> starting with the smallest width and just sufficient pressure for the subject to detect the stimulus. Each pin set distance was performed 10 times and a score of 7 positive responses out of 10 was deemed a positive response. </w:t>
      </w:r>
    </w:p>
    <w:p w14:paraId="4BDA582A" w14:textId="77777777" w:rsidR="00724FD7" w:rsidRPr="006C1621" w:rsidRDefault="00724FD7" w:rsidP="00724FD7">
      <w:pPr>
        <w:spacing w:line="480" w:lineRule="auto"/>
        <w:jc w:val="both"/>
        <w:rPr>
          <w:rFonts w:ascii="Arial" w:hAnsi="Arial" w:cs="Arial"/>
          <w:bCs/>
          <w:iCs/>
          <w:color w:val="000000" w:themeColor="text1"/>
          <w:shd w:val="clear" w:color="auto" w:fill="FFFFFF"/>
        </w:rPr>
      </w:pPr>
    </w:p>
    <w:p w14:paraId="1275159B" w14:textId="69271D68" w:rsidR="00724FD7" w:rsidRPr="006C1621" w:rsidRDefault="00724FD7" w:rsidP="00724FD7">
      <w:pPr>
        <w:spacing w:line="480" w:lineRule="auto"/>
        <w:jc w:val="both"/>
        <w:rPr>
          <w:rFonts w:ascii="Arial" w:hAnsi="Arial" w:cs="Arial"/>
          <w:bCs/>
          <w:iCs/>
          <w:color w:val="000000" w:themeColor="text1"/>
          <w:shd w:val="clear" w:color="auto" w:fill="FFFFFF"/>
        </w:rPr>
      </w:pPr>
      <w:r w:rsidRPr="006C1621">
        <w:rPr>
          <w:rFonts w:ascii="Arial" w:hAnsi="Arial" w:cs="Arial"/>
          <w:bCs/>
          <w:iCs/>
          <w:color w:val="000000" w:themeColor="text1"/>
          <w:shd w:val="clear" w:color="auto" w:fill="FFFFFF"/>
        </w:rPr>
        <w:t xml:space="preserve">The </w:t>
      </w:r>
      <w:proofErr w:type="spellStart"/>
      <w:r w:rsidRPr="006C1621">
        <w:rPr>
          <w:rFonts w:ascii="Arial" w:hAnsi="Arial" w:cs="Arial"/>
          <w:bCs/>
          <w:iCs/>
          <w:color w:val="000000" w:themeColor="text1"/>
          <w:shd w:val="clear" w:color="auto" w:fill="FFFFFF"/>
        </w:rPr>
        <w:t>locognosia</w:t>
      </w:r>
      <w:proofErr w:type="spellEnd"/>
      <w:r w:rsidRPr="006C1621">
        <w:rPr>
          <w:rFonts w:ascii="Arial" w:hAnsi="Arial" w:cs="Arial"/>
          <w:bCs/>
          <w:iCs/>
          <w:color w:val="000000" w:themeColor="text1"/>
          <w:shd w:val="clear" w:color="auto" w:fill="FFFFFF"/>
        </w:rPr>
        <w:t xml:space="preserve"> test was performed as described by </w:t>
      </w:r>
      <w:proofErr w:type="spellStart"/>
      <w:r w:rsidRPr="006C1621">
        <w:rPr>
          <w:rFonts w:ascii="Arial" w:hAnsi="Arial" w:cs="Arial"/>
          <w:bCs/>
          <w:iCs/>
          <w:color w:val="000000" w:themeColor="text1"/>
          <w:shd w:val="clear" w:color="auto" w:fill="FFFFFF"/>
        </w:rPr>
        <w:t>Jerosch</w:t>
      </w:r>
      <w:proofErr w:type="spellEnd"/>
      <w:r w:rsidRPr="006C1621">
        <w:rPr>
          <w:rFonts w:ascii="Arial" w:hAnsi="Arial" w:cs="Arial"/>
          <w:bCs/>
          <w:iCs/>
          <w:color w:val="000000" w:themeColor="text1"/>
          <w:shd w:val="clear" w:color="auto" w:fill="FFFFFF"/>
        </w:rPr>
        <w:t xml:space="preserve">-Herold et al. JBJS 2006 </w:t>
      </w:r>
      <w:r w:rsidR="006E18B1" w:rsidRPr="006C1621">
        <w:rPr>
          <w:rFonts w:ascii="Arial" w:hAnsi="Arial" w:cs="Arial"/>
          <w:bCs/>
          <w:iCs/>
          <w:color w:val="000000" w:themeColor="text1"/>
          <w:shd w:val="clear" w:color="auto" w:fill="FFFFFF"/>
        </w:rPr>
        <w:fldChar w:fldCharType="begin"/>
      </w:r>
      <w:r w:rsidR="006C1621" w:rsidRPr="006C1621">
        <w:rPr>
          <w:rFonts w:ascii="Arial" w:hAnsi="Arial" w:cs="Arial"/>
          <w:bCs/>
          <w:iCs/>
          <w:color w:val="000000" w:themeColor="text1"/>
          <w:shd w:val="clear" w:color="auto" w:fill="FFFFFF"/>
        </w:rPr>
        <w:instrText xml:space="preserve"> ADDIN EN.CITE &lt;EndNote&gt;&lt;Cite&gt;&lt;Author&gt;Jerosch-Herold&lt;/Author&gt;&lt;Year&gt;2006&lt;/Year&gt;&lt;IDText&gt;The reliability and validity of the locognosia test after injuries to peripheral nerves in the hand&lt;/IDText&gt;&lt;DisplayText&gt;[3]&lt;/DisplayText&gt;&lt;record&gt;&lt;dates&gt;&lt;pub-dates&gt;&lt;date&gt;2006/8//&lt;/date&gt;&lt;/pub-dates&gt;&lt;year&gt;2006&lt;/year&gt;&lt;/dates&gt;&lt;urls&gt;&lt;related-urls&gt;&lt;url&gt;http://www.ncbi.nlm.nih.gov/pubmed/16877604&lt;/url&gt;&lt;url&gt;http://online.boneandjoint.org.uk/doi/10.1302/0301-620X.88B8.17444&lt;/url&gt;&lt;url&gt;http://www.bjj.boneandjoint.org.uk/cgi/doi/10.1302/0301-620X.88B8.17444&lt;/url&gt;&lt;/related-urls&gt;&lt;/urls&gt;&lt;isbn&gt;0301-620X (Print)\n0301-620X (Linking)&lt;/isbn&gt;&lt;titles&gt;&lt;title&gt;The reliability and validity of the locognosia test after injuries to peripheral nerves in the hand&lt;/title&gt;&lt;secondary-title&gt;Journal of Bone and Joint Surgery - British Volume&lt;/secondary-title&gt;&lt;/titles&gt;&lt;pages&gt;1048-1052&lt;/pages&gt;&lt;number&gt;8&lt;/number&gt;&lt;contributors&gt;&lt;authors&gt;&lt;author&gt;Jerosch-Herold, C.&lt;/author&gt;&lt;/authors&gt;&lt;/contributors&gt;&lt;added-date format="utc"&gt;1659109055&lt;/added-date&gt;&lt;ref-type name="Journal Article"&gt;17&lt;/ref-type&gt;&lt;rec-number&gt;5018&lt;/rec-number&gt;&lt;last-updated-date format="utc"&gt;1659109055&lt;/last-updated-date&gt;&lt;electronic-resource-num&gt;10.1302/0301-620X.88B8.17444&lt;/electronic-resource-num&gt;&lt;volume&gt;88-B&lt;/volume&gt;&lt;/record&gt;&lt;/Cite&gt;&lt;/EndNote&gt;</w:instrText>
      </w:r>
      <w:r w:rsidR="006E18B1" w:rsidRPr="006C1621">
        <w:rPr>
          <w:rFonts w:ascii="Arial" w:hAnsi="Arial" w:cs="Arial"/>
          <w:bCs/>
          <w:iCs/>
          <w:color w:val="000000" w:themeColor="text1"/>
          <w:shd w:val="clear" w:color="auto" w:fill="FFFFFF"/>
        </w:rPr>
        <w:fldChar w:fldCharType="separate"/>
      </w:r>
      <w:r w:rsidR="006C1621" w:rsidRPr="006C1621">
        <w:rPr>
          <w:rFonts w:ascii="Arial" w:hAnsi="Arial" w:cs="Arial"/>
          <w:bCs/>
          <w:iCs/>
          <w:noProof/>
          <w:color w:val="000000" w:themeColor="text1"/>
          <w:shd w:val="clear" w:color="auto" w:fill="FFFFFF"/>
        </w:rPr>
        <w:t>[3]</w:t>
      </w:r>
      <w:r w:rsidR="006E18B1" w:rsidRPr="006C1621">
        <w:rPr>
          <w:rFonts w:ascii="Arial" w:hAnsi="Arial" w:cs="Arial"/>
          <w:bCs/>
          <w:iCs/>
          <w:color w:val="000000" w:themeColor="text1"/>
          <w:shd w:val="clear" w:color="auto" w:fill="FFFFFF"/>
        </w:rPr>
        <w:fldChar w:fldCharType="end"/>
      </w:r>
      <w:r w:rsidRPr="006C1621">
        <w:rPr>
          <w:rFonts w:ascii="Arial" w:hAnsi="Arial" w:cs="Arial"/>
          <w:bCs/>
          <w:iCs/>
          <w:color w:val="000000" w:themeColor="text1"/>
          <w:shd w:val="clear" w:color="auto" w:fill="FFFFFF"/>
        </w:rPr>
        <w:t xml:space="preserve">. A diagram of the hand with a superimposed grid of zones, numbered is presented to the patient. The patient is asked to identify the zone where a suprathreshold stimulus has been perceived. The stimulus is delivered using a WEST monofilament (Fabrication Enterprises Inc., NY, USA), which upon contact with the skin bends, providing a repeatable peak force of 200g. </w:t>
      </w:r>
    </w:p>
    <w:p w14:paraId="30CAA6B0" w14:textId="77777777" w:rsidR="00724FD7" w:rsidRPr="006C1621" w:rsidRDefault="00724FD7" w:rsidP="00724FD7">
      <w:pPr>
        <w:spacing w:line="480" w:lineRule="auto"/>
        <w:jc w:val="both"/>
        <w:rPr>
          <w:rFonts w:ascii="Arial" w:hAnsi="Arial" w:cs="Arial"/>
          <w:bCs/>
          <w:iCs/>
          <w:color w:val="000000" w:themeColor="text1"/>
          <w:shd w:val="clear" w:color="auto" w:fill="FFFFFF"/>
        </w:rPr>
      </w:pPr>
    </w:p>
    <w:p w14:paraId="69697D6F" w14:textId="2FE30C46" w:rsidR="00724FD7" w:rsidRPr="006C1621" w:rsidRDefault="00724FD7" w:rsidP="00724FD7">
      <w:pPr>
        <w:spacing w:line="480" w:lineRule="auto"/>
        <w:jc w:val="both"/>
        <w:rPr>
          <w:rFonts w:ascii="Arial" w:hAnsi="Arial" w:cs="Arial"/>
          <w:bCs/>
          <w:iCs/>
          <w:color w:val="000000" w:themeColor="text1"/>
          <w:shd w:val="clear" w:color="auto" w:fill="FFFFFF"/>
        </w:rPr>
      </w:pPr>
      <w:r w:rsidRPr="006C1621">
        <w:rPr>
          <w:rFonts w:ascii="Arial" w:hAnsi="Arial" w:cs="Arial"/>
          <w:bCs/>
          <w:i/>
          <w:iCs/>
          <w:color w:val="000000" w:themeColor="text1"/>
          <w:shd w:val="clear" w:color="auto" w:fill="FFFFFF"/>
        </w:rPr>
        <w:t xml:space="preserve">Motor Testing; </w:t>
      </w:r>
      <w:r w:rsidRPr="006C1621">
        <w:rPr>
          <w:rFonts w:ascii="Arial" w:hAnsi="Arial" w:cs="Arial"/>
          <w:bCs/>
          <w:color w:val="000000" w:themeColor="text1"/>
          <w:shd w:val="clear" w:color="auto" w:fill="FFFFFF"/>
        </w:rPr>
        <w:t>two motor tests were employed, with the patient in the same position</w:t>
      </w:r>
      <w:r w:rsidRPr="006C1621">
        <w:rPr>
          <w:rFonts w:ascii="Arial" w:hAnsi="Arial" w:cs="Arial"/>
          <w:bCs/>
          <w:iCs/>
          <w:color w:val="000000" w:themeColor="text1"/>
          <w:shd w:val="clear" w:color="auto" w:fill="FFFFFF"/>
        </w:rPr>
        <w:t>.</w:t>
      </w:r>
      <w:r w:rsidRPr="006C1621">
        <w:rPr>
          <w:rFonts w:ascii="Arial" w:hAnsi="Arial" w:cs="Arial"/>
          <w:bCs/>
          <w:color w:val="000000" w:themeColor="text1"/>
          <w:shd w:val="clear" w:color="auto" w:fill="FFFFFF"/>
        </w:rPr>
        <w:t xml:space="preserve"> Manual muscle testing utilising the Medical Research Council scale </w:t>
      </w:r>
      <w:r w:rsidR="00D03C07" w:rsidRPr="006C1621">
        <w:rPr>
          <w:rFonts w:ascii="Arial" w:hAnsi="Arial" w:cs="Arial"/>
          <w:bCs/>
          <w:color w:val="000000" w:themeColor="text1"/>
          <w:shd w:val="clear" w:color="auto" w:fill="FFFFFF"/>
        </w:rPr>
        <w:fldChar w:fldCharType="begin"/>
      </w:r>
      <w:r w:rsidR="006C1621" w:rsidRPr="006C1621">
        <w:rPr>
          <w:rFonts w:ascii="Arial" w:hAnsi="Arial" w:cs="Arial"/>
          <w:bCs/>
          <w:color w:val="000000" w:themeColor="text1"/>
          <w:shd w:val="clear" w:color="auto" w:fill="FFFFFF"/>
        </w:rPr>
        <w:instrText xml:space="preserve"> ADDIN EN.CITE &lt;EndNote&gt;&lt;Cite&gt;&lt;Author&gt;Riddoch&lt;/Author&gt;&lt;Year&gt;1976&lt;/Year&gt;&lt;IDText&gt;Aids to the examination of the peripheral nervous system&lt;/IDText&gt;&lt;DisplayText&gt;[4]&lt;/DisplayText&gt;&lt;record&gt;&lt;urls&gt;&lt;related-urls&gt;&lt;url&gt;https://mrc.ukri.org/documents/pdf/aids-to-the-examination-of-the-peripheral-nervous-system-mrc-memorandum-no-45-superseding-war-memorandum-no-7/&lt;/url&gt;&lt;url&gt;https://www.mrc.ac.uk/documents/pdf/aids-to-the-examination-of-the-peripheral-nervous-system-mrc-memorandum-n&lt;/url&gt;&lt;/related-urls&gt;&lt;/urls&gt;&lt;titles&gt;&lt;title&gt;Aids to the examination of the peripheral nervous system&lt;/title&gt;&lt;secondary-title&gt;Medical Research Council&lt;/secondary-title&gt;&lt;/titles&gt;&lt;contributors&gt;&lt;authors&gt;&lt;author&gt;Riddoch, Brigadier G.&lt;/author&gt;&lt;author&gt;Bristow, Brigadier&lt;/author&gt;&lt;author&gt;Cairns, Brigadier H. W. B.&lt;/author&gt;&lt;author&gt;Carmichael, E. A.&lt;/author&gt;&lt;author&gt;Critchley, M.&lt;/author&gt;&lt;author&gt;Greenfield, J. G.&lt;/author&gt;&lt;author&gt;Learmonth, J. R.&lt;/author&gt;&lt;author&gt;Platt, H.&lt;/author&gt;&lt;author&gt;Seddon, H. J.&lt;/author&gt;&lt;author&gt;Symonds, C. P.&lt;/author&gt;&lt;author&gt;Young, J. Z.&lt;/author&gt;&lt;author&gt;Herrald, F. J. C.&lt;/author&gt;&lt;author&gt;G, Riddoch&lt;/author&gt;&lt;author&gt;Bristow, Brigadier&lt;/author&gt;&lt;author&gt;Cairns, Brigadier H. W. B.&lt;/author&gt;&lt;author&gt;Carmichael, E. A.&lt;/author&gt;&lt;author&gt;Critchley, M.&lt;/author&gt;&lt;author&gt;Greenfield, J. G.&lt;/author&gt;&lt;author&gt;Learmonth, J. R.&lt;/author&gt;&lt;author&gt;Platt, H.&lt;/author&gt;&lt;author&gt;Seddon, H. J.&lt;/author&gt;&lt;author&gt;Symonds, C. P.&lt;/author&gt;&lt;author&gt;Young, J. Z.&lt;/author&gt;&lt;author&gt;Herrald, F. J. C.&lt;/author&gt;&lt;/authors&gt;&lt;/contributors&gt;&lt;added-date format="utc"&gt;1659109381&lt;/added-date&gt;&lt;ref-type name="Journal Article"&gt;17&lt;/ref-type&gt;&lt;dates&gt;&lt;year&gt;1976&lt;/year&gt;&lt;/dates&gt;&lt;rec-number&gt;8787&lt;/rec-number&gt;&lt;last-updated-date format="utc"&gt;1659109381&lt;/last-updated-date&gt;&lt;/record&gt;&lt;/Cite&gt;&lt;/EndNote&gt;</w:instrText>
      </w:r>
      <w:r w:rsidR="00D03C07" w:rsidRPr="006C1621">
        <w:rPr>
          <w:rFonts w:ascii="Arial" w:hAnsi="Arial" w:cs="Arial"/>
          <w:bCs/>
          <w:color w:val="000000" w:themeColor="text1"/>
          <w:shd w:val="clear" w:color="auto" w:fill="FFFFFF"/>
        </w:rPr>
        <w:fldChar w:fldCharType="separate"/>
      </w:r>
      <w:r w:rsidR="006C1621" w:rsidRPr="006C1621">
        <w:rPr>
          <w:rFonts w:ascii="Arial" w:hAnsi="Arial" w:cs="Arial"/>
          <w:bCs/>
          <w:noProof/>
          <w:color w:val="000000" w:themeColor="text1"/>
          <w:shd w:val="clear" w:color="auto" w:fill="FFFFFF"/>
        </w:rPr>
        <w:t>[4]</w:t>
      </w:r>
      <w:r w:rsidR="00D03C07" w:rsidRPr="006C1621">
        <w:rPr>
          <w:rFonts w:ascii="Arial" w:hAnsi="Arial" w:cs="Arial"/>
          <w:bCs/>
          <w:color w:val="000000" w:themeColor="text1"/>
          <w:shd w:val="clear" w:color="auto" w:fill="FFFFFF"/>
        </w:rPr>
        <w:fldChar w:fldCharType="end"/>
      </w:r>
      <w:r w:rsidRPr="006C1621">
        <w:rPr>
          <w:rFonts w:ascii="Arial" w:hAnsi="Arial" w:cs="Arial"/>
          <w:bCs/>
          <w:color w:val="000000" w:themeColor="text1"/>
          <w:shd w:val="clear" w:color="auto" w:fill="FFFFFF"/>
        </w:rPr>
        <w:t xml:space="preserve"> was performed as described except with the examiner utilising the same tendon/muscle group to oppose that being tested in the patient. Isometric grip force was measured using a JAMAR Smart Hand Dynamometer </w:t>
      </w:r>
      <w:r w:rsidRPr="006C1621">
        <w:rPr>
          <w:rFonts w:ascii="Arial" w:hAnsi="Arial" w:cs="Arial"/>
          <w:bCs/>
          <w:iCs/>
          <w:color w:val="000000" w:themeColor="text1"/>
          <w:shd w:val="clear" w:color="auto" w:fill="FFFFFF"/>
        </w:rPr>
        <w:t xml:space="preserve">(Performance Health, IL, USA) with a mean of 3 trials in the second position using the uninjured followed by the injured side. Scores of both the manual muscle testing and isometric grip force were recorded as per the Rosen Score </w:t>
      </w:r>
      <w:r w:rsidR="00D03C07" w:rsidRPr="006C1621">
        <w:rPr>
          <w:rFonts w:ascii="Arial" w:hAnsi="Arial" w:cs="Arial"/>
          <w:bCs/>
          <w:iCs/>
          <w:color w:val="000000" w:themeColor="text1"/>
          <w:shd w:val="clear" w:color="auto" w:fill="FFFFFF"/>
        </w:rPr>
        <w:fldChar w:fldCharType="begin"/>
      </w:r>
      <w:r w:rsidR="006C1621" w:rsidRPr="006C1621">
        <w:rPr>
          <w:rFonts w:ascii="Arial" w:hAnsi="Arial" w:cs="Arial"/>
          <w:bCs/>
          <w:iCs/>
          <w:color w:val="000000" w:themeColor="text1"/>
          <w:shd w:val="clear" w:color="auto" w:fill="FFFFFF"/>
        </w:rPr>
        <w:instrText xml:space="preserve"> ADDIN EN.CITE &lt;EndNote&gt;&lt;Cite&gt;&lt;Author&gt;Roseén&lt;/Author&gt;&lt;Year&gt;2000&lt;/Year&gt;&lt;IDText&gt;A model instrument for the documentation of outcome after nerve repair&lt;/IDText&gt;&lt;DisplayText&gt;[5]&lt;/DisplayText&gt;&lt;record&gt;&lt;dates&gt;&lt;pub-dates&gt;&lt;date&gt;2000/5//&lt;/date&gt;&lt;/pub-dates&gt;&lt;year&gt;2000&lt;/year&gt;&lt;/dates&gt;&lt;keywords&gt;&lt;keyword&gt;Documentation&lt;/keyword&gt;&lt;keyword&gt;Evaluation&lt;/keyword&gt;&lt;keyword&gt;Functional outcome&lt;/keyword&gt;&lt;keyword&gt;Nerve repair&lt;/keyword&gt;&lt;keyword&gt;Validation&lt;/keyword&gt;&lt;/keywords&gt;&lt;urls&gt;&lt;related-urls&gt;&lt;url&gt;https://www.sciencedirect.com/science/article/pii/S0363502300093916?via%3Dihub&lt;/url&gt;&lt;/related-urls&gt;&lt;/urls&gt;&lt;isbn&gt;0363-5023 (Print)\n0363-5023 (Linking)&lt;/isbn&gt;&lt;titles&gt;&lt;title&gt;A model instrument for the documentation of outcome after nerve repair&lt;/title&gt;&lt;secondary-title&gt;Journal of Hand Surgery&lt;/secondary-title&gt;&lt;/titles&gt;&lt;pages&gt;535-543&lt;/pages&gt;&lt;number&gt;3&lt;/number&gt;&lt;contributors&gt;&lt;authors&gt;&lt;author&gt;Roseén, Birgitta&lt;/author&gt;&lt;author&gt;Lundborg, Goöran&lt;/author&gt;&lt;/authors&gt;&lt;/contributors&gt;&lt;added-date format="utc"&gt;1659109056&lt;/added-date&gt;&lt;ref-type name="Journal Article"&gt;17&lt;/ref-type&gt;&lt;rec-number&gt;5038&lt;/rec-number&gt;&lt;publisher&gt;W.B. Saunders&lt;/publisher&gt;&lt;last-updated-date format="utc"&gt;1666269555&lt;/last-updated-date&gt;&lt;electronic-resource-num&gt;10.1053/jhsu.2000.6458&lt;/electronic-resource-num&gt;&lt;volume&gt;25&lt;/volume&gt;&lt;/record&gt;&lt;/Cite&gt;&lt;/EndNote&gt;</w:instrText>
      </w:r>
      <w:r w:rsidR="00D03C07" w:rsidRPr="006C1621">
        <w:rPr>
          <w:rFonts w:ascii="Arial" w:hAnsi="Arial" w:cs="Arial"/>
          <w:bCs/>
          <w:iCs/>
          <w:color w:val="000000" w:themeColor="text1"/>
          <w:shd w:val="clear" w:color="auto" w:fill="FFFFFF"/>
        </w:rPr>
        <w:fldChar w:fldCharType="separate"/>
      </w:r>
      <w:r w:rsidR="006C1621" w:rsidRPr="006C1621">
        <w:rPr>
          <w:rFonts w:ascii="Arial" w:hAnsi="Arial" w:cs="Arial"/>
          <w:bCs/>
          <w:iCs/>
          <w:noProof/>
          <w:color w:val="000000" w:themeColor="text1"/>
          <w:shd w:val="clear" w:color="auto" w:fill="FFFFFF"/>
        </w:rPr>
        <w:t>[5]</w:t>
      </w:r>
      <w:r w:rsidR="00D03C07" w:rsidRPr="006C1621">
        <w:rPr>
          <w:rFonts w:ascii="Arial" w:hAnsi="Arial" w:cs="Arial"/>
          <w:bCs/>
          <w:iCs/>
          <w:color w:val="000000" w:themeColor="text1"/>
          <w:shd w:val="clear" w:color="auto" w:fill="FFFFFF"/>
        </w:rPr>
        <w:fldChar w:fldCharType="end"/>
      </w:r>
      <w:r w:rsidRPr="006C1621">
        <w:rPr>
          <w:rFonts w:ascii="Arial" w:hAnsi="Arial" w:cs="Arial"/>
          <w:bCs/>
          <w:iCs/>
          <w:color w:val="000000" w:themeColor="text1"/>
          <w:shd w:val="clear" w:color="auto" w:fill="FFFFFF"/>
        </w:rPr>
        <w:fldChar w:fldCharType="begin" w:fldLock="1"/>
      </w:r>
      <w:r w:rsidRPr="006C1621">
        <w:rPr>
          <w:rFonts w:ascii="Arial" w:hAnsi="Arial" w:cs="Arial"/>
          <w:bCs/>
          <w:iCs/>
          <w:color w:val="000000" w:themeColor="text1"/>
          <w:shd w:val="clear" w:color="auto" w:fill="FFFFFF"/>
        </w:rPr>
        <w:instrText>ADDIN CSL_CITATION {"citationItems":[{"id":"ITEM-1","itemData":{"DOI":"10.1053/jhsu.2000.6458","ISBN":"0363-5023 (Print)\\n0363-5023 (Linking)","ISSN":"03635023","PMID":"10811759","abstract":"We present a new model for documentation and quantification of the functional outcome after nerve repair at the wrist or distal forearm level and a protocol that includes a numerical scoring system. The model, presented here along with validation and reliability test results, supports our hypothesis that the summarized test results reflecting specific functional limitations correlates well with the patient's opinion of the impact of the nerve injury on activities of daily living. Seventy patients with nerve repair were examined using the protocol. Analysis included 3 factors: sensory domain (sensory innervation, tactile gnosis, and finger dexterity), motor domain (motor innervation and grip strength), and pain/discomfort domain (hyperaesthesia and cold intolerance). The analysis explained 73% of the variances of the variables and the variables had a logical distribution between the factors. Analysis of internal consistency demonstrated good homogeneity. A calculated total score correlated strongly with the patients' global estimation of the impact of the injury on activities of daily living and the summary of sensory and pain/discomfort domains correlated significantly with the Medical Research Council S0-S4 scale. The presented model represents a useful new tool for evaluation of the functional outcome after nerve injury and repair. © 2000 by the American Society for Surgery of the Hand.","author":[{"dropping-particle":"","family":"Roseén","given":"Birgitta","non-dropping-particle":"","parse-names":false,"suffix":""},{"dropping-particle":"","family":"Lundborg","given":"Goöran","non-dropping-particle":"","parse-names":false,"suffix":""}],"container-title":"Journal of Hand Surgery","id":"ITEM-1","issue":"3","issued":{"date-parts":[["2000","5","1"]]},"page":"535-543","publisher":"W.B. Saunders","title":"A model instrument for the documentation of outcome after nerve repair","type":"article-journal","volume":"25"},"uris":["http://www.mendeley.com/documents/?uuid=c9faf1b2-1505-30e8-992d-b978c6c644bb"]}],"mendeley":{"formattedCitation":"(Roseén and Lundborg, 2000)","plainTextFormattedCitation":"(Roseén and Lundborg, 2000)","previouslyFormattedCitation":"(Roseén and Lundborg, 2000)"},"properties":{"noteIndex":0},"schema":"https://github.com/citation-style-language/schema/raw/master/csl-citation.json"}</w:instrText>
      </w:r>
      <w:r w:rsidRPr="006C1621">
        <w:rPr>
          <w:rFonts w:ascii="Arial" w:hAnsi="Arial" w:cs="Arial"/>
          <w:bCs/>
          <w:iCs/>
          <w:color w:val="000000" w:themeColor="text1"/>
          <w:shd w:val="clear" w:color="auto" w:fill="FFFFFF"/>
        </w:rPr>
        <w:fldChar w:fldCharType="end"/>
      </w:r>
      <w:r w:rsidRPr="006C1621">
        <w:rPr>
          <w:rFonts w:ascii="Arial" w:hAnsi="Arial" w:cs="Arial"/>
          <w:bCs/>
          <w:iCs/>
          <w:color w:val="000000" w:themeColor="text1"/>
          <w:shd w:val="clear" w:color="auto" w:fill="FFFFFF"/>
        </w:rPr>
        <w:t>.</w:t>
      </w:r>
    </w:p>
    <w:p w14:paraId="0EFE00D1" w14:textId="77777777" w:rsidR="00724FD7" w:rsidRPr="006C1621" w:rsidRDefault="00724FD7" w:rsidP="00724FD7">
      <w:pPr>
        <w:spacing w:line="480" w:lineRule="auto"/>
        <w:jc w:val="both"/>
        <w:rPr>
          <w:rFonts w:ascii="Arial" w:hAnsi="Arial" w:cs="Arial"/>
          <w:bCs/>
          <w:iCs/>
          <w:color w:val="000000" w:themeColor="text1"/>
          <w:shd w:val="clear" w:color="auto" w:fill="FFFFFF"/>
        </w:rPr>
      </w:pPr>
    </w:p>
    <w:p w14:paraId="4171FE35" w14:textId="55E73210" w:rsidR="00724FD7" w:rsidRPr="006C1621" w:rsidRDefault="00724FD7" w:rsidP="00724FD7">
      <w:pPr>
        <w:spacing w:line="480" w:lineRule="auto"/>
        <w:jc w:val="both"/>
        <w:rPr>
          <w:rFonts w:ascii="Arial" w:hAnsi="Arial" w:cs="Arial"/>
          <w:bCs/>
          <w:iCs/>
          <w:color w:val="000000" w:themeColor="text1"/>
          <w:shd w:val="clear" w:color="auto" w:fill="FFFFFF"/>
        </w:rPr>
      </w:pPr>
      <w:r w:rsidRPr="006C1621">
        <w:rPr>
          <w:rFonts w:ascii="Arial" w:hAnsi="Arial" w:cs="Arial"/>
          <w:bCs/>
          <w:iCs/>
          <w:color w:val="000000" w:themeColor="text1"/>
          <w:shd w:val="clear" w:color="auto" w:fill="FFFFFF"/>
        </w:rPr>
        <w:lastRenderedPageBreak/>
        <w:t xml:space="preserve">A modified version of the Rosen Scoring system </w:t>
      </w:r>
      <w:r w:rsidR="005C3551" w:rsidRPr="006C1621">
        <w:rPr>
          <w:rFonts w:ascii="Arial" w:hAnsi="Arial" w:cs="Arial"/>
          <w:bCs/>
          <w:iCs/>
          <w:color w:val="000000" w:themeColor="text1"/>
          <w:shd w:val="clear" w:color="auto" w:fill="FFFFFF"/>
        </w:rPr>
        <w:fldChar w:fldCharType="begin"/>
      </w:r>
      <w:r w:rsidR="006C1621" w:rsidRPr="006C1621">
        <w:rPr>
          <w:rFonts w:ascii="Arial" w:hAnsi="Arial" w:cs="Arial"/>
          <w:bCs/>
          <w:iCs/>
          <w:color w:val="000000" w:themeColor="text1"/>
          <w:shd w:val="clear" w:color="auto" w:fill="FFFFFF"/>
        </w:rPr>
        <w:instrText xml:space="preserve"> ADDIN EN.CITE &lt;EndNote&gt;&lt;Cite&gt;&lt;Author&gt;Roseén&lt;/Author&gt;&lt;Year&gt;2000&lt;/Year&gt;&lt;IDText&gt;A model instrument for the documentation of outcome after nerve repair&lt;/IDText&gt;&lt;DisplayText&gt;[5]&lt;/DisplayText&gt;&lt;record&gt;&lt;dates&gt;&lt;pub-dates&gt;&lt;date&gt;2000/5//&lt;/date&gt;&lt;/pub-dates&gt;&lt;year&gt;2000&lt;/year&gt;&lt;/dates&gt;&lt;keywords&gt;&lt;keyword&gt;Documentation&lt;/keyword&gt;&lt;keyword&gt;Evaluation&lt;/keyword&gt;&lt;keyword&gt;Functional outcome&lt;/keyword&gt;&lt;keyword&gt;Nerve repair&lt;/keyword&gt;&lt;keyword&gt;Validation&lt;/keyword&gt;&lt;/keywords&gt;&lt;urls&gt;&lt;related-urls&gt;&lt;url&gt;https://www.sciencedirect.com/science/article/pii/S0363502300093916?via%3Dihub&lt;/url&gt;&lt;/related-urls&gt;&lt;/urls&gt;&lt;isbn&gt;0363-5023 (Print)\n0363-5023 (Linking)&lt;/isbn&gt;&lt;titles&gt;&lt;title&gt;A model instrument for the documentation of outcome after nerve repair&lt;/title&gt;&lt;secondary-title&gt;Journal of Hand Surgery&lt;/secondary-title&gt;&lt;/titles&gt;&lt;pages&gt;535-543&lt;/pages&gt;&lt;number&gt;3&lt;/number&gt;&lt;contributors&gt;&lt;authors&gt;&lt;author&gt;Roseén, Birgitta&lt;/author&gt;&lt;author&gt;Lundborg, Goöran&lt;/author&gt;&lt;/authors&gt;&lt;/contributors&gt;&lt;added-date format="utc"&gt;1659109056&lt;/added-date&gt;&lt;ref-type name="Journal Article"&gt;17&lt;/ref-type&gt;&lt;rec-number&gt;5038&lt;/rec-number&gt;&lt;publisher&gt;W.B. Saunders&lt;/publisher&gt;&lt;last-updated-date format="utc"&gt;1666269555&lt;/last-updated-date&gt;&lt;electronic-resource-num&gt;10.1053/jhsu.2000.6458&lt;/electronic-resource-num&gt;&lt;volume&gt;25&lt;/volume&gt;&lt;/record&gt;&lt;/Cite&gt;&lt;/EndNote&gt;</w:instrText>
      </w:r>
      <w:r w:rsidR="005C3551" w:rsidRPr="006C1621">
        <w:rPr>
          <w:rFonts w:ascii="Arial" w:hAnsi="Arial" w:cs="Arial"/>
          <w:bCs/>
          <w:iCs/>
          <w:color w:val="000000" w:themeColor="text1"/>
          <w:shd w:val="clear" w:color="auto" w:fill="FFFFFF"/>
        </w:rPr>
        <w:fldChar w:fldCharType="separate"/>
      </w:r>
      <w:r w:rsidR="006C1621" w:rsidRPr="006C1621">
        <w:rPr>
          <w:rFonts w:ascii="Arial" w:hAnsi="Arial" w:cs="Arial"/>
          <w:bCs/>
          <w:iCs/>
          <w:noProof/>
          <w:color w:val="000000" w:themeColor="text1"/>
          <w:shd w:val="clear" w:color="auto" w:fill="FFFFFF"/>
        </w:rPr>
        <w:t>[5]</w:t>
      </w:r>
      <w:r w:rsidR="005C3551" w:rsidRPr="006C1621">
        <w:rPr>
          <w:rFonts w:ascii="Arial" w:hAnsi="Arial" w:cs="Arial"/>
          <w:bCs/>
          <w:iCs/>
          <w:color w:val="000000" w:themeColor="text1"/>
          <w:shd w:val="clear" w:color="auto" w:fill="FFFFFF"/>
        </w:rPr>
        <w:fldChar w:fldCharType="end"/>
      </w:r>
      <w:r w:rsidRPr="006C1621">
        <w:rPr>
          <w:rFonts w:ascii="Arial" w:hAnsi="Arial" w:cs="Arial"/>
          <w:bCs/>
          <w:iCs/>
          <w:color w:val="000000" w:themeColor="text1"/>
          <w:shd w:val="clear" w:color="auto" w:fill="FFFFFF"/>
        </w:rPr>
        <w:t xml:space="preserve"> was utilised in order to generate a combined sensory and motor score.</w:t>
      </w:r>
      <w:r w:rsidRPr="006C1621">
        <w:rPr>
          <w:rFonts w:ascii="Arial" w:hAnsi="Arial" w:cs="Arial"/>
          <w:bCs/>
          <w:color w:val="000000" w:themeColor="text1"/>
          <w:shd w:val="clear" w:color="auto" w:fill="FFFFFF"/>
        </w:rPr>
        <w:t xml:space="preserve"> The STI test and </w:t>
      </w:r>
      <w:proofErr w:type="spellStart"/>
      <w:r w:rsidRPr="006C1621">
        <w:rPr>
          <w:rFonts w:ascii="Arial" w:hAnsi="Arial" w:cs="Arial"/>
          <w:bCs/>
          <w:color w:val="000000" w:themeColor="text1"/>
          <w:shd w:val="clear" w:color="auto" w:fill="FFFFFF"/>
        </w:rPr>
        <w:t>Sollerman</w:t>
      </w:r>
      <w:proofErr w:type="spellEnd"/>
      <w:r w:rsidRPr="006C1621">
        <w:rPr>
          <w:rFonts w:ascii="Arial" w:hAnsi="Arial" w:cs="Arial"/>
          <w:bCs/>
          <w:color w:val="000000" w:themeColor="text1"/>
          <w:shd w:val="clear" w:color="auto" w:fill="FFFFFF"/>
        </w:rPr>
        <w:t xml:space="preserve"> test were removed on advice of the hand therapy department due to lack of use in clinical practice. They were replaced with </w:t>
      </w:r>
      <w:proofErr w:type="spellStart"/>
      <w:r w:rsidRPr="006C1621">
        <w:rPr>
          <w:rFonts w:ascii="Arial" w:hAnsi="Arial" w:cs="Arial"/>
          <w:bCs/>
          <w:color w:val="000000" w:themeColor="text1"/>
          <w:shd w:val="clear" w:color="auto" w:fill="FFFFFF"/>
        </w:rPr>
        <w:t>locognosia</w:t>
      </w:r>
      <w:proofErr w:type="spellEnd"/>
      <w:r w:rsidRPr="006C1621">
        <w:rPr>
          <w:rFonts w:ascii="Arial" w:hAnsi="Arial" w:cs="Arial"/>
          <w:bCs/>
          <w:color w:val="000000" w:themeColor="text1"/>
          <w:shd w:val="clear" w:color="auto" w:fill="FFFFFF"/>
        </w:rPr>
        <w:t xml:space="preserve"> testing as previously described above with the injured score represented as a quotient of the contralateral control score with a maximum score of 5 achievable if the injured scoring matched the control scoring. No change was made to the Semmes-Weinstein monofilament, S2PD or motor score reporting whilst </w:t>
      </w:r>
      <w:r w:rsidRPr="006C1621">
        <w:rPr>
          <w:rFonts w:ascii="Arial" w:hAnsi="Arial" w:cs="Arial"/>
          <w:bCs/>
          <w:iCs/>
          <w:color w:val="000000" w:themeColor="text1"/>
          <w:shd w:val="clear" w:color="auto" w:fill="FFFFFF"/>
        </w:rPr>
        <w:t>cold intolerance and hyperaesthesia testing were excluded as they were also not routinely performed in clinical practice.</w:t>
      </w:r>
    </w:p>
    <w:p w14:paraId="4D321E81" w14:textId="77777777" w:rsidR="00724FD7" w:rsidRPr="006C1621" w:rsidRDefault="00724FD7" w:rsidP="00724FD7">
      <w:pPr>
        <w:spacing w:line="480" w:lineRule="auto"/>
        <w:jc w:val="both"/>
        <w:rPr>
          <w:rFonts w:ascii="Arial" w:hAnsi="Arial" w:cs="Arial"/>
          <w:bCs/>
          <w:i/>
          <w:iCs/>
          <w:color w:val="000000" w:themeColor="text1"/>
          <w:shd w:val="clear" w:color="auto" w:fill="FFFFFF"/>
        </w:rPr>
      </w:pPr>
    </w:p>
    <w:p w14:paraId="16C9203E" w14:textId="77777777" w:rsidR="00724FD7" w:rsidRPr="006C1621" w:rsidRDefault="00724FD7" w:rsidP="00724FD7">
      <w:pPr>
        <w:spacing w:line="480" w:lineRule="auto"/>
        <w:jc w:val="both"/>
        <w:rPr>
          <w:rFonts w:ascii="Arial" w:hAnsi="Arial" w:cs="Arial"/>
          <w:bCs/>
          <w:i/>
          <w:iCs/>
          <w:color w:val="000000" w:themeColor="text1"/>
          <w:shd w:val="clear" w:color="auto" w:fill="FFFFFF"/>
        </w:rPr>
      </w:pPr>
      <w:r w:rsidRPr="006C1621">
        <w:rPr>
          <w:rFonts w:ascii="Arial" w:hAnsi="Arial" w:cs="Arial"/>
          <w:bCs/>
          <w:i/>
          <w:iCs/>
          <w:color w:val="000000" w:themeColor="text1"/>
          <w:shd w:val="clear" w:color="auto" w:fill="FFFFFF"/>
        </w:rPr>
        <w:t>Patient-Reported Outcome Measures (PROMs)</w:t>
      </w:r>
    </w:p>
    <w:p w14:paraId="3CE6BB26" w14:textId="77777777" w:rsidR="00724FD7" w:rsidRPr="006C1621" w:rsidRDefault="00724FD7" w:rsidP="00724FD7">
      <w:pPr>
        <w:spacing w:line="480" w:lineRule="auto"/>
        <w:jc w:val="both"/>
        <w:rPr>
          <w:rFonts w:ascii="Arial" w:hAnsi="Arial" w:cs="Arial"/>
          <w:bCs/>
          <w:color w:val="000000" w:themeColor="text1"/>
          <w:shd w:val="clear" w:color="auto" w:fill="FFFFFF"/>
        </w:rPr>
      </w:pPr>
    </w:p>
    <w:p w14:paraId="7AA6655C" w14:textId="6B0E6DC7" w:rsidR="00724FD7" w:rsidRPr="006C1621" w:rsidRDefault="00724FD7" w:rsidP="00724FD7">
      <w:pPr>
        <w:spacing w:line="480" w:lineRule="auto"/>
        <w:jc w:val="both"/>
        <w:rPr>
          <w:rFonts w:ascii="Arial" w:hAnsi="Arial" w:cs="Arial"/>
          <w:bCs/>
          <w:i/>
          <w:iCs/>
          <w:color w:val="000000" w:themeColor="text1"/>
          <w:shd w:val="clear" w:color="auto" w:fill="FFFFFF"/>
        </w:rPr>
      </w:pPr>
      <w:r w:rsidRPr="006C1621">
        <w:rPr>
          <w:rFonts w:ascii="Arial" w:hAnsi="Arial" w:cs="Arial"/>
          <w:bCs/>
          <w:color w:val="000000" w:themeColor="text1"/>
          <w:shd w:val="clear" w:color="auto" w:fill="FFFFFF"/>
        </w:rPr>
        <w:t>Two patient-reported outcome measures were utilised. The Disabilities of the Arm, Shoulder and Hand (DASH) measure, which is a 30-item (scored 1-5) self-reported questionnaire reported as a percenta</w:t>
      </w:r>
      <w:bookmarkStart w:id="0" w:name="_GoBack"/>
      <w:bookmarkEnd w:id="0"/>
      <w:r w:rsidRPr="006C1621">
        <w:rPr>
          <w:rFonts w:ascii="Arial" w:hAnsi="Arial" w:cs="Arial"/>
          <w:bCs/>
          <w:color w:val="000000" w:themeColor="text1"/>
          <w:shd w:val="clear" w:color="auto" w:fill="FFFFFF"/>
        </w:rPr>
        <w:t xml:space="preserve">ge whereby the sum of responses is divided by number of responses minus 1 and multiplied by 25 </w:t>
      </w:r>
      <w:r w:rsidRPr="006C1621">
        <w:rPr>
          <w:rFonts w:ascii="Arial" w:hAnsi="Arial" w:cs="Arial"/>
          <w:bCs/>
          <w:color w:val="000000" w:themeColor="text1"/>
          <w:shd w:val="clear" w:color="auto" w:fill="FFFFFF"/>
        </w:rPr>
        <w:fldChar w:fldCharType="begin" w:fldLock="1"/>
      </w:r>
      <w:r w:rsidRPr="006C1621">
        <w:rPr>
          <w:rFonts w:ascii="Arial" w:hAnsi="Arial" w:cs="Arial"/>
          <w:bCs/>
          <w:color w:val="000000" w:themeColor="text1"/>
          <w:shd w:val="clear" w:color="auto" w:fill="FFFFFF"/>
        </w:rPr>
        <w:instrText>ADDIN CSL_CITATION {"citationItems":[{"id":"ITEM-1","itemData":{"DOI":"papers3://publication/uuid/4B4FE492-834E-4652-8870-395E0071D0B2","abstract":"Disabilities of the Arm, Shoulder, and Hand","author":[{"dropping-particle":"","family":"Institute for Work and Health","given":"","non-dropping-particle":"","parse-names":false,"suffix":""}],"id":"ITEM-1","issued":{"date-parts":[["2006"]]},"number-of-pages":"100","title":"Full DASH","type":"report"},"uris":["http://www.mendeley.com/documents/?uuid=3428adc3-19d2-3b90-9149-d84bac2170fa"]}],"mendeley":{"formattedCitation":"(Institute for Work and Health, 2006)","plainTextFormattedCitation":"(Institute for Work and Health, 2006)","previouslyFormattedCitation":"(Institute for Work and Health, 2006)"},"properties":{"noteIndex":0},"schema":"https://github.com/citation-style-language/schema/raw/master/csl-citation.json"}</w:instrText>
      </w:r>
      <w:r w:rsidRPr="006C1621">
        <w:rPr>
          <w:rFonts w:ascii="Arial" w:hAnsi="Arial" w:cs="Arial"/>
          <w:bCs/>
          <w:color w:val="000000" w:themeColor="text1"/>
          <w:shd w:val="clear" w:color="auto" w:fill="FFFFFF"/>
        </w:rPr>
        <w:fldChar w:fldCharType="separate"/>
      </w:r>
      <w:r w:rsidRPr="006C1621">
        <w:rPr>
          <w:rFonts w:ascii="Arial" w:hAnsi="Arial" w:cs="Arial"/>
          <w:bCs/>
          <w:color w:val="000000" w:themeColor="text1"/>
          <w:shd w:val="clear" w:color="auto" w:fill="FFFFFF"/>
        </w:rPr>
        <w:t>(Institute for Work and Health, 2006)</w:t>
      </w:r>
      <w:r w:rsidRPr="006C1621">
        <w:rPr>
          <w:rFonts w:ascii="Arial" w:hAnsi="Arial" w:cs="Arial"/>
          <w:bCs/>
          <w:color w:val="000000" w:themeColor="text1"/>
          <w:shd w:val="clear" w:color="auto" w:fill="FFFFFF"/>
        </w:rPr>
        <w:fldChar w:fldCharType="end"/>
      </w:r>
      <w:r w:rsidRPr="006C1621">
        <w:rPr>
          <w:rFonts w:ascii="Arial" w:hAnsi="Arial" w:cs="Arial"/>
          <w:bCs/>
          <w:color w:val="000000" w:themeColor="text1"/>
          <w:shd w:val="clear" w:color="auto" w:fill="FFFFFF"/>
        </w:rPr>
        <w:t>. And the Impact of Hand Nerve Disorders (I-</w:t>
      </w:r>
      <w:proofErr w:type="spellStart"/>
      <w:r w:rsidRPr="006C1621">
        <w:rPr>
          <w:rFonts w:ascii="Arial" w:hAnsi="Arial" w:cs="Arial"/>
          <w:bCs/>
          <w:color w:val="000000" w:themeColor="text1"/>
          <w:shd w:val="clear" w:color="auto" w:fill="FFFFFF"/>
        </w:rPr>
        <w:t>HaND</w:t>
      </w:r>
      <w:proofErr w:type="spellEnd"/>
      <w:r w:rsidRPr="006C1621">
        <w:rPr>
          <w:rFonts w:ascii="Arial" w:hAnsi="Arial" w:cs="Arial"/>
          <w:bCs/>
          <w:color w:val="000000" w:themeColor="text1"/>
          <w:shd w:val="clear" w:color="auto" w:fill="FFFFFF"/>
        </w:rPr>
        <w:t xml:space="preserve">) scale V2 which is a 32-item (scored 1-5) self-reported questionnaire, reported as a percentage as described for the DASH score </w:t>
      </w:r>
      <w:r w:rsidR="00473536" w:rsidRPr="006C1621">
        <w:rPr>
          <w:rFonts w:ascii="Arial" w:hAnsi="Arial" w:cs="Arial"/>
          <w:bCs/>
          <w:color w:val="000000" w:themeColor="text1"/>
          <w:shd w:val="clear" w:color="auto" w:fill="FFFFFF"/>
        </w:rPr>
        <w:fldChar w:fldCharType="begin"/>
      </w:r>
      <w:r w:rsidR="006C1621" w:rsidRPr="006C1621">
        <w:rPr>
          <w:rFonts w:ascii="Arial" w:hAnsi="Arial" w:cs="Arial"/>
          <w:bCs/>
          <w:color w:val="000000" w:themeColor="text1"/>
          <w:shd w:val="clear" w:color="auto" w:fill="FFFFFF"/>
        </w:rPr>
        <w:instrText xml:space="preserve"> ADDIN EN.CITE &lt;EndNote&gt;&lt;Cite&gt;&lt;Author&gt;Ashwood&lt;/Author&gt;&lt;Year&gt;2018&lt;/Year&gt;&lt;IDText&gt;Development and validation of a new patient-reported outcome measure for peripheral nerve disorders of the hand, the I-HaND© Scale&lt;/IDText&gt;&lt;DisplayText&gt;[6]&lt;/DisplayText&gt;&lt;record&gt;&lt;dates&gt;&lt;pub-dates&gt;&lt;date&gt;2018/6//&lt;/date&gt;&lt;/pub-dates&gt;&lt;year&gt;2018&lt;/year&gt;&lt;/dates&gt;&lt;keywords&gt;&lt;keyword&gt;Nerve injury&lt;/keyword&gt;&lt;keyword&gt;nerve compression&lt;/keyword&gt;&lt;keyword&gt;patient-reported outcomes&lt;/keyword&gt;&lt;keyword&gt;psychometrics&lt;/keyword&gt;&lt;/keywords&gt;&lt;urls&gt;&lt;related-urls&gt;&lt;url&gt;http://journals.sagepub.com/doi/10.1177/1753193418780554&lt;/url&gt;&lt;/related-urls&gt;&lt;/urls&gt;&lt;titles&gt;&lt;title&gt;Development and validation of a new patient-reported outcome measure for peripheral nerve disorders of the hand, the I-HaND© Scale&lt;/title&gt;&lt;secondary-title&gt;Journal of Hand Surgery (European Volume)&lt;/secondary-title&gt;&lt;/titles&gt;&lt;pages&gt;175319341878055-175319341878055&lt;/pages&gt;&lt;contributors&gt;&lt;authors&gt;&lt;author&gt;Ashwood, Mark&lt;/author&gt;&lt;author&gt;Jerosch-Herold, Christina&lt;/author&gt;&lt;author&gt;Shepstone, Lee&lt;/author&gt;&lt;/authors&gt;&lt;/contributors&gt;&lt;added-date format="utc"&gt;1659109057&lt;/added-date&gt;&lt;ref-type name="Journal Article"&gt;17&lt;/ref-type&gt;&lt;rec-number&gt;5072&lt;/rec-number&gt;&lt;publisher&gt;SAGE PublicationsSage UK: London, England&lt;/publisher&gt;&lt;last-updated-date format="utc"&gt;1659109057&lt;/last-updated-date&gt;&lt;electronic-resource-num&gt;10.1177/1753193418780554&lt;/electronic-resource-num&gt;&lt;/record&gt;&lt;/Cite&gt;&lt;/EndNote&gt;</w:instrText>
      </w:r>
      <w:r w:rsidR="00473536" w:rsidRPr="006C1621">
        <w:rPr>
          <w:rFonts w:ascii="Arial" w:hAnsi="Arial" w:cs="Arial"/>
          <w:bCs/>
          <w:color w:val="000000" w:themeColor="text1"/>
          <w:shd w:val="clear" w:color="auto" w:fill="FFFFFF"/>
        </w:rPr>
        <w:fldChar w:fldCharType="separate"/>
      </w:r>
      <w:r w:rsidR="006C1621" w:rsidRPr="006C1621">
        <w:rPr>
          <w:rFonts w:ascii="Arial" w:hAnsi="Arial" w:cs="Arial"/>
          <w:bCs/>
          <w:noProof/>
          <w:color w:val="000000" w:themeColor="text1"/>
          <w:shd w:val="clear" w:color="auto" w:fill="FFFFFF"/>
        </w:rPr>
        <w:t>[6]</w:t>
      </w:r>
      <w:r w:rsidR="00473536" w:rsidRPr="006C1621">
        <w:rPr>
          <w:rFonts w:ascii="Arial" w:hAnsi="Arial" w:cs="Arial"/>
          <w:bCs/>
          <w:color w:val="000000" w:themeColor="text1"/>
          <w:shd w:val="clear" w:color="auto" w:fill="FFFFFF"/>
        </w:rPr>
        <w:fldChar w:fldCharType="end"/>
      </w:r>
      <w:r w:rsidRPr="006C1621">
        <w:rPr>
          <w:rFonts w:ascii="Arial" w:hAnsi="Arial" w:cs="Arial"/>
          <w:bCs/>
          <w:color w:val="000000" w:themeColor="text1"/>
          <w:shd w:val="clear" w:color="auto" w:fill="FFFFFF"/>
        </w:rPr>
        <w:fldChar w:fldCharType="begin" w:fldLock="1"/>
      </w:r>
      <w:r w:rsidRPr="006C1621">
        <w:rPr>
          <w:rFonts w:ascii="Arial" w:hAnsi="Arial" w:cs="Arial"/>
          <w:bCs/>
          <w:color w:val="000000" w:themeColor="text1"/>
          <w:shd w:val="clear" w:color="auto" w:fill="FFFFFF"/>
        </w:rPr>
        <w:instrText>ADDIN CSL_CITATION {"citationItems":[{"id":"ITEM-1","itemData":{"DOI":"10.1177/1753193418780554","ISSN":"1753-1934","abstract":"Following guidelines from the Patient-Centred Outcomes Research Institute and using a mixed methods study, a new patient-reported outcome measure (PROM) for both nerve trauma and compression affecting the hand, the Impact of a Hand Nerve Disorders (I-HaND) Scale, was developed. Face-to-face interviews with 14 patients and subsequent pilot-testing with 61 patients resulted in the development of the 32-item PROM. A longitudinal validation study with 82 patients assessed the psychometric properties of the I-HaND. Content and construct validity was confirmed by cognitive interviews with patients and through principal component analysis. The I-HaND has high internal consistency (α = 0.98) and excellent test–retest reliability (intraclass correlation coefficient = 0.97). Responsiveness statistics showed that the I-HaND can detect change over 3 months and discriminate between improvers and non-improvers. We conclude that the I-HaND can be used as a PROM for people with a range of hand nerve disorders.","author":[{"dropping-particle":"","family":"Ashwood","given":"Mark","non-dropping-particle":"","parse-names":false,"suffix":""},{"dropping-particle":"","family":"Jerosch-Herold","given":"Christina","non-dropping-particle":"","parse-names":false,"suffix":""},{"dropping-particle":"","family":"Shepstone","given":"Lee","non-dropping-particle":"","parse-names":false,"suffix":""}],"container-title":"Journal of Hand Surgery (European Volume)","id":"ITEM-1","issued":{"date-parts":[["2018","6","19"]]},"page":"175319341878055","publisher":"SAGE PublicationsSage UK: London, England","title":"Development and validation of a new patient-reported outcome measure for peripheral nerve disorders of the hand, the I-HaND© Scale","type":"article-journal"},"uris":["http://www.mendeley.com/documents/?uuid=e0e9599b-afd4-33ca-a53f-70654172970e"]}],"mendeley":{"formattedCitation":"(Ashwood, Jerosch-Herold and Shepstone, 2018)","plainTextFormattedCitation":"(Ashwood, Jerosch-Herold and Shepstone, 2018)","previouslyFormattedCitation":"(Ashwood, Jerosch-Herold and Shepstone, 2018)"},"properties":{"noteIndex":0},"schema":"https://github.com/citation-style-language/schema/raw/master/csl-citation.json"}</w:instrText>
      </w:r>
      <w:r w:rsidRPr="006C1621">
        <w:rPr>
          <w:rFonts w:ascii="Arial" w:hAnsi="Arial" w:cs="Arial"/>
          <w:bCs/>
          <w:color w:val="000000" w:themeColor="text1"/>
          <w:shd w:val="clear" w:color="auto" w:fill="FFFFFF"/>
        </w:rPr>
        <w:fldChar w:fldCharType="end"/>
      </w:r>
      <w:r w:rsidRPr="006C1621">
        <w:rPr>
          <w:rFonts w:ascii="Arial" w:hAnsi="Arial" w:cs="Arial"/>
          <w:bCs/>
          <w:color w:val="000000" w:themeColor="text1"/>
          <w:shd w:val="clear" w:color="auto" w:fill="FFFFFF"/>
        </w:rPr>
        <w:t>.</w:t>
      </w:r>
    </w:p>
    <w:p w14:paraId="4187F0BF" w14:textId="583078DC" w:rsidR="00F24D75" w:rsidRPr="006C1621" w:rsidRDefault="00F24D75">
      <w:pPr>
        <w:rPr>
          <w:rFonts w:ascii="Arial" w:hAnsi="Arial" w:cs="Arial"/>
        </w:rPr>
      </w:pPr>
    </w:p>
    <w:p w14:paraId="569978D2" w14:textId="535FAE8F" w:rsidR="00677C8A" w:rsidRPr="006C1621" w:rsidRDefault="00677C8A">
      <w:pPr>
        <w:rPr>
          <w:rFonts w:ascii="Arial" w:hAnsi="Arial" w:cs="Arial"/>
        </w:rPr>
      </w:pPr>
      <w:r w:rsidRPr="006C1621">
        <w:rPr>
          <w:rFonts w:ascii="Arial" w:hAnsi="Arial" w:cs="Arial"/>
          <w:b/>
          <w:bCs/>
        </w:rPr>
        <w:t>References</w:t>
      </w:r>
    </w:p>
    <w:p w14:paraId="59FE33A1" w14:textId="77777777" w:rsidR="00CA320B" w:rsidRPr="006C1621" w:rsidRDefault="00CA320B">
      <w:pPr>
        <w:rPr>
          <w:rFonts w:ascii="Arial" w:hAnsi="Arial" w:cs="Arial"/>
        </w:rPr>
      </w:pPr>
    </w:p>
    <w:p w14:paraId="5A4252C0" w14:textId="77777777" w:rsidR="00CA320B" w:rsidRPr="006C1621" w:rsidRDefault="00CA320B">
      <w:pPr>
        <w:rPr>
          <w:rFonts w:ascii="Arial" w:hAnsi="Arial" w:cs="Arial"/>
        </w:rPr>
      </w:pPr>
    </w:p>
    <w:p w14:paraId="3E102216" w14:textId="77777777" w:rsidR="006C1621" w:rsidRPr="006C1621" w:rsidRDefault="00CA320B" w:rsidP="006C1621">
      <w:pPr>
        <w:pStyle w:val="EndNoteBibliography"/>
        <w:ind w:left="720" w:hanging="720"/>
        <w:rPr>
          <w:rFonts w:ascii="Arial" w:hAnsi="Arial" w:cs="Arial"/>
          <w:noProof/>
        </w:rPr>
      </w:pPr>
      <w:r w:rsidRPr="006C1621">
        <w:rPr>
          <w:rFonts w:ascii="Arial" w:hAnsi="Arial" w:cs="Arial"/>
        </w:rPr>
        <w:fldChar w:fldCharType="begin"/>
      </w:r>
      <w:r w:rsidRPr="006C1621">
        <w:rPr>
          <w:rFonts w:ascii="Arial" w:hAnsi="Arial" w:cs="Arial"/>
        </w:rPr>
        <w:instrText xml:space="preserve"> ADDIN EN.REFLIST </w:instrText>
      </w:r>
      <w:r w:rsidRPr="006C1621">
        <w:rPr>
          <w:rFonts w:ascii="Arial" w:hAnsi="Arial" w:cs="Arial"/>
        </w:rPr>
        <w:fldChar w:fldCharType="separate"/>
      </w:r>
      <w:r w:rsidR="006C1621" w:rsidRPr="006C1621">
        <w:rPr>
          <w:rFonts w:ascii="Arial" w:hAnsi="Arial" w:cs="Arial"/>
          <w:noProof/>
        </w:rPr>
        <w:t>[1]</w:t>
      </w:r>
      <w:r w:rsidR="006C1621" w:rsidRPr="006C1621">
        <w:rPr>
          <w:rFonts w:ascii="Arial" w:hAnsi="Arial" w:cs="Arial"/>
          <w:noProof/>
        </w:rPr>
        <w:tab/>
        <w:t xml:space="preserve">S. Weinstein, "Fifty years of somatosensory research: From the Semmes-Weinstein Monofilaments to the Weinstein Enhanced Sensory Test," </w:t>
      </w:r>
      <w:r w:rsidR="006C1621" w:rsidRPr="006C1621">
        <w:rPr>
          <w:rFonts w:ascii="Arial" w:hAnsi="Arial" w:cs="Arial"/>
          <w:i/>
          <w:noProof/>
        </w:rPr>
        <w:t xml:space="preserve">Journal of Hand Therapy, </w:t>
      </w:r>
      <w:r w:rsidR="006C1621" w:rsidRPr="006C1621">
        <w:rPr>
          <w:rFonts w:ascii="Arial" w:hAnsi="Arial" w:cs="Arial"/>
          <w:noProof/>
        </w:rPr>
        <w:t>vol. 6, no. 1, pp. 11-22, 1993/1// 1993, doi: 10.1016/S0894-1130(12)80176-1.</w:t>
      </w:r>
    </w:p>
    <w:p w14:paraId="6C7C0934" w14:textId="77777777" w:rsidR="006C1621" w:rsidRPr="006C1621" w:rsidRDefault="006C1621" w:rsidP="006C1621">
      <w:pPr>
        <w:pStyle w:val="EndNoteBibliography"/>
        <w:ind w:left="720" w:hanging="720"/>
        <w:rPr>
          <w:rFonts w:ascii="Arial" w:hAnsi="Arial" w:cs="Arial"/>
          <w:noProof/>
        </w:rPr>
      </w:pPr>
      <w:r w:rsidRPr="006C1621">
        <w:rPr>
          <w:rFonts w:ascii="Arial" w:hAnsi="Arial" w:cs="Arial"/>
          <w:noProof/>
        </w:rPr>
        <w:t>[2]</w:t>
      </w:r>
      <w:r w:rsidRPr="006C1621">
        <w:rPr>
          <w:rFonts w:ascii="Arial" w:hAnsi="Arial" w:cs="Arial"/>
          <w:noProof/>
        </w:rPr>
        <w:tab/>
        <w:t xml:space="preserve">S. E. Mackinnon and A. L. Dellon, "Two-point discrimination tester," </w:t>
      </w:r>
      <w:r w:rsidRPr="006C1621">
        <w:rPr>
          <w:rFonts w:ascii="Arial" w:hAnsi="Arial" w:cs="Arial"/>
          <w:i/>
          <w:noProof/>
        </w:rPr>
        <w:t xml:space="preserve">Journal of Hand Surgery, </w:t>
      </w:r>
      <w:r w:rsidRPr="006C1621">
        <w:rPr>
          <w:rFonts w:ascii="Arial" w:hAnsi="Arial" w:cs="Arial"/>
          <w:noProof/>
        </w:rPr>
        <w:t>1985, doi: 10.1016/S0363-5023(85)80173-8.</w:t>
      </w:r>
    </w:p>
    <w:p w14:paraId="1417DBF3" w14:textId="77777777" w:rsidR="006C1621" w:rsidRPr="006C1621" w:rsidRDefault="006C1621" w:rsidP="006C1621">
      <w:pPr>
        <w:pStyle w:val="EndNoteBibliography"/>
        <w:ind w:left="720" w:hanging="720"/>
        <w:rPr>
          <w:rFonts w:ascii="Arial" w:hAnsi="Arial" w:cs="Arial"/>
          <w:noProof/>
        </w:rPr>
      </w:pPr>
      <w:r w:rsidRPr="006C1621">
        <w:rPr>
          <w:rFonts w:ascii="Arial" w:hAnsi="Arial" w:cs="Arial"/>
          <w:noProof/>
        </w:rPr>
        <w:t>[3]</w:t>
      </w:r>
      <w:r w:rsidRPr="006C1621">
        <w:rPr>
          <w:rFonts w:ascii="Arial" w:hAnsi="Arial" w:cs="Arial"/>
          <w:noProof/>
        </w:rPr>
        <w:tab/>
        <w:t xml:space="preserve">C. Jerosch-Herold, "The reliability and validity of the locognosia test after injuries to peripheral nerves in the hand," </w:t>
      </w:r>
      <w:r w:rsidRPr="006C1621">
        <w:rPr>
          <w:rFonts w:ascii="Arial" w:hAnsi="Arial" w:cs="Arial"/>
          <w:i/>
          <w:noProof/>
        </w:rPr>
        <w:t xml:space="preserve">Journal of Bone and Joint Surgery - </w:t>
      </w:r>
      <w:r w:rsidRPr="006C1621">
        <w:rPr>
          <w:rFonts w:ascii="Arial" w:hAnsi="Arial" w:cs="Arial"/>
          <w:i/>
          <w:noProof/>
        </w:rPr>
        <w:lastRenderedPageBreak/>
        <w:t xml:space="preserve">British Volume, </w:t>
      </w:r>
      <w:r w:rsidRPr="006C1621">
        <w:rPr>
          <w:rFonts w:ascii="Arial" w:hAnsi="Arial" w:cs="Arial"/>
          <w:noProof/>
        </w:rPr>
        <w:t>vol. 88-B, no. 8, pp. 1048-1052, 2006/8// 2006, doi: 10.1302/0301-620X.88B8.17444.</w:t>
      </w:r>
    </w:p>
    <w:p w14:paraId="128A8DD1" w14:textId="77777777" w:rsidR="006C1621" w:rsidRPr="006C1621" w:rsidRDefault="006C1621" w:rsidP="006C1621">
      <w:pPr>
        <w:pStyle w:val="EndNoteBibliography"/>
        <w:ind w:left="720" w:hanging="720"/>
        <w:rPr>
          <w:rFonts w:ascii="Arial" w:hAnsi="Arial" w:cs="Arial"/>
          <w:noProof/>
        </w:rPr>
      </w:pPr>
      <w:r w:rsidRPr="006C1621">
        <w:rPr>
          <w:rFonts w:ascii="Arial" w:hAnsi="Arial" w:cs="Arial"/>
          <w:noProof/>
        </w:rPr>
        <w:t>[4]</w:t>
      </w:r>
      <w:r w:rsidRPr="006C1621">
        <w:rPr>
          <w:rFonts w:ascii="Arial" w:hAnsi="Arial" w:cs="Arial"/>
          <w:noProof/>
        </w:rPr>
        <w:tab/>
        <w:t>B. G. Riddoch</w:t>
      </w:r>
      <w:r w:rsidRPr="006C1621">
        <w:rPr>
          <w:rFonts w:ascii="Arial" w:hAnsi="Arial" w:cs="Arial"/>
          <w:i/>
          <w:noProof/>
        </w:rPr>
        <w:t xml:space="preserve"> et al.</w:t>
      </w:r>
      <w:r w:rsidRPr="006C1621">
        <w:rPr>
          <w:rFonts w:ascii="Arial" w:hAnsi="Arial" w:cs="Arial"/>
          <w:noProof/>
        </w:rPr>
        <w:t xml:space="preserve">, "Aids to the examination of the peripheral nervous system," </w:t>
      </w:r>
      <w:r w:rsidRPr="006C1621">
        <w:rPr>
          <w:rFonts w:ascii="Arial" w:hAnsi="Arial" w:cs="Arial"/>
          <w:i/>
          <w:noProof/>
        </w:rPr>
        <w:t xml:space="preserve">Medical Research Council, </w:t>
      </w:r>
      <w:r w:rsidRPr="006C1621">
        <w:rPr>
          <w:rFonts w:ascii="Arial" w:hAnsi="Arial" w:cs="Arial"/>
          <w:noProof/>
        </w:rPr>
        <w:t>1976.</w:t>
      </w:r>
    </w:p>
    <w:p w14:paraId="6A1ADC80" w14:textId="77777777" w:rsidR="006C1621" w:rsidRPr="006C1621" w:rsidRDefault="006C1621" w:rsidP="006C1621">
      <w:pPr>
        <w:pStyle w:val="EndNoteBibliography"/>
        <w:ind w:left="720" w:hanging="720"/>
        <w:rPr>
          <w:rFonts w:ascii="Arial" w:hAnsi="Arial" w:cs="Arial"/>
          <w:noProof/>
        </w:rPr>
      </w:pPr>
      <w:r w:rsidRPr="006C1621">
        <w:rPr>
          <w:rFonts w:ascii="Arial" w:hAnsi="Arial" w:cs="Arial"/>
          <w:noProof/>
        </w:rPr>
        <w:t>[5]</w:t>
      </w:r>
      <w:r w:rsidRPr="006C1621">
        <w:rPr>
          <w:rFonts w:ascii="Arial" w:hAnsi="Arial" w:cs="Arial"/>
          <w:noProof/>
        </w:rPr>
        <w:tab/>
        <w:t xml:space="preserve">B. Roseén and G. Lundborg, "A model instrument for the documentation of outcome after nerve repair," </w:t>
      </w:r>
      <w:r w:rsidRPr="006C1621">
        <w:rPr>
          <w:rFonts w:ascii="Arial" w:hAnsi="Arial" w:cs="Arial"/>
          <w:i/>
          <w:noProof/>
        </w:rPr>
        <w:t xml:space="preserve">Journal of Hand Surgery, </w:t>
      </w:r>
      <w:r w:rsidRPr="006C1621">
        <w:rPr>
          <w:rFonts w:ascii="Arial" w:hAnsi="Arial" w:cs="Arial"/>
          <w:noProof/>
        </w:rPr>
        <w:t>vol. 25, no. 3, pp. 535-543, 2000/5// 2000, doi: 10.1053/jhsu.2000.6458.</w:t>
      </w:r>
    </w:p>
    <w:p w14:paraId="245AF560" w14:textId="77777777" w:rsidR="006C1621" w:rsidRPr="006C1621" w:rsidRDefault="006C1621" w:rsidP="006C1621">
      <w:pPr>
        <w:pStyle w:val="EndNoteBibliography"/>
        <w:ind w:left="720" w:hanging="720"/>
        <w:rPr>
          <w:rFonts w:ascii="Arial" w:hAnsi="Arial" w:cs="Arial"/>
          <w:noProof/>
        </w:rPr>
      </w:pPr>
      <w:r w:rsidRPr="006C1621">
        <w:rPr>
          <w:rFonts w:ascii="Arial" w:hAnsi="Arial" w:cs="Arial"/>
          <w:noProof/>
        </w:rPr>
        <w:t>[6]</w:t>
      </w:r>
      <w:r w:rsidRPr="006C1621">
        <w:rPr>
          <w:rFonts w:ascii="Arial" w:hAnsi="Arial" w:cs="Arial"/>
          <w:noProof/>
        </w:rPr>
        <w:tab/>
        <w:t xml:space="preserve">M. Ashwood, C. Jerosch-Herold, and L. Shepstone, "Development and validation of a new patient-reported outcome measure for peripheral nerve disorders of the hand, the I-HaND© Scale," </w:t>
      </w:r>
      <w:r w:rsidRPr="006C1621">
        <w:rPr>
          <w:rFonts w:ascii="Arial" w:hAnsi="Arial" w:cs="Arial"/>
          <w:i/>
          <w:noProof/>
        </w:rPr>
        <w:t xml:space="preserve">Journal of Hand Surgery (European Volume), </w:t>
      </w:r>
      <w:r w:rsidRPr="006C1621">
        <w:rPr>
          <w:rFonts w:ascii="Arial" w:hAnsi="Arial" w:cs="Arial"/>
          <w:noProof/>
        </w:rPr>
        <w:t>pp. 175319341878055-175319341878055, 2018/6// 2018, doi: 10.1177/1753193418780554.</w:t>
      </w:r>
    </w:p>
    <w:p w14:paraId="1009968E" w14:textId="2F0D17E8" w:rsidR="00677C8A" w:rsidRPr="006C1621" w:rsidRDefault="00CA320B">
      <w:pPr>
        <w:rPr>
          <w:rFonts w:ascii="Arial" w:hAnsi="Arial" w:cs="Arial"/>
        </w:rPr>
      </w:pPr>
      <w:r w:rsidRPr="006C1621">
        <w:rPr>
          <w:rFonts w:ascii="Arial" w:hAnsi="Arial" w:cs="Arial"/>
        </w:rPr>
        <w:fldChar w:fldCharType="end"/>
      </w:r>
    </w:p>
    <w:sectPr w:rsidR="00677C8A" w:rsidRPr="006C1621" w:rsidSect="0049059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724FD7"/>
    <w:rsid w:val="00003396"/>
    <w:rsid w:val="00006C0B"/>
    <w:rsid w:val="0001612A"/>
    <w:rsid w:val="0002519A"/>
    <w:rsid w:val="00027644"/>
    <w:rsid w:val="0003603B"/>
    <w:rsid w:val="00081E93"/>
    <w:rsid w:val="0008334A"/>
    <w:rsid w:val="00085014"/>
    <w:rsid w:val="000A3EFB"/>
    <w:rsid w:val="000A5AF7"/>
    <w:rsid w:val="000B263F"/>
    <w:rsid w:val="000B4A04"/>
    <w:rsid w:val="000C0A58"/>
    <w:rsid w:val="00107031"/>
    <w:rsid w:val="001134AF"/>
    <w:rsid w:val="0011545D"/>
    <w:rsid w:val="00126684"/>
    <w:rsid w:val="00131B4F"/>
    <w:rsid w:val="00161542"/>
    <w:rsid w:val="00162E9F"/>
    <w:rsid w:val="0017539B"/>
    <w:rsid w:val="00192D6D"/>
    <w:rsid w:val="001A06E9"/>
    <w:rsid w:val="001A289D"/>
    <w:rsid w:val="001A4E24"/>
    <w:rsid w:val="001A4F8D"/>
    <w:rsid w:val="001B1960"/>
    <w:rsid w:val="001C3E60"/>
    <w:rsid w:val="001D7DB2"/>
    <w:rsid w:val="00201851"/>
    <w:rsid w:val="00222571"/>
    <w:rsid w:val="00245177"/>
    <w:rsid w:val="002552D4"/>
    <w:rsid w:val="002642A9"/>
    <w:rsid w:val="002658A8"/>
    <w:rsid w:val="002857AD"/>
    <w:rsid w:val="002872C7"/>
    <w:rsid w:val="002A1D78"/>
    <w:rsid w:val="002B1C4A"/>
    <w:rsid w:val="002B31BC"/>
    <w:rsid w:val="002B4C20"/>
    <w:rsid w:val="002E1AD1"/>
    <w:rsid w:val="002F6DF7"/>
    <w:rsid w:val="00303262"/>
    <w:rsid w:val="0034205D"/>
    <w:rsid w:val="00351807"/>
    <w:rsid w:val="0035246E"/>
    <w:rsid w:val="00354EB6"/>
    <w:rsid w:val="00377F4F"/>
    <w:rsid w:val="0038063E"/>
    <w:rsid w:val="00380A3E"/>
    <w:rsid w:val="003B2CFD"/>
    <w:rsid w:val="003C7AC1"/>
    <w:rsid w:val="003F2CC5"/>
    <w:rsid w:val="0040708D"/>
    <w:rsid w:val="0041270D"/>
    <w:rsid w:val="00414FC7"/>
    <w:rsid w:val="0045103B"/>
    <w:rsid w:val="00455331"/>
    <w:rsid w:val="0046167D"/>
    <w:rsid w:val="0047272A"/>
    <w:rsid w:val="00473536"/>
    <w:rsid w:val="00490593"/>
    <w:rsid w:val="00495639"/>
    <w:rsid w:val="004B7148"/>
    <w:rsid w:val="004C5C42"/>
    <w:rsid w:val="004D3A61"/>
    <w:rsid w:val="004D7723"/>
    <w:rsid w:val="004F5044"/>
    <w:rsid w:val="00503E15"/>
    <w:rsid w:val="00511239"/>
    <w:rsid w:val="00520A50"/>
    <w:rsid w:val="00543D4C"/>
    <w:rsid w:val="00551486"/>
    <w:rsid w:val="00556E68"/>
    <w:rsid w:val="0055748F"/>
    <w:rsid w:val="00560356"/>
    <w:rsid w:val="0056425B"/>
    <w:rsid w:val="00564F55"/>
    <w:rsid w:val="00567989"/>
    <w:rsid w:val="00572B53"/>
    <w:rsid w:val="00575C1B"/>
    <w:rsid w:val="00583B30"/>
    <w:rsid w:val="0059197C"/>
    <w:rsid w:val="005A44D9"/>
    <w:rsid w:val="005B07DD"/>
    <w:rsid w:val="005C3551"/>
    <w:rsid w:val="005E3BFF"/>
    <w:rsid w:val="005E4BA9"/>
    <w:rsid w:val="005F3BFD"/>
    <w:rsid w:val="005F778F"/>
    <w:rsid w:val="00613DB7"/>
    <w:rsid w:val="00636015"/>
    <w:rsid w:val="006540DB"/>
    <w:rsid w:val="00663040"/>
    <w:rsid w:val="0067054E"/>
    <w:rsid w:val="00670854"/>
    <w:rsid w:val="00676898"/>
    <w:rsid w:val="00677C8A"/>
    <w:rsid w:val="006B04CB"/>
    <w:rsid w:val="006C1621"/>
    <w:rsid w:val="006E18B1"/>
    <w:rsid w:val="006F3EF6"/>
    <w:rsid w:val="00701B08"/>
    <w:rsid w:val="007052A7"/>
    <w:rsid w:val="007202D8"/>
    <w:rsid w:val="0072253D"/>
    <w:rsid w:val="007242CD"/>
    <w:rsid w:val="00724FD7"/>
    <w:rsid w:val="007273CE"/>
    <w:rsid w:val="00730485"/>
    <w:rsid w:val="00733EAF"/>
    <w:rsid w:val="00736890"/>
    <w:rsid w:val="00745347"/>
    <w:rsid w:val="0078585D"/>
    <w:rsid w:val="00795564"/>
    <w:rsid w:val="00795B68"/>
    <w:rsid w:val="00795D98"/>
    <w:rsid w:val="007A2E44"/>
    <w:rsid w:val="007C4AEB"/>
    <w:rsid w:val="007C6990"/>
    <w:rsid w:val="007E0B53"/>
    <w:rsid w:val="007F0346"/>
    <w:rsid w:val="00805494"/>
    <w:rsid w:val="00805DC3"/>
    <w:rsid w:val="0083722E"/>
    <w:rsid w:val="0084100E"/>
    <w:rsid w:val="008614BC"/>
    <w:rsid w:val="00876A11"/>
    <w:rsid w:val="00884C90"/>
    <w:rsid w:val="0088565D"/>
    <w:rsid w:val="0088750B"/>
    <w:rsid w:val="00896BE8"/>
    <w:rsid w:val="008A0741"/>
    <w:rsid w:val="008A57EE"/>
    <w:rsid w:val="008A6710"/>
    <w:rsid w:val="008A7124"/>
    <w:rsid w:val="008C1871"/>
    <w:rsid w:val="008C6A8B"/>
    <w:rsid w:val="008E48F5"/>
    <w:rsid w:val="008F7491"/>
    <w:rsid w:val="00932671"/>
    <w:rsid w:val="009338CF"/>
    <w:rsid w:val="00935BD4"/>
    <w:rsid w:val="00946CF7"/>
    <w:rsid w:val="00951FAA"/>
    <w:rsid w:val="0096417F"/>
    <w:rsid w:val="009722D6"/>
    <w:rsid w:val="009748D1"/>
    <w:rsid w:val="00990027"/>
    <w:rsid w:val="009A0AB6"/>
    <w:rsid w:val="009A21DD"/>
    <w:rsid w:val="009C1130"/>
    <w:rsid w:val="009D3AD4"/>
    <w:rsid w:val="009E5255"/>
    <w:rsid w:val="009F3553"/>
    <w:rsid w:val="00A0208B"/>
    <w:rsid w:val="00A1162C"/>
    <w:rsid w:val="00A50B23"/>
    <w:rsid w:val="00A6751A"/>
    <w:rsid w:val="00A76262"/>
    <w:rsid w:val="00AA1A00"/>
    <w:rsid w:val="00AD291F"/>
    <w:rsid w:val="00AD4458"/>
    <w:rsid w:val="00AD4B47"/>
    <w:rsid w:val="00AD5F15"/>
    <w:rsid w:val="00B116E1"/>
    <w:rsid w:val="00B268D6"/>
    <w:rsid w:val="00B34214"/>
    <w:rsid w:val="00B4364D"/>
    <w:rsid w:val="00B453A7"/>
    <w:rsid w:val="00B454EE"/>
    <w:rsid w:val="00B47110"/>
    <w:rsid w:val="00B61D77"/>
    <w:rsid w:val="00B7210A"/>
    <w:rsid w:val="00B748E5"/>
    <w:rsid w:val="00BA16B2"/>
    <w:rsid w:val="00BB198D"/>
    <w:rsid w:val="00BB19D5"/>
    <w:rsid w:val="00BB6602"/>
    <w:rsid w:val="00BC0668"/>
    <w:rsid w:val="00BD1B44"/>
    <w:rsid w:val="00BE05B9"/>
    <w:rsid w:val="00BE5B9A"/>
    <w:rsid w:val="00BF12C2"/>
    <w:rsid w:val="00BF5A68"/>
    <w:rsid w:val="00C04461"/>
    <w:rsid w:val="00C13B0F"/>
    <w:rsid w:val="00C16925"/>
    <w:rsid w:val="00C1692B"/>
    <w:rsid w:val="00C17915"/>
    <w:rsid w:val="00C2210A"/>
    <w:rsid w:val="00C26569"/>
    <w:rsid w:val="00C33227"/>
    <w:rsid w:val="00C45114"/>
    <w:rsid w:val="00C72147"/>
    <w:rsid w:val="00CA320B"/>
    <w:rsid w:val="00CA4248"/>
    <w:rsid w:val="00CF188E"/>
    <w:rsid w:val="00D01C3A"/>
    <w:rsid w:val="00D03B3A"/>
    <w:rsid w:val="00D03C07"/>
    <w:rsid w:val="00D0700A"/>
    <w:rsid w:val="00D149B9"/>
    <w:rsid w:val="00D426F8"/>
    <w:rsid w:val="00D70AA7"/>
    <w:rsid w:val="00D909C5"/>
    <w:rsid w:val="00DA6DF2"/>
    <w:rsid w:val="00DA7589"/>
    <w:rsid w:val="00DD5F47"/>
    <w:rsid w:val="00DE443D"/>
    <w:rsid w:val="00E15617"/>
    <w:rsid w:val="00E15DA1"/>
    <w:rsid w:val="00E3560C"/>
    <w:rsid w:val="00E523F6"/>
    <w:rsid w:val="00E55BB0"/>
    <w:rsid w:val="00E65CDE"/>
    <w:rsid w:val="00E8332A"/>
    <w:rsid w:val="00E83A86"/>
    <w:rsid w:val="00E84877"/>
    <w:rsid w:val="00EA733C"/>
    <w:rsid w:val="00EA7760"/>
    <w:rsid w:val="00EB26B8"/>
    <w:rsid w:val="00ED0F0A"/>
    <w:rsid w:val="00ED4C13"/>
    <w:rsid w:val="00EE1401"/>
    <w:rsid w:val="00EF738F"/>
    <w:rsid w:val="00F02ED3"/>
    <w:rsid w:val="00F034AA"/>
    <w:rsid w:val="00F07513"/>
    <w:rsid w:val="00F205AA"/>
    <w:rsid w:val="00F24D75"/>
    <w:rsid w:val="00F30DDE"/>
    <w:rsid w:val="00F34AF3"/>
    <w:rsid w:val="00F45966"/>
    <w:rsid w:val="00F61739"/>
    <w:rsid w:val="00F63941"/>
    <w:rsid w:val="00F655D1"/>
    <w:rsid w:val="00F75C2E"/>
    <w:rsid w:val="00F86CCB"/>
    <w:rsid w:val="00FA29D4"/>
    <w:rsid w:val="00FB70BE"/>
    <w:rsid w:val="00FC6397"/>
    <w:rsid w:val="00FD6253"/>
    <w:rsid w:val="00FF01D9"/>
    <w:rsid w:val="00FF1E34"/>
    <w:rsid w:val="00FF2697"/>
    <w:rsid w:val="00FF52E1"/>
    <w:rsid w:val="00FF76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C113E"/>
  <w15:chartTrackingRefBased/>
  <w15:docId w15:val="{245B013D-3038-4240-9F68-035742525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FD7"/>
    <w:rPr>
      <w:rFonts w:ascii="Times New Roman" w:eastAsia="Times New Roman" w:hAnsi="Times New Roman" w:cs="Times New Roman"/>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CA320B"/>
    <w:pPr>
      <w:jc w:val="center"/>
    </w:pPr>
  </w:style>
  <w:style w:type="character" w:customStyle="1" w:styleId="EndNoteBibliographyTitleChar">
    <w:name w:val="EndNote Bibliography Title Char"/>
    <w:basedOn w:val="DefaultParagraphFont"/>
    <w:link w:val="EndNoteBibliographyTitle"/>
    <w:rsid w:val="00CA320B"/>
    <w:rPr>
      <w:rFonts w:ascii="Times New Roman" w:eastAsia="Times New Roman" w:hAnsi="Times New Roman" w:cs="Times New Roman"/>
      <w:lang w:eastAsia="en-GB"/>
    </w:rPr>
  </w:style>
  <w:style w:type="paragraph" w:customStyle="1" w:styleId="EndNoteBibliography">
    <w:name w:val="EndNote Bibliography"/>
    <w:basedOn w:val="Normal"/>
    <w:link w:val="EndNoteBibliographyChar"/>
    <w:rsid w:val="00CA320B"/>
  </w:style>
  <w:style w:type="character" w:customStyle="1" w:styleId="EndNoteBibliographyChar">
    <w:name w:val="EndNote Bibliography Char"/>
    <w:basedOn w:val="DefaultParagraphFont"/>
    <w:link w:val="EndNoteBibliography"/>
    <w:rsid w:val="00CA320B"/>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9FAE3-359F-584A-8AA5-4E33C9CD4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3171</Words>
  <Characters>18080</Characters>
  <Application>Microsoft Office Word</Application>
  <DocSecurity>0</DocSecurity>
  <Lines>150</Lines>
  <Paragraphs>42</Paragraphs>
  <ScaleCrop>false</ScaleCrop>
  <Company/>
  <LinksUpToDate>false</LinksUpToDate>
  <CharactersWithSpaces>21209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 Murphy</dc:creator>
  <cp:keywords/>
  <dc:description/>
  <cp:lastModifiedBy>Ralph Murphy</cp:lastModifiedBy>
  <cp:revision>10</cp:revision>
  <dcterms:created xsi:type="dcterms:W3CDTF">2023-02-21T21:13:00Z</dcterms:created>
  <dcterms:modified xsi:type="dcterms:W3CDTF">2023-07-05T07:08:00Z</dcterms:modified>
</cp:coreProperties>
</file>