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06E3F" w14:textId="77777777" w:rsidR="002264D4" w:rsidRDefault="002264D4" w:rsidP="002264D4">
      <w:pPr>
        <w:jc w:val="both"/>
        <w:rPr>
          <w:rFonts w:ascii="Helvetica" w:hAnsi="Helvetica" w:cs="Times New Roman"/>
          <w:u w:val="single"/>
          <w:lang w:val="en-US"/>
        </w:rPr>
      </w:pPr>
      <w:r>
        <w:rPr>
          <w:rFonts w:ascii="Helvetica" w:hAnsi="Helvetica" w:cs="Times New Roman"/>
          <w:u w:val="single"/>
          <w:lang w:val="en-US"/>
        </w:rPr>
        <w:t>Supplementary figures</w:t>
      </w:r>
    </w:p>
    <w:p w14:paraId="169628EA" w14:textId="70FF1AB2" w:rsidR="002264D4" w:rsidRDefault="009B35FD" w:rsidP="002264D4">
      <w:pPr>
        <w:jc w:val="both"/>
        <w:rPr>
          <w:rFonts w:ascii="Helvetica" w:hAnsi="Helvetica"/>
          <w:u w:val="single"/>
        </w:rPr>
      </w:pPr>
      <w:r w:rsidRPr="009B35FD">
        <w:rPr>
          <w:rFonts w:ascii="Helvetica" w:hAnsi="Helvetica"/>
          <w:u w:val="single"/>
        </w:rPr>
        <w:t>Built environment microbiomes transition from outdoor to human-associated communities after construction and commissioning</w:t>
      </w:r>
      <w:r w:rsidR="002264D4" w:rsidRPr="002264D4">
        <w:rPr>
          <w:rFonts w:ascii="Helvetica" w:hAnsi="Helvetica"/>
          <w:u w:val="single"/>
        </w:rPr>
        <w:t xml:space="preserve">. </w:t>
      </w:r>
    </w:p>
    <w:p w14:paraId="6C23C448" w14:textId="205F1793" w:rsidR="002264D4" w:rsidRDefault="002264D4" w:rsidP="00EE38BC">
      <w:pPr>
        <w:jc w:val="both"/>
        <w:rPr>
          <w:rFonts w:ascii="Helvetica" w:hAnsi="Helvetica" w:cs="Times New Roman"/>
          <w:u w:val="single"/>
          <w:lang w:val="en-US"/>
        </w:rPr>
      </w:pPr>
      <w:r>
        <w:rPr>
          <w:rFonts w:ascii="Helvetica" w:hAnsi="Helvetica"/>
        </w:rPr>
        <w:t>Gregory R Young, Angela Sherry, Darren L Smith</w:t>
      </w:r>
      <w:r>
        <w:rPr>
          <w:rFonts w:ascii="Helvetica" w:hAnsi="Helvetica"/>
          <w:position w:val="8"/>
          <w:sz w:val="16"/>
          <w:szCs w:val="16"/>
        </w:rPr>
        <w:t xml:space="preserve"> </w:t>
      </w:r>
    </w:p>
    <w:p w14:paraId="11B2C493" w14:textId="77777777" w:rsidR="002264D4" w:rsidRDefault="002264D4" w:rsidP="00EE38BC">
      <w:pPr>
        <w:jc w:val="both"/>
        <w:rPr>
          <w:rFonts w:ascii="Helvetica" w:hAnsi="Helvetica" w:cs="Times New Roman"/>
          <w:u w:val="single"/>
          <w:lang w:val="en-US"/>
        </w:rPr>
      </w:pPr>
    </w:p>
    <w:p w14:paraId="65887E8A" w14:textId="4B1F7AB1" w:rsidR="00EE38BC" w:rsidRDefault="00EE38BC" w:rsidP="00EE38BC">
      <w:pPr>
        <w:jc w:val="both"/>
        <w:rPr>
          <w:rFonts w:ascii="Helvetica" w:hAnsi="Helvetica" w:cs="Times New Roman"/>
          <w:u w:val="single"/>
          <w:lang w:val="en-US"/>
        </w:rPr>
      </w:pPr>
      <w:r w:rsidRPr="00715630">
        <w:rPr>
          <w:rFonts w:ascii="Helvetica" w:hAnsi="Helvetica" w:cs="Times New Roman"/>
          <w:u w:val="single"/>
          <w:lang w:val="en-US"/>
        </w:rPr>
        <w:t>Supplementary figure 1</w:t>
      </w:r>
    </w:p>
    <w:p w14:paraId="406B5803" w14:textId="77777777" w:rsidR="00EE38BC" w:rsidRPr="00715630" w:rsidRDefault="00EE38BC" w:rsidP="00EE38BC">
      <w:pPr>
        <w:jc w:val="both"/>
        <w:rPr>
          <w:rFonts w:ascii="Helvetica" w:hAnsi="Helvetica" w:cs="Times New Roman"/>
          <w:u w:val="single"/>
          <w:lang w:val="en-US"/>
        </w:rPr>
      </w:pPr>
    </w:p>
    <w:p w14:paraId="711C49CC" w14:textId="77777777" w:rsidR="00EE38BC" w:rsidRPr="00715630" w:rsidRDefault="00EE38BC" w:rsidP="00EE38BC">
      <w:pPr>
        <w:jc w:val="center"/>
        <w:rPr>
          <w:rFonts w:ascii="Helvetica" w:hAnsi="Helvetica" w:cs="Times New Roman"/>
          <w:lang w:val="en-US"/>
        </w:rPr>
      </w:pPr>
      <w:r w:rsidRPr="00715630">
        <w:rPr>
          <w:rFonts w:ascii="Helvetica" w:hAnsi="Helvetica" w:cs="Times New Roman"/>
          <w:noProof/>
          <w:lang w:val="en-US"/>
        </w:rPr>
        <w:drawing>
          <wp:inline distT="0" distB="0" distL="0" distR="0" wp14:anchorId="352EDBBB" wp14:editId="61B05765">
            <wp:extent cx="5731510" cy="1877060"/>
            <wp:effectExtent l="0" t="0" r="0" b="254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E8352" w14:textId="77777777" w:rsidR="00ED09B3" w:rsidRDefault="00EE38BC" w:rsidP="00EE38BC">
      <w:pPr>
        <w:jc w:val="both"/>
        <w:rPr>
          <w:rFonts w:ascii="Helvetica" w:hAnsi="Helvetica" w:cs="Times New Roman"/>
          <w:i/>
          <w:iCs/>
          <w:sz w:val="20"/>
          <w:szCs w:val="20"/>
          <w:lang w:val="en-US"/>
        </w:rPr>
      </w:pP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>Supplementary figure 1 illustrates library sizes yielded by 16S rRNA gene sequencing</w:t>
      </w:r>
      <w:r w:rsidR="00E775AE">
        <w:rPr>
          <w:rFonts w:ascii="Helvetica" w:hAnsi="Helvetica" w:cs="Times New Roman"/>
          <w:i/>
          <w:iCs/>
          <w:sz w:val="20"/>
          <w:szCs w:val="20"/>
          <w:lang w:val="en-US"/>
        </w:rPr>
        <w:t>.</w:t>
      </w: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</w:t>
      </w:r>
      <w:r w:rsidR="00E775AE">
        <w:rPr>
          <w:rFonts w:ascii="Helvetica" w:hAnsi="Helvetica" w:cs="Times New Roman"/>
          <w:i/>
          <w:iCs/>
          <w:sz w:val="20"/>
          <w:szCs w:val="20"/>
          <w:lang w:val="en-US"/>
        </w:rPr>
        <w:t>E</w:t>
      </w: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>ach point</w:t>
      </w:r>
      <w:r w:rsidR="00E775AE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in the left panel</w:t>
      </w: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represents an individual sample and density clouds illustrate the distribution of library sizes within each group.</w:t>
      </w:r>
    </w:p>
    <w:p w14:paraId="7F9A2752" w14:textId="77777777" w:rsidR="002F16C2" w:rsidRDefault="00ED09B3" w:rsidP="00EE38BC">
      <w:pPr>
        <w:jc w:val="both"/>
        <w:rPr>
          <w:rFonts w:ascii="Helvetica" w:hAnsi="Helvetica" w:cs="Times New Roman"/>
          <w:i/>
          <w:iCs/>
          <w:sz w:val="20"/>
          <w:szCs w:val="20"/>
          <w:lang w:val="en-US"/>
        </w:rPr>
      </w:pPr>
      <w:r>
        <w:rPr>
          <w:rFonts w:ascii="Helvetica" w:hAnsi="Helvetica" w:cs="Times New Roman"/>
          <w:i/>
          <w:iCs/>
          <w:sz w:val="20"/>
          <w:szCs w:val="20"/>
          <w:lang w:val="en-US"/>
        </w:rPr>
        <w:t>Environmental samples yielded significantly greater library sizes (median = 1.8x10</w:t>
      </w:r>
      <w:r w:rsidR="002F16C2">
        <w:rPr>
          <w:rFonts w:ascii="Helvetica" w:hAnsi="Helvetica" w:cs="Times New Roman"/>
          <w:i/>
          <w:iCs/>
          <w:sz w:val="20"/>
          <w:szCs w:val="20"/>
          <w:vertAlign w:val="superscript"/>
          <w:lang w:val="en-US"/>
        </w:rPr>
        <w:t>4</w:t>
      </w:r>
      <w:r w:rsidRPr="00ED09B3">
        <w:rPr>
          <w:rFonts w:ascii="Helvetica" w:hAnsi="Helvetica" w:cs="Times New Roman"/>
          <w:i/>
          <w:iCs/>
          <w:sz w:val="20"/>
          <w:szCs w:val="20"/>
          <w:lang w:val="en-US"/>
        </w:rPr>
        <w:t>; IQR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= 4.6</w:t>
      </w:r>
      <w:r w:rsidRPr="00ED09B3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>x10</w:t>
      </w:r>
      <w:r w:rsidR="002F16C2">
        <w:rPr>
          <w:rFonts w:ascii="Helvetica" w:hAnsi="Helvetica" w:cs="Times New Roman"/>
          <w:i/>
          <w:iCs/>
          <w:sz w:val="20"/>
          <w:szCs w:val="20"/>
          <w:vertAlign w:val="superscript"/>
          <w:lang w:val="en-US"/>
        </w:rPr>
        <w:t>3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– 2.9</w:t>
      </w:r>
      <w:r w:rsidRPr="00ED09B3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>x10</w:t>
      </w:r>
      <w:r w:rsidR="002F16C2">
        <w:rPr>
          <w:rFonts w:ascii="Helvetica" w:hAnsi="Helvetica" w:cs="Times New Roman"/>
          <w:i/>
          <w:iCs/>
          <w:sz w:val="20"/>
          <w:szCs w:val="20"/>
          <w:vertAlign w:val="superscript"/>
          <w:lang w:val="en-US"/>
        </w:rPr>
        <w:t>4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>) than blank (median = 4.5</w:t>
      </w:r>
      <w:r w:rsidRPr="00ED09B3">
        <w:rPr>
          <w:rFonts w:ascii="Helvetica" w:hAnsi="Helvetica" w:cs="Times New Roman"/>
          <w:i/>
          <w:iCs/>
          <w:sz w:val="20"/>
          <w:szCs w:val="20"/>
          <w:lang w:val="en-US"/>
        </w:rPr>
        <w:t>; IQR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= 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3.25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– 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5.75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; </w:t>
      </w:r>
      <w:r w:rsidRPr="00ED09B3">
        <w:rPr>
          <w:rFonts w:ascii="Helvetica" w:hAnsi="Helvetica" w:cs="Times New Roman"/>
          <w:i/>
          <w:iCs/>
          <w:sz w:val="20"/>
          <w:szCs w:val="20"/>
          <w:lang w:val="en-US"/>
        </w:rPr>
        <w:t>P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= 0.01), sequencing negative (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median = 38</w:t>
      </w:r>
      <w:r w:rsidR="002F16C2" w:rsidRPr="00ED09B3">
        <w:rPr>
          <w:rFonts w:ascii="Helvetica" w:hAnsi="Helvetica" w:cs="Times New Roman"/>
          <w:i/>
          <w:iCs/>
          <w:sz w:val="20"/>
          <w:szCs w:val="20"/>
          <w:lang w:val="en-US"/>
        </w:rPr>
        <w:t>; IQR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= 37 – 76: P</w:t>
      </w:r>
      <w:r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= 0.0007)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, and kit negative controls (median = 2.9</w:t>
      </w:r>
      <w:r w:rsidR="002F16C2" w:rsidRPr="002F16C2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x10</w:t>
      </w:r>
      <w:r w:rsidR="002F16C2">
        <w:rPr>
          <w:rFonts w:ascii="Helvetica" w:hAnsi="Helvetica" w:cs="Times New Roman"/>
          <w:i/>
          <w:iCs/>
          <w:sz w:val="20"/>
          <w:szCs w:val="20"/>
          <w:vertAlign w:val="superscript"/>
          <w:lang w:val="en-US"/>
        </w:rPr>
        <w:t>3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; IQR = 1.2</w:t>
      </w:r>
      <w:r w:rsidR="002F16C2" w:rsidRPr="002F16C2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x10</w:t>
      </w:r>
      <w:r w:rsidR="002F16C2">
        <w:rPr>
          <w:rFonts w:ascii="Helvetica" w:hAnsi="Helvetica" w:cs="Times New Roman"/>
          <w:i/>
          <w:iCs/>
          <w:sz w:val="20"/>
          <w:szCs w:val="20"/>
          <w:vertAlign w:val="superscript"/>
          <w:lang w:val="en-US"/>
        </w:rPr>
        <w:t xml:space="preserve">3 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>– 1.3 x10</w:t>
      </w:r>
      <w:r w:rsidR="002F16C2">
        <w:rPr>
          <w:rFonts w:ascii="Helvetica" w:hAnsi="Helvetica" w:cs="Times New Roman"/>
          <w:i/>
          <w:iCs/>
          <w:sz w:val="20"/>
          <w:szCs w:val="20"/>
          <w:vertAlign w:val="superscript"/>
          <w:lang w:val="en-US"/>
        </w:rPr>
        <w:t>4</w:t>
      </w:r>
      <w:r w:rsidR="002F16C2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; P = 0.003). </w:t>
      </w:r>
    </w:p>
    <w:p w14:paraId="654807BA" w14:textId="7CB324DD" w:rsidR="00EE38BC" w:rsidRPr="00715630" w:rsidRDefault="00EE38BC" w:rsidP="00EE38BC">
      <w:pPr>
        <w:jc w:val="both"/>
        <w:rPr>
          <w:rFonts w:ascii="Helvetica" w:hAnsi="Helvetica" w:cs="Times New Roman"/>
          <w:i/>
          <w:iCs/>
          <w:sz w:val="20"/>
          <w:szCs w:val="20"/>
          <w:lang w:val="en-US"/>
        </w:rPr>
      </w:pP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>Rarefaction of samples</w:t>
      </w:r>
      <w:r w:rsidR="00E775AE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(right panel)</w:t>
      </w: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shows sufficient sampling depth was achieved at 10k reads to characterize the full </w:t>
      </w:r>
      <w:r w:rsidR="00E775AE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taxonomic </w:t>
      </w: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>richness of any given sample.</w:t>
      </w:r>
    </w:p>
    <w:p w14:paraId="175D44B6" w14:textId="77777777" w:rsidR="00EE38BC" w:rsidRPr="00715630" w:rsidRDefault="00EE38BC" w:rsidP="00EE38BC">
      <w:pPr>
        <w:jc w:val="both"/>
        <w:rPr>
          <w:rFonts w:ascii="Helvetica" w:hAnsi="Helvetica" w:cs="Times New Roman"/>
          <w:u w:val="single"/>
          <w:lang w:val="en-US"/>
        </w:rPr>
      </w:pPr>
    </w:p>
    <w:p w14:paraId="7021C14C" w14:textId="77777777" w:rsidR="00EE38BC" w:rsidRDefault="00EE38BC" w:rsidP="00EE38BC">
      <w:pPr>
        <w:jc w:val="both"/>
        <w:rPr>
          <w:rFonts w:ascii="Helvetica" w:hAnsi="Helvetica" w:cs="Times New Roman"/>
          <w:u w:val="single"/>
          <w:lang w:val="en-US"/>
        </w:rPr>
      </w:pPr>
      <w:r w:rsidRPr="00715630">
        <w:rPr>
          <w:rFonts w:ascii="Helvetica" w:hAnsi="Helvetica" w:cs="Times New Roman"/>
          <w:u w:val="single"/>
          <w:lang w:val="en-US"/>
        </w:rPr>
        <w:t>Supplementary figure 2</w:t>
      </w:r>
    </w:p>
    <w:p w14:paraId="5A016FE0" w14:textId="77777777" w:rsidR="00EE38BC" w:rsidRPr="00715630" w:rsidRDefault="00EE38BC" w:rsidP="00EE38BC">
      <w:pPr>
        <w:jc w:val="both"/>
        <w:rPr>
          <w:rFonts w:ascii="Helvetica" w:hAnsi="Helvetica" w:cs="Times New Roman"/>
          <w:u w:val="single"/>
          <w:lang w:val="en-US"/>
        </w:rPr>
      </w:pPr>
    </w:p>
    <w:p w14:paraId="042DDA8A" w14:textId="77777777" w:rsidR="00EE38BC" w:rsidRPr="00715630" w:rsidRDefault="00EE38BC" w:rsidP="00EE38BC">
      <w:pPr>
        <w:jc w:val="center"/>
        <w:rPr>
          <w:rFonts w:ascii="Helvetica" w:hAnsi="Helvetica" w:cs="Times New Roman"/>
          <w:i/>
          <w:iCs/>
          <w:sz w:val="20"/>
          <w:szCs w:val="20"/>
          <w:lang w:val="en-US"/>
        </w:rPr>
      </w:pPr>
      <w:r w:rsidRPr="00715630">
        <w:rPr>
          <w:rFonts w:ascii="Helvetica" w:hAnsi="Helvetica" w:cs="Times New Roman"/>
          <w:i/>
          <w:iCs/>
          <w:noProof/>
          <w:lang w:val="en-US"/>
        </w:rPr>
        <w:drawing>
          <wp:inline distT="0" distB="0" distL="0" distR="0" wp14:anchorId="45159BF4" wp14:editId="690CA672">
            <wp:extent cx="4903470" cy="3784600"/>
            <wp:effectExtent l="0" t="0" r="0" b="0"/>
            <wp:docPr id="4" name="Picture 4" descr="Chart, diagram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diagram, scatt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5A4C4" w14:textId="77777777" w:rsidR="00EE38BC" w:rsidRDefault="00EE38BC" w:rsidP="00EE38BC">
      <w:pPr>
        <w:jc w:val="both"/>
        <w:rPr>
          <w:rFonts w:ascii="Helvetica" w:hAnsi="Helvetica" w:cs="Times New Roman"/>
          <w:i/>
          <w:iCs/>
          <w:sz w:val="20"/>
          <w:szCs w:val="20"/>
          <w:lang w:val="en-US"/>
        </w:rPr>
      </w:pP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Supplementary figure 2 illustrates associations between relative humidity, </w:t>
      </w:r>
      <w:proofErr w:type="gramStart"/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>temperature</w:t>
      </w:r>
      <w:proofErr w:type="gramEnd"/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 and CO</w:t>
      </w:r>
      <w:r w:rsidRPr="4E7A1646">
        <w:rPr>
          <w:rFonts w:ascii="Helvetica" w:hAnsi="Helvetica" w:cs="Times New Roman"/>
          <w:i/>
          <w:iCs/>
          <w:sz w:val="20"/>
          <w:szCs w:val="20"/>
          <w:vertAlign w:val="subscript"/>
          <w:lang w:val="en-US"/>
        </w:rPr>
        <w:t xml:space="preserve">2 </w:t>
      </w:r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 xml:space="preserve">levels with alpha diversity of microbial communities. Alpha diversity measures were calculated as bacterial richness (rarefied at 10k reads) and Shannon diversity (proportionally </w:t>
      </w:r>
      <w:proofErr w:type="spellStart"/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>normalised</w:t>
      </w:r>
      <w:proofErr w:type="spellEnd"/>
      <w:r w:rsidRPr="4E7A1646">
        <w:rPr>
          <w:rFonts w:ascii="Helvetica" w:hAnsi="Helvetica" w:cs="Times New Roman"/>
          <w:i/>
          <w:iCs/>
          <w:sz w:val="20"/>
          <w:szCs w:val="20"/>
          <w:lang w:val="en-US"/>
        </w:rPr>
        <w:t>). Each point represents an individual sample with environmental parameters plotted on the x axis and alpha diversity measures plotted on the y axis. Lines on each panel represent the best-fit for each relationship with shaded areas extending to the 95% confidence intervals.</w:t>
      </w:r>
    </w:p>
    <w:p w14:paraId="514F15A8" w14:textId="77777777" w:rsidR="00000000" w:rsidRDefault="00000000"/>
    <w:sectPr w:rsidR="004148B6" w:rsidSect="00EE38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BC"/>
    <w:rsid w:val="00014E08"/>
    <w:rsid w:val="002264D4"/>
    <w:rsid w:val="002A2F94"/>
    <w:rsid w:val="002F16C2"/>
    <w:rsid w:val="004B0E89"/>
    <w:rsid w:val="006B77CB"/>
    <w:rsid w:val="006F4668"/>
    <w:rsid w:val="009B35FD"/>
    <w:rsid w:val="009D5230"/>
    <w:rsid w:val="00A811B7"/>
    <w:rsid w:val="00D17451"/>
    <w:rsid w:val="00E775AE"/>
    <w:rsid w:val="00ED09B3"/>
    <w:rsid w:val="00EE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AABA0"/>
  <w15:chartTrackingRefBased/>
  <w15:docId w15:val="{8407A4F1-8548-5845-810E-D6A301B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64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4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 Young</dc:creator>
  <cp:keywords/>
  <dc:description/>
  <cp:lastModifiedBy>Gregory R Young</cp:lastModifiedBy>
  <cp:revision>3</cp:revision>
  <dcterms:created xsi:type="dcterms:W3CDTF">2023-06-22T16:33:00Z</dcterms:created>
  <dcterms:modified xsi:type="dcterms:W3CDTF">2023-08-31T12:26:00Z</dcterms:modified>
</cp:coreProperties>
</file>