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EE14" w14:textId="2C29CE90" w:rsidR="009F78D0" w:rsidRDefault="009F78D0" w:rsidP="00587A4D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587A4D">
        <w:rPr>
          <w:b/>
          <w:sz w:val="24"/>
          <w:szCs w:val="24"/>
        </w:rPr>
        <w:t xml:space="preserve">Online supplement </w:t>
      </w:r>
      <w:r w:rsidR="008C7554">
        <w:rPr>
          <w:b/>
          <w:sz w:val="24"/>
          <w:szCs w:val="24"/>
        </w:rPr>
        <w:t>T</w:t>
      </w:r>
      <w:r w:rsidRPr="00BC6AE1">
        <w:rPr>
          <w:b/>
          <w:sz w:val="24"/>
          <w:szCs w:val="24"/>
        </w:rPr>
        <w:t xml:space="preserve">able </w:t>
      </w:r>
      <w:r w:rsidR="00587A4D">
        <w:rPr>
          <w:b/>
          <w:sz w:val="24"/>
          <w:szCs w:val="24"/>
        </w:rPr>
        <w:t>4</w:t>
      </w:r>
      <w:r w:rsidRPr="00BC6AE1">
        <w:rPr>
          <w:b/>
          <w:sz w:val="24"/>
          <w:szCs w:val="24"/>
        </w:rPr>
        <w:t>.</w:t>
      </w:r>
      <w:r w:rsidR="001C3B70">
        <w:rPr>
          <w:b/>
          <w:sz w:val="24"/>
          <w:szCs w:val="24"/>
        </w:rPr>
        <w:t xml:space="preserve"> Parameters associated with FGF-23 level 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587A4D">
        <w:rPr>
          <w:sz w:val="24"/>
          <w:szCs w:val="24"/>
        </w:rPr>
        <w:br/>
      </w:r>
      <w:r w:rsidR="00587A4D">
        <w:rPr>
          <w:sz w:val="24"/>
          <w:szCs w:val="24"/>
        </w:rPr>
        <w:br/>
      </w:r>
      <w:r w:rsidR="00587A4D">
        <w:rPr>
          <w:sz w:val="24"/>
          <w:szCs w:val="24"/>
        </w:rPr>
        <w:br/>
      </w:r>
      <w:r w:rsidR="00587A4D">
        <w:rPr>
          <w:sz w:val="24"/>
          <w:szCs w:val="24"/>
        </w:rPr>
        <w:br/>
      </w:r>
      <w:r w:rsidR="00587A4D">
        <w:rPr>
          <w:sz w:val="24"/>
          <w:szCs w:val="24"/>
        </w:rPr>
        <w:br/>
      </w:r>
      <w:r w:rsidR="00587A4D">
        <w:rPr>
          <w:sz w:val="24"/>
          <w:szCs w:val="24"/>
        </w:rPr>
        <w:br/>
      </w:r>
      <w:r w:rsidR="00587A4D">
        <w:rPr>
          <w:sz w:val="24"/>
          <w:szCs w:val="24"/>
        </w:rPr>
        <w:t xml:space="preserve">eGFR, estimated glomerular filtration rate; </w:t>
      </w:r>
      <w:r w:rsidR="00587A4D" w:rsidRPr="00587A4D">
        <w:rPr>
          <w:sz w:val="24"/>
          <w:szCs w:val="24"/>
        </w:rPr>
        <w:t>Hb1Ac, glycated hemoglobin;</w:t>
      </w:r>
      <w:r w:rsidR="00587A4D">
        <w:rPr>
          <w:sz w:val="24"/>
          <w:szCs w:val="24"/>
        </w:rPr>
        <w:t xml:space="preserve"> </w:t>
      </w:r>
      <w:r w:rsidR="00587A4D" w:rsidRPr="00C61F7E">
        <w:rPr>
          <w:sz w:val="24"/>
          <w:szCs w:val="24"/>
        </w:rPr>
        <w:t>LVEF, left ventricular ejection fraction; RV, right ventricular</w:t>
      </w:r>
      <w:r>
        <w:rPr>
          <w:b/>
          <w:sz w:val="24"/>
          <w:szCs w:val="24"/>
        </w:rPr>
        <w:br/>
      </w:r>
      <w:r w:rsidRPr="00BC6AE1">
        <w:rPr>
          <w:b/>
          <w:sz w:val="24"/>
          <w:szCs w:val="24"/>
        </w:rPr>
        <w:br/>
      </w:r>
    </w:p>
    <w:p w14:paraId="606024E1" w14:textId="77777777" w:rsidR="00587A4D" w:rsidRPr="00BC6AE1" w:rsidRDefault="00587A4D" w:rsidP="008C7554">
      <w:pPr>
        <w:spacing w:after="0" w:line="480" w:lineRule="auto"/>
        <w:rPr>
          <w:b/>
          <w:sz w:val="24"/>
          <w:szCs w:val="24"/>
        </w:rPr>
      </w:pPr>
    </w:p>
    <w:p w14:paraId="18665C12" w14:textId="77777777" w:rsidR="009F78D0" w:rsidRDefault="009F78D0" w:rsidP="002F623F">
      <w:pPr>
        <w:spacing w:after="0" w:line="480" w:lineRule="auto"/>
        <w:rPr>
          <w:sz w:val="24"/>
          <w:szCs w:val="24"/>
        </w:rPr>
      </w:pPr>
    </w:p>
    <w:p w14:paraId="29E6DA1C" w14:textId="77777777" w:rsidR="009F78D0" w:rsidRDefault="009F78D0" w:rsidP="002F623F">
      <w:pPr>
        <w:spacing w:after="0" w:line="480" w:lineRule="auto"/>
        <w:rPr>
          <w:sz w:val="24"/>
          <w:szCs w:val="24"/>
        </w:rPr>
      </w:pPr>
    </w:p>
    <w:p w14:paraId="184A2729" w14:textId="77777777" w:rsidR="009F78D0" w:rsidRDefault="009F78D0" w:rsidP="002F623F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tbl>
      <w:tblPr>
        <w:tblStyle w:val="Mkatabulky"/>
        <w:tblpPr w:leftFromText="141" w:rightFromText="141" w:vertAnchor="page" w:horzAnchor="margin" w:tblpY="2694"/>
        <w:tblW w:w="8075" w:type="dxa"/>
        <w:tblLayout w:type="fixed"/>
        <w:tblLook w:val="0000" w:firstRow="0" w:lastRow="0" w:firstColumn="0" w:lastColumn="0" w:noHBand="0" w:noVBand="0"/>
      </w:tblPr>
      <w:tblGrid>
        <w:gridCol w:w="3823"/>
        <w:gridCol w:w="1559"/>
        <w:gridCol w:w="992"/>
        <w:gridCol w:w="1701"/>
      </w:tblGrid>
      <w:tr w:rsidR="009F78D0" w14:paraId="06D5DB52" w14:textId="77777777" w:rsidTr="00D020A6">
        <w:tc>
          <w:tcPr>
            <w:tcW w:w="3823" w:type="dxa"/>
          </w:tcPr>
          <w:p w14:paraId="6FCD1234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bCs/>
                <w:color w:val="000000"/>
              </w:rPr>
            </w:pPr>
            <w:r>
              <w:rPr>
                <w:rFonts w:asciiTheme="minorHAnsi" w:hAnsiTheme="minorHAnsi" w:cs="Segoe UI"/>
                <w:b/>
                <w:bCs/>
                <w:color w:val="000000"/>
              </w:rPr>
              <w:br/>
            </w:r>
            <w:r w:rsidRPr="00AF022A">
              <w:rPr>
                <w:rFonts w:asciiTheme="minorHAnsi" w:hAnsiTheme="minorHAnsi" w:cs="Segoe UI"/>
                <w:b/>
                <w:bCs/>
                <w:color w:val="000000"/>
              </w:rPr>
              <w:t>Variable</w:t>
            </w:r>
          </w:p>
        </w:tc>
        <w:tc>
          <w:tcPr>
            <w:tcW w:w="1559" w:type="dxa"/>
          </w:tcPr>
          <w:p w14:paraId="29404B94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bCs/>
                <w:color w:val="000000"/>
              </w:rPr>
            </w:pPr>
            <w:r>
              <w:rPr>
                <w:rFonts w:asciiTheme="minorHAnsi" w:hAnsiTheme="minorHAnsi" w:cs="Segoe UI"/>
                <w:b/>
                <w:bCs/>
                <w:color w:val="000000"/>
              </w:rPr>
              <w:t>Univariable regression</w:t>
            </w:r>
          </w:p>
        </w:tc>
        <w:tc>
          <w:tcPr>
            <w:tcW w:w="992" w:type="dxa"/>
          </w:tcPr>
          <w:p w14:paraId="22A03BD1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78238C9A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bCs/>
                <w:color w:val="000000"/>
              </w:rPr>
            </w:pPr>
            <w:r>
              <w:rPr>
                <w:rFonts w:asciiTheme="minorHAnsi" w:hAnsiTheme="minorHAnsi" w:cs="Segoe UI"/>
                <w:b/>
                <w:bCs/>
                <w:color w:val="000000"/>
              </w:rPr>
              <w:t>Multivariable regression</w:t>
            </w:r>
          </w:p>
        </w:tc>
      </w:tr>
      <w:tr w:rsidR="009F78D0" w14:paraId="152F5F91" w14:textId="77777777" w:rsidTr="00D020A6">
        <w:tc>
          <w:tcPr>
            <w:tcW w:w="3823" w:type="dxa"/>
          </w:tcPr>
          <w:p w14:paraId="554B9781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50000AFA" w14:textId="77777777" w:rsidR="009F78D0" w:rsidRPr="00347B26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bCs/>
                <w:color w:val="000000"/>
                <w:vertAlign w:val="superscript"/>
              </w:rPr>
            </w:pPr>
            <w:r>
              <w:rPr>
                <w:rFonts w:asciiTheme="minorHAnsi" w:hAnsiTheme="minorHAnsi" w:cs="Segoe UI"/>
                <w:b/>
                <w:bCs/>
                <w:color w:val="000000"/>
              </w:rPr>
              <w:t>r</w:t>
            </w:r>
            <w:r>
              <w:rPr>
                <w:rFonts w:asciiTheme="minorHAnsi" w:hAnsiTheme="minorHAnsi" w:cs="Segoe UI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2CB1EDDE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bCs/>
                <w:color w:val="000000"/>
              </w:rPr>
            </w:pPr>
            <w:r>
              <w:rPr>
                <w:rFonts w:asciiTheme="minorHAnsi" w:hAnsiTheme="minorHAnsi" w:cs="Segoe UI"/>
                <w:b/>
                <w:bCs/>
                <w:color w:val="000000"/>
              </w:rPr>
              <w:t>p</w:t>
            </w:r>
          </w:p>
        </w:tc>
        <w:tc>
          <w:tcPr>
            <w:tcW w:w="1701" w:type="dxa"/>
          </w:tcPr>
          <w:p w14:paraId="40FF1758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bCs/>
                <w:color w:val="000000"/>
              </w:rPr>
            </w:pPr>
            <w:r w:rsidRPr="00AF022A">
              <w:rPr>
                <w:rFonts w:asciiTheme="minorHAnsi" w:hAnsiTheme="minorHAnsi" w:cs="Segoe UI"/>
                <w:b/>
                <w:bCs/>
                <w:color w:val="000000"/>
              </w:rPr>
              <w:t>p</w:t>
            </w:r>
          </w:p>
        </w:tc>
      </w:tr>
      <w:tr w:rsidR="009F78D0" w14:paraId="10000132" w14:textId="77777777" w:rsidTr="00D020A6">
        <w:tc>
          <w:tcPr>
            <w:tcW w:w="3823" w:type="dxa"/>
          </w:tcPr>
          <w:p w14:paraId="5571F3EC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>
              <w:rPr>
                <w:rFonts w:asciiTheme="minorHAnsi" w:hAnsiTheme="minorHAnsi" w:cs="Segoe UI"/>
                <w:color w:val="000000"/>
              </w:rPr>
              <w:t xml:space="preserve">LVEF </w:t>
            </w:r>
            <w:r w:rsidRPr="007A0B6B">
              <w:rPr>
                <w:rFonts w:asciiTheme="minorHAnsi" w:hAnsiTheme="minorHAnsi" w:cs="Segoe UI"/>
                <w:i/>
                <w:color w:val="000000"/>
              </w:rPr>
              <w:t>(%)</w:t>
            </w:r>
          </w:p>
        </w:tc>
        <w:tc>
          <w:tcPr>
            <w:tcW w:w="1559" w:type="dxa"/>
          </w:tcPr>
          <w:p w14:paraId="0FA7920F" w14:textId="77777777" w:rsidR="009F78D0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>
              <w:rPr>
                <w:rFonts w:asciiTheme="minorHAnsi" w:hAnsiTheme="minorHAnsi" w:cs="Segoe UI"/>
                <w:color w:val="000000"/>
              </w:rPr>
              <w:t>0.014</w:t>
            </w:r>
          </w:p>
        </w:tc>
        <w:tc>
          <w:tcPr>
            <w:tcW w:w="992" w:type="dxa"/>
          </w:tcPr>
          <w:p w14:paraId="2A9AFD73" w14:textId="77777777" w:rsidR="009F78D0" w:rsidRPr="00347B26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color w:val="000000"/>
              </w:rPr>
            </w:pPr>
            <w:r w:rsidRPr="00347B26">
              <w:rPr>
                <w:rFonts w:asciiTheme="minorHAnsi" w:hAnsiTheme="minorHAnsi" w:cs="Segoe UI"/>
                <w:b/>
                <w:color w:val="000000"/>
              </w:rPr>
              <w:t>0.03</w:t>
            </w:r>
          </w:p>
        </w:tc>
        <w:tc>
          <w:tcPr>
            <w:tcW w:w="1701" w:type="dxa"/>
          </w:tcPr>
          <w:p w14:paraId="16FA00DE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>
              <w:rPr>
                <w:rFonts w:asciiTheme="minorHAnsi" w:hAnsiTheme="minorHAnsi" w:cs="Segoe UI"/>
                <w:color w:val="000000"/>
              </w:rPr>
              <w:t>0.44</w:t>
            </w:r>
          </w:p>
        </w:tc>
      </w:tr>
      <w:tr w:rsidR="009F78D0" w14:paraId="022E9E18" w14:textId="77777777" w:rsidTr="00D020A6">
        <w:tc>
          <w:tcPr>
            <w:tcW w:w="3823" w:type="dxa"/>
          </w:tcPr>
          <w:p w14:paraId="6B3A85A5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 w:rsidRPr="00AF022A">
              <w:rPr>
                <w:rFonts w:asciiTheme="minorHAnsi" w:hAnsiTheme="minorHAnsi" w:cs="Segoe UI"/>
                <w:color w:val="000000"/>
              </w:rPr>
              <w:t xml:space="preserve">RV dysfunction grade </w:t>
            </w:r>
            <w:r w:rsidRPr="00AF022A">
              <w:rPr>
                <w:rFonts w:asciiTheme="minorHAnsi" w:hAnsiTheme="minorHAnsi" w:cs="Segoe UI"/>
                <w:i/>
                <w:color w:val="000000"/>
              </w:rPr>
              <w:t>(1-4)</w:t>
            </w:r>
          </w:p>
        </w:tc>
        <w:tc>
          <w:tcPr>
            <w:tcW w:w="1559" w:type="dxa"/>
          </w:tcPr>
          <w:p w14:paraId="3F260AC5" w14:textId="77777777" w:rsidR="009F78D0" w:rsidRPr="00347B26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 w:rsidRPr="00347B26">
              <w:rPr>
                <w:rFonts w:asciiTheme="minorHAnsi" w:hAnsiTheme="minorHAnsi" w:cs="Segoe UI"/>
                <w:color w:val="000000"/>
              </w:rPr>
              <w:t>0.07</w:t>
            </w:r>
          </w:p>
        </w:tc>
        <w:tc>
          <w:tcPr>
            <w:tcW w:w="992" w:type="dxa"/>
          </w:tcPr>
          <w:p w14:paraId="3177FCE9" w14:textId="77777777" w:rsidR="009F78D0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color w:val="000000"/>
              </w:rPr>
            </w:pPr>
            <w:r>
              <w:rPr>
                <w:rFonts w:asciiTheme="minorHAnsi" w:hAnsiTheme="minorHAnsi" w:cs="Segoe UI"/>
                <w:b/>
                <w:color w:val="000000"/>
              </w:rPr>
              <w:t>&lt;0.0001</w:t>
            </w:r>
          </w:p>
        </w:tc>
        <w:tc>
          <w:tcPr>
            <w:tcW w:w="1701" w:type="dxa"/>
          </w:tcPr>
          <w:p w14:paraId="632E4C36" w14:textId="77777777" w:rsidR="009F78D0" w:rsidRPr="007A0B6B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color w:val="000000"/>
              </w:rPr>
            </w:pPr>
            <w:r>
              <w:rPr>
                <w:rFonts w:asciiTheme="minorHAnsi" w:hAnsiTheme="minorHAnsi" w:cs="Segoe UI"/>
                <w:b/>
                <w:color w:val="000000"/>
              </w:rPr>
              <w:t>0.004</w:t>
            </w:r>
          </w:p>
        </w:tc>
      </w:tr>
      <w:tr w:rsidR="009F78D0" w14:paraId="73FBD7FB" w14:textId="77777777" w:rsidTr="00D020A6">
        <w:tc>
          <w:tcPr>
            <w:tcW w:w="3823" w:type="dxa"/>
          </w:tcPr>
          <w:p w14:paraId="5173B677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>
              <w:rPr>
                <w:rFonts w:asciiTheme="minorHAnsi" w:hAnsiTheme="minorHAnsi" w:cs="Segoe UI"/>
                <w:color w:val="000000"/>
              </w:rPr>
              <w:t xml:space="preserve">Subjective congestion </w:t>
            </w:r>
            <w:r w:rsidRPr="00AF022A">
              <w:rPr>
                <w:rFonts w:asciiTheme="minorHAnsi" w:hAnsiTheme="minorHAnsi" w:cs="Segoe UI"/>
                <w:i/>
                <w:color w:val="000000"/>
              </w:rPr>
              <w:t>(present vs. absent)</w:t>
            </w:r>
          </w:p>
        </w:tc>
        <w:tc>
          <w:tcPr>
            <w:tcW w:w="1559" w:type="dxa"/>
          </w:tcPr>
          <w:p w14:paraId="5F2BD277" w14:textId="77777777" w:rsidR="009F78D0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>
              <w:rPr>
                <w:rFonts w:asciiTheme="minorHAnsi" w:hAnsiTheme="minorHAnsi" w:cs="Segoe UI"/>
                <w:color w:val="000000"/>
              </w:rPr>
              <w:t>0.05</w:t>
            </w:r>
          </w:p>
        </w:tc>
        <w:tc>
          <w:tcPr>
            <w:tcW w:w="992" w:type="dxa"/>
          </w:tcPr>
          <w:p w14:paraId="2F360AE7" w14:textId="77777777" w:rsidR="009F78D0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>
              <w:rPr>
                <w:rFonts w:asciiTheme="minorHAnsi" w:hAnsiTheme="minorHAnsi" w:cs="Segoe UI"/>
                <w:b/>
                <w:color w:val="000000"/>
              </w:rPr>
              <w:t>&lt;0.0001</w:t>
            </w:r>
          </w:p>
        </w:tc>
        <w:tc>
          <w:tcPr>
            <w:tcW w:w="1701" w:type="dxa"/>
          </w:tcPr>
          <w:p w14:paraId="474D1A6E" w14:textId="77777777" w:rsidR="009F78D0" w:rsidRPr="00CB14D1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color w:val="000000"/>
              </w:rPr>
            </w:pPr>
            <w:r w:rsidRPr="00CB14D1">
              <w:rPr>
                <w:rFonts w:asciiTheme="minorHAnsi" w:hAnsiTheme="minorHAnsi" w:cs="Segoe UI"/>
                <w:b/>
                <w:color w:val="000000"/>
              </w:rPr>
              <w:t>0.004</w:t>
            </w:r>
          </w:p>
        </w:tc>
      </w:tr>
      <w:tr w:rsidR="009F78D0" w14:paraId="1B658DFD" w14:textId="77777777" w:rsidTr="00D020A6">
        <w:tc>
          <w:tcPr>
            <w:tcW w:w="3823" w:type="dxa"/>
          </w:tcPr>
          <w:p w14:paraId="1F99B936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>
              <w:rPr>
                <w:rFonts w:asciiTheme="minorHAnsi" w:hAnsiTheme="minorHAnsi" w:cs="Segoe UI"/>
                <w:color w:val="000000"/>
              </w:rPr>
              <w:t xml:space="preserve">eGFR </w:t>
            </w:r>
            <w:r w:rsidRPr="009A3C68">
              <w:rPr>
                <w:rFonts w:eastAsia="Times New Roman" w:cs="Calibri"/>
                <w:i/>
                <w:color w:val="000000"/>
                <w:lang w:eastAsia="cs-CZ"/>
              </w:rPr>
              <w:t>(ml.min</w:t>
            </w:r>
            <w:r w:rsidRPr="009A3C68">
              <w:rPr>
                <w:rFonts w:eastAsia="Times New Roman" w:cs="Calibri"/>
                <w:i/>
                <w:color w:val="000000"/>
                <w:vertAlign w:val="superscript"/>
                <w:lang w:eastAsia="cs-CZ"/>
              </w:rPr>
              <w:t>-1</w:t>
            </w:r>
            <w:r w:rsidRPr="009A3C68">
              <w:rPr>
                <w:rFonts w:eastAsia="Times New Roman" w:cs="Calibri"/>
                <w:i/>
                <w:color w:val="000000"/>
                <w:lang w:eastAsia="cs-CZ"/>
              </w:rPr>
              <w:t>.1.73m</w:t>
            </w:r>
            <w:r w:rsidRPr="009A3C68">
              <w:rPr>
                <w:rFonts w:eastAsia="Times New Roman" w:cs="Calibri"/>
                <w:i/>
                <w:color w:val="000000"/>
                <w:vertAlign w:val="superscript"/>
                <w:lang w:eastAsia="cs-CZ"/>
              </w:rPr>
              <w:t>-2</w:t>
            </w:r>
            <w:r w:rsidRPr="009A3C68">
              <w:rPr>
                <w:rFonts w:eastAsia="Times New Roman" w:cs="Calibri"/>
                <w:i/>
                <w:color w:val="000000"/>
                <w:lang w:eastAsia="cs-CZ"/>
              </w:rPr>
              <w:t>)</w:t>
            </w:r>
          </w:p>
        </w:tc>
        <w:tc>
          <w:tcPr>
            <w:tcW w:w="1559" w:type="dxa"/>
          </w:tcPr>
          <w:p w14:paraId="67631E5D" w14:textId="77777777" w:rsidR="009F78D0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>
              <w:rPr>
                <w:rFonts w:asciiTheme="minorHAnsi" w:hAnsiTheme="minorHAnsi" w:cs="Segoe UI"/>
                <w:color w:val="000000"/>
              </w:rPr>
              <w:t>0.02</w:t>
            </w:r>
          </w:p>
        </w:tc>
        <w:tc>
          <w:tcPr>
            <w:tcW w:w="992" w:type="dxa"/>
          </w:tcPr>
          <w:p w14:paraId="6090B624" w14:textId="77777777" w:rsidR="009F78D0" w:rsidRPr="00F5120D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color w:val="000000"/>
              </w:rPr>
            </w:pPr>
            <w:r>
              <w:rPr>
                <w:rFonts w:asciiTheme="minorHAnsi" w:hAnsiTheme="minorHAnsi" w:cs="Segoe UI"/>
                <w:b/>
                <w:color w:val="000000"/>
              </w:rPr>
              <w:t>0.02</w:t>
            </w:r>
          </w:p>
        </w:tc>
        <w:tc>
          <w:tcPr>
            <w:tcW w:w="1701" w:type="dxa"/>
          </w:tcPr>
          <w:p w14:paraId="2AA8738C" w14:textId="77777777" w:rsidR="009F78D0" w:rsidRPr="00CB14D1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color w:val="000000"/>
              </w:rPr>
            </w:pPr>
            <w:r w:rsidRPr="00CB14D1">
              <w:rPr>
                <w:rFonts w:asciiTheme="minorHAnsi" w:hAnsiTheme="minorHAnsi" w:cs="Segoe UI"/>
                <w:b/>
                <w:color w:val="000000"/>
              </w:rPr>
              <w:t>0.04</w:t>
            </w:r>
          </w:p>
        </w:tc>
      </w:tr>
      <w:tr w:rsidR="009F78D0" w14:paraId="5E54B9D7" w14:textId="77777777" w:rsidTr="00D020A6">
        <w:tc>
          <w:tcPr>
            <w:tcW w:w="3823" w:type="dxa"/>
          </w:tcPr>
          <w:p w14:paraId="2204EB5E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 w:rsidRPr="00AF022A">
              <w:rPr>
                <w:rFonts w:asciiTheme="minorHAnsi" w:hAnsiTheme="minorHAnsi" w:cs="Segoe UI"/>
                <w:color w:val="000000"/>
              </w:rPr>
              <w:t>Hb1Ac</w:t>
            </w:r>
            <w:r>
              <w:rPr>
                <w:rFonts w:asciiTheme="minorHAnsi" w:hAnsiTheme="minorHAnsi" w:cs="Segoe UI"/>
                <w:color w:val="000000"/>
              </w:rPr>
              <w:t xml:space="preserve"> (mmol/mol)</w:t>
            </w:r>
          </w:p>
        </w:tc>
        <w:tc>
          <w:tcPr>
            <w:tcW w:w="1559" w:type="dxa"/>
          </w:tcPr>
          <w:p w14:paraId="31C6416D" w14:textId="77777777" w:rsidR="009F78D0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>
              <w:rPr>
                <w:rFonts w:asciiTheme="minorHAnsi" w:hAnsiTheme="minorHAnsi" w:cs="Segoe UI"/>
                <w:color w:val="000000"/>
              </w:rPr>
              <w:t>0.01</w:t>
            </w:r>
          </w:p>
        </w:tc>
        <w:tc>
          <w:tcPr>
            <w:tcW w:w="992" w:type="dxa"/>
          </w:tcPr>
          <w:p w14:paraId="1DC8C8FE" w14:textId="77777777" w:rsidR="009F78D0" w:rsidRPr="007029A2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b/>
                <w:color w:val="000000"/>
              </w:rPr>
            </w:pPr>
            <w:r w:rsidRPr="007029A2">
              <w:rPr>
                <w:rFonts w:asciiTheme="minorHAnsi" w:hAnsiTheme="minorHAnsi" w:cs="Segoe UI"/>
                <w:b/>
                <w:color w:val="000000"/>
              </w:rPr>
              <w:t>0.04</w:t>
            </w:r>
          </w:p>
        </w:tc>
        <w:tc>
          <w:tcPr>
            <w:tcW w:w="1701" w:type="dxa"/>
          </w:tcPr>
          <w:p w14:paraId="3AD37C4F" w14:textId="77777777" w:rsidR="009F78D0" w:rsidRPr="00AF022A" w:rsidRDefault="009F78D0" w:rsidP="00D0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egoe UI"/>
                <w:color w:val="000000"/>
              </w:rPr>
            </w:pPr>
            <w:r>
              <w:rPr>
                <w:rFonts w:asciiTheme="minorHAnsi" w:hAnsiTheme="minorHAnsi" w:cs="Segoe UI"/>
                <w:color w:val="000000"/>
              </w:rPr>
              <w:t>0.30</w:t>
            </w:r>
          </w:p>
        </w:tc>
      </w:tr>
    </w:tbl>
    <w:p w14:paraId="736A5075" w14:textId="28B43D50" w:rsidR="009F78D0" w:rsidRDefault="009F78D0" w:rsidP="009B3129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14:paraId="25A0FA6F" w14:textId="2BB43C08" w:rsidR="00587A4D" w:rsidRDefault="00587A4D" w:rsidP="009B3129">
      <w:pPr>
        <w:rPr>
          <w:b/>
          <w:sz w:val="24"/>
          <w:szCs w:val="24"/>
        </w:rPr>
      </w:pPr>
    </w:p>
    <w:p w14:paraId="3C6FD23A" w14:textId="28E0D450" w:rsidR="00587A4D" w:rsidRDefault="00587A4D" w:rsidP="009B3129">
      <w:pPr>
        <w:rPr>
          <w:b/>
          <w:sz w:val="24"/>
          <w:szCs w:val="24"/>
        </w:rPr>
      </w:pPr>
    </w:p>
    <w:p w14:paraId="543DC15A" w14:textId="602F6DB0" w:rsidR="00587A4D" w:rsidRDefault="00587A4D" w:rsidP="009B3129">
      <w:pPr>
        <w:rPr>
          <w:b/>
          <w:sz w:val="24"/>
          <w:szCs w:val="24"/>
        </w:rPr>
      </w:pPr>
    </w:p>
    <w:p w14:paraId="168FEA88" w14:textId="2A2524F8" w:rsidR="00587A4D" w:rsidRDefault="00587A4D" w:rsidP="009B3129">
      <w:pPr>
        <w:rPr>
          <w:b/>
          <w:sz w:val="24"/>
          <w:szCs w:val="24"/>
        </w:rPr>
      </w:pPr>
    </w:p>
    <w:p w14:paraId="6E081575" w14:textId="472C21C4" w:rsidR="00587A4D" w:rsidRDefault="00587A4D" w:rsidP="009B3129">
      <w:pPr>
        <w:rPr>
          <w:b/>
          <w:sz w:val="24"/>
          <w:szCs w:val="24"/>
        </w:rPr>
      </w:pPr>
    </w:p>
    <w:p w14:paraId="03182437" w14:textId="5031F472" w:rsidR="00587A4D" w:rsidRDefault="00587A4D" w:rsidP="009B3129">
      <w:pPr>
        <w:rPr>
          <w:b/>
          <w:sz w:val="24"/>
          <w:szCs w:val="24"/>
        </w:rPr>
      </w:pPr>
    </w:p>
    <w:sectPr w:rsidR="00587A4D" w:rsidSect="00A809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03D41" w14:textId="77777777" w:rsidR="003B1051" w:rsidRDefault="003B1051">
      <w:pPr>
        <w:spacing w:after="0" w:line="240" w:lineRule="auto"/>
      </w:pPr>
      <w:r>
        <w:separator/>
      </w:r>
    </w:p>
  </w:endnote>
  <w:endnote w:type="continuationSeparator" w:id="0">
    <w:p w14:paraId="6CFDE121" w14:textId="77777777" w:rsidR="003B1051" w:rsidRDefault="003B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2C624" w14:textId="77777777" w:rsidR="00AB50E2" w:rsidRDefault="001B461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C3B70">
      <w:rPr>
        <w:noProof/>
      </w:rPr>
      <w:t>1</w:t>
    </w:r>
    <w:r>
      <w:rPr>
        <w:noProof/>
      </w:rPr>
      <w:fldChar w:fldCharType="end"/>
    </w:r>
  </w:p>
  <w:p w14:paraId="3D1827AC" w14:textId="77777777" w:rsidR="00AB50E2" w:rsidRDefault="003B10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71F2F" w14:textId="77777777" w:rsidR="003B1051" w:rsidRDefault="003B1051">
      <w:pPr>
        <w:spacing w:after="0" w:line="240" w:lineRule="auto"/>
      </w:pPr>
      <w:r>
        <w:separator/>
      </w:r>
    </w:p>
  </w:footnote>
  <w:footnote w:type="continuationSeparator" w:id="0">
    <w:p w14:paraId="548285DD" w14:textId="77777777" w:rsidR="003B1051" w:rsidRDefault="003B1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5E0A6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FD4D21"/>
    <w:multiLevelType w:val="hybridMultilevel"/>
    <w:tmpl w:val="5A0846C4"/>
    <w:lvl w:ilvl="0" w:tplc="79F2A4AE">
      <w:start w:val="4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F78D0"/>
    <w:rsid w:val="00022332"/>
    <w:rsid w:val="001B4615"/>
    <w:rsid w:val="001C3B70"/>
    <w:rsid w:val="002344A1"/>
    <w:rsid w:val="002F39E7"/>
    <w:rsid w:val="003B1051"/>
    <w:rsid w:val="00447EAE"/>
    <w:rsid w:val="00587A4D"/>
    <w:rsid w:val="0071381A"/>
    <w:rsid w:val="00864F4D"/>
    <w:rsid w:val="008C7554"/>
    <w:rsid w:val="00906BB5"/>
    <w:rsid w:val="00915107"/>
    <w:rsid w:val="009B3129"/>
    <w:rsid w:val="009F78D0"/>
    <w:rsid w:val="00B118E3"/>
    <w:rsid w:val="00F03542"/>
    <w:rsid w:val="00FB162F"/>
    <w:rsid w:val="00F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A3BA"/>
  <w15:chartTrackingRefBased/>
  <w15:docId w15:val="{3F3C1392-6A40-4CCC-B905-249B5F2E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78D0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ednmka21">
    <w:name w:val="Střední mřížka 21"/>
    <w:basedOn w:val="Normln"/>
    <w:uiPriority w:val="1"/>
    <w:qFormat/>
    <w:rsid w:val="009F78D0"/>
    <w:pPr>
      <w:spacing w:after="0" w:line="240" w:lineRule="auto"/>
    </w:pPr>
    <w:rPr>
      <w:rFonts w:eastAsia="Times New Roman"/>
      <w:noProof/>
      <w:sz w:val="24"/>
      <w:szCs w:val="32"/>
      <w:lang w:val="en-GB"/>
    </w:rPr>
  </w:style>
  <w:style w:type="character" w:styleId="Hypertextovodkaz">
    <w:name w:val="Hyperlink"/>
    <w:uiPriority w:val="99"/>
    <w:unhideWhenUsed/>
    <w:rsid w:val="009F78D0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9F78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78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F78D0"/>
    <w:rPr>
      <w:rFonts w:ascii="Calibri" w:eastAsia="Calibri" w:hAnsi="Calibri" w:cs="Times New Roman"/>
      <w:sz w:val="20"/>
      <w:szCs w:val="20"/>
      <w:lang w:val="en-US"/>
    </w:rPr>
  </w:style>
  <w:style w:type="paragraph" w:styleId="Zpat">
    <w:name w:val="footer"/>
    <w:basedOn w:val="Normln"/>
    <w:link w:val="ZpatChar"/>
    <w:uiPriority w:val="99"/>
    <w:unhideWhenUsed/>
    <w:rsid w:val="009F78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9F78D0"/>
    <w:rPr>
      <w:rFonts w:ascii="Calibri" w:eastAsia="Calibri" w:hAnsi="Calibri" w:cs="Times New Roman"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8D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F78D0"/>
    <w:rPr>
      <w:rFonts w:ascii="Tahoma" w:eastAsia="Calibri" w:hAnsi="Tahoma" w:cs="Times New Roman"/>
      <w:sz w:val="16"/>
      <w:szCs w:val="16"/>
      <w:lang w:val="en-US"/>
    </w:rPr>
  </w:style>
  <w:style w:type="character" w:customStyle="1" w:styleId="PedmtkomenteChar">
    <w:name w:val="Předmět komentáře Char"/>
    <w:link w:val="Pedmtkomente"/>
    <w:uiPriority w:val="99"/>
    <w:semiHidden/>
    <w:rsid w:val="009F78D0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78D0"/>
    <w:pPr>
      <w:spacing w:line="276" w:lineRule="auto"/>
    </w:pPr>
    <w:rPr>
      <w:b/>
      <w:bCs/>
    </w:rPr>
  </w:style>
  <w:style w:type="character" w:customStyle="1" w:styleId="PedmtkomenteChar1">
    <w:name w:val="Předmět komentáře Char1"/>
    <w:uiPriority w:val="99"/>
    <w:semiHidden/>
    <w:rsid w:val="009F78D0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highlight2">
    <w:name w:val="highlight2"/>
    <w:rsid w:val="009F78D0"/>
  </w:style>
  <w:style w:type="character" w:customStyle="1" w:styleId="current-selection">
    <w:name w:val="current-selection"/>
    <w:rsid w:val="009F78D0"/>
  </w:style>
  <w:style w:type="character" w:customStyle="1" w:styleId="ff2">
    <w:name w:val="ff2"/>
    <w:rsid w:val="009F78D0"/>
  </w:style>
  <w:style w:type="character" w:customStyle="1" w:styleId="a">
    <w:name w:val="_"/>
    <w:rsid w:val="009F78D0"/>
  </w:style>
  <w:style w:type="paragraph" w:customStyle="1" w:styleId="Barevnstnovnzvraznn11">
    <w:name w:val="Barevné stínování – zvýraznění 11"/>
    <w:hidden/>
    <w:uiPriority w:val="99"/>
    <w:semiHidden/>
    <w:rsid w:val="009F78D0"/>
    <w:pPr>
      <w:spacing w:after="0" w:line="240" w:lineRule="auto"/>
    </w:pPr>
    <w:rPr>
      <w:rFonts w:ascii="Calibri" w:eastAsia="Calibri" w:hAnsi="Calibri" w:cs="Times New Roman"/>
    </w:rPr>
  </w:style>
  <w:style w:type="character" w:styleId="Zdraznn">
    <w:name w:val="Emphasis"/>
    <w:uiPriority w:val="20"/>
    <w:qFormat/>
    <w:rsid w:val="009F78D0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9F78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F78D0"/>
    <w:rPr>
      <w:rFonts w:ascii="Calibri" w:eastAsia="Calibri" w:hAnsi="Calibri" w:cs="Times New Roman"/>
      <w:lang w:val="en-US"/>
    </w:rPr>
  </w:style>
  <w:style w:type="paragraph" w:styleId="Bezmezer">
    <w:name w:val="No Spacing"/>
    <w:basedOn w:val="Normln"/>
    <w:uiPriority w:val="1"/>
    <w:qFormat/>
    <w:rsid w:val="009F78D0"/>
    <w:pPr>
      <w:spacing w:after="0" w:line="240" w:lineRule="auto"/>
    </w:pPr>
    <w:rPr>
      <w:rFonts w:eastAsia="Times New Roman"/>
      <w:noProof/>
      <w:sz w:val="24"/>
      <w:szCs w:val="32"/>
      <w:lang w:val="en-GB"/>
    </w:rPr>
  </w:style>
  <w:style w:type="paragraph" w:styleId="Normlnweb">
    <w:name w:val="Normal (Web)"/>
    <w:basedOn w:val="Normln"/>
    <w:uiPriority w:val="99"/>
    <w:semiHidden/>
    <w:unhideWhenUsed/>
    <w:rsid w:val="009F78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Revize">
    <w:name w:val="Revision"/>
    <w:hidden/>
    <w:uiPriority w:val="71"/>
    <w:unhideWhenUsed/>
    <w:rsid w:val="009F78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uthorsname">
    <w:name w:val="authors__name"/>
    <w:basedOn w:val="Standardnpsmoodstavce"/>
    <w:rsid w:val="009F78D0"/>
  </w:style>
  <w:style w:type="paragraph" w:customStyle="1" w:styleId="EndNoteBibliographyTitle">
    <w:name w:val="EndNote Bibliography Title"/>
    <w:basedOn w:val="Normln"/>
    <w:link w:val="EndNoteBibliographyTitleChar"/>
    <w:rsid w:val="009F78D0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9F78D0"/>
    <w:rPr>
      <w:rFonts w:ascii="Calibri" w:eastAsia="Calibri" w:hAnsi="Calibri" w:cs="Times New Roman"/>
      <w:noProof/>
      <w:lang w:val="en-US"/>
    </w:rPr>
  </w:style>
  <w:style w:type="paragraph" w:customStyle="1" w:styleId="EndNoteBibliography">
    <w:name w:val="EndNote Bibliography"/>
    <w:basedOn w:val="Normln"/>
    <w:link w:val="EndNoteBibliographyChar"/>
    <w:rsid w:val="009F78D0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9F78D0"/>
    <w:rPr>
      <w:rFonts w:ascii="Calibri" w:eastAsia="Calibri" w:hAnsi="Calibri" w:cs="Times New Roman"/>
      <w:noProof/>
      <w:lang w:val="en-US"/>
    </w:rPr>
  </w:style>
  <w:style w:type="table" w:styleId="Mkatabulky">
    <w:name w:val="Table Grid"/>
    <w:basedOn w:val="Normlntabulka"/>
    <w:uiPriority w:val="39"/>
    <w:rsid w:val="009F78D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72"/>
    <w:qFormat/>
    <w:rsid w:val="009F78D0"/>
    <w:pPr>
      <w:ind w:left="720"/>
      <w:contextualSpacing/>
    </w:pPr>
  </w:style>
  <w:style w:type="character" w:styleId="Zstupntext">
    <w:name w:val="Placeholder Text"/>
    <w:basedOn w:val="Standardnpsmoodstavce"/>
    <w:uiPriority w:val="99"/>
    <w:unhideWhenUsed/>
    <w:rsid w:val="009F78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Institut klinické a experimentální medicíny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MUDr. Jan Beneš, Ph.D.</dc:creator>
  <cp:keywords/>
  <dc:description/>
  <cp:lastModifiedBy>MUDr. Jan Beneš, Ph.D.</cp:lastModifiedBy>
  <cp:revision>6</cp:revision>
  <dcterms:created xsi:type="dcterms:W3CDTF">2023-03-28T14:24:00Z</dcterms:created>
  <dcterms:modified xsi:type="dcterms:W3CDTF">2023-09-08T07:07:00Z</dcterms:modified>
</cp:coreProperties>
</file>