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174" w:rsidRPr="006072A6" w:rsidRDefault="00860174" w:rsidP="00860174">
      <w:pPr>
        <w:spacing w:line="480" w:lineRule="auto"/>
        <w:jc w:val="center"/>
        <w:rPr>
          <w:rFonts w:ascii="Times New Roman" w:hAnsi="Times New Roman" w:cs="Times New Roman"/>
          <w:b/>
          <w:sz w:val="24"/>
        </w:rPr>
      </w:pPr>
      <w:bookmarkStart w:id="0" w:name="_GoBack"/>
      <w:r w:rsidRPr="006072A6">
        <w:rPr>
          <w:rFonts w:ascii="Times New Roman" w:hAnsi="Times New Roman" w:cs="Times New Roman"/>
          <w:b/>
          <w:sz w:val="24"/>
        </w:rPr>
        <w:t xml:space="preserve">Preventive effect of teriparatide on </w:t>
      </w:r>
      <w:r w:rsidR="003F1388">
        <w:rPr>
          <w:rFonts w:ascii="Times New Roman" w:hAnsi="Times New Roman" w:cs="Times New Roman"/>
          <w:b/>
          <w:sz w:val="24"/>
        </w:rPr>
        <w:t>medication-related osteonecrosis of the jaw</w:t>
      </w:r>
      <w:r w:rsidRPr="006072A6">
        <w:rPr>
          <w:rFonts w:ascii="Times New Roman" w:hAnsi="Times New Roman" w:cs="Times New Roman"/>
          <w:b/>
          <w:sz w:val="24"/>
        </w:rPr>
        <w:t xml:space="preserve"> in rats</w:t>
      </w:r>
    </w:p>
    <w:p w:rsidR="00860174" w:rsidRPr="006072A6" w:rsidRDefault="00860174" w:rsidP="00860174">
      <w:pPr>
        <w:spacing w:line="480" w:lineRule="auto"/>
        <w:jc w:val="center"/>
        <w:rPr>
          <w:rFonts w:ascii="Times New Roman" w:hAnsi="Times New Roman" w:cs="Times New Roman"/>
          <w:b/>
          <w:sz w:val="24"/>
        </w:rPr>
      </w:pPr>
      <w:r w:rsidRPr="006072A6">
        <w:rPr>
          <w:rFonts w:ascii="Times New Roman" w:hAnsi="Times New Roman" w:cs="Times New Roman"/>
          <w:sz w:val="24"/>
        </w:rPr>
        <w:t>Kyeong-Mee Park</w:t>
      </w:r>
      <w:r w:rsidRPr="006072A6">
        <w:rPr>
          <w:rFonts w:ascii="Times New Roman" w:hAnsi="Times New Roman" w:cs="Times New Roman"/>
          <w:sz w:val="24"/>
          <w:vertAlign w:val="superscript"/>
        </w:rPr>
        <w:t>1</w:t>
      </w:r>
      <w:r w:rsidRPr="006072A6">
        <w:rPr>
          <w:rFonts w:ascii="Times New Roman" w:eastAsia="Malgun Gothic" w:hAnsi="Times New Roman" w:cs="Times New Roman"/>
          <w:sz w:val="22"/>
          <w:vertAlign w:val="superscript"/>
        </w:rPr>
        <w:t>†</w:t>
      </w:r>
      <w:r w:rsidRPr="006072A6">
        <w:rPr>
          <w:rFonts w:ascii="Times New Roman" w:hAnsi="Times New Roman" w:cs="Times New Roman"/>
          <w:sz w:val="24"/>
        </w:rPr>
        <w:t>, Namkwon Lee</w:t>
      </w:r>
      <w:r w:rsidRPr="006072A6">
        <w:rPr>
          <w:rFonts w:ascii="Times New Roman" w:hAnsi="Times New Roman" w:cs="Times New Roman"/>
          <w:sz w:val="24"/>
          <w:vertAlign w:val="superscript"/>
        </w:rPr>
        <w:t>2</w:t>
      </w:r>
      <w:r w:rsidRPr="006072A6">
        <w:rPr>
          <w:rFonts w:ascii="Times New Roman" w:eastAsia="Malgun Gothic" w:hAnsi="Times New Roman" w:cs="Times New Roman"/>
          <w:sz w:val="22"/>
          <w:vertAlign w:val="superscript"/>
        </w:rPr>
        <w:t>†</w:t>
      </w:r>
      <w:r w:rsidRPr="006072A6">
        <w:rPr>
          <w:rFonts w:ascii="Times New Roman" w:hAnsi="Times New Roman" w:cs="Times New Roman"/>
          <w:sz w:val="24"/>
        </w:rPr>
        <w:t xml:space="preserve">, </w:t>
      </w:r>
      <w:r w:rsidR="003F1388">
        <w:rPr>
          <w:rFonts w:ascii="Times New Roman" w:hAnsi="Times New Roman" w:cs="Times New Roman"/>
          <w:sz w:val="24"/>
        </w:rPr>
        <w:t>Jaeyeon</w:t>
      </w:r>
      <w:r w:rsidRPr="006072A6">
        <w:rPr>
          <w:rFonts w:ascii="Times New Roman" w:hAnsi="Times New Roman" w:cs="Times New Roman"/>
          <w:sz w:val="24"/>
        </w:rPr>
        <w:t xml:space="preserve"> Kim</w:t>
      </w:r>
      <w:r w:rsidRPr="006072A6">
        <w:rPr>
          <w:rFonts w:ascii="Times New Roman" w:hAnsi="Times New Roman" w:cs="Times New Roman"/>
          <w:sz w:val="24"/>
          <w:vertAlign w:val="superscript"/>
        </w:rPr>
        <w:t>2</w:t>
      </w:r>
      <w:r w:rsidRPr="006072A6">
        <w:rPr>
          <w:rFonts w:ascii="Times New Roman" w:hAnsi="Times New Roman" w:cs="Times New Roman"/>
          <w:sz w:val="24"/>
        </w:rPr>
        <w:t>, Hyun Sil Kim</w:t>
      </w:r>
      <w:r w:rsidRPr="006072A6">
        <w:rPr>
          <w:rFonts w:ascii="Times New Roman" w:hAnsi="Times New Roman" w:cs="Times New Roman"/>
          <w:sz w:val="24"/>
          <w:vertAlign w:val="superscript"/>
        </w:rPr>
        <w:t>3</w:t>
      </w:r>
      <w:r w:rsidRPr="006072A6">
        <w:rPr>
          <w:rFonts w:ascii="Times New Roman" w:hAnsi="Times New Roman" w:cs="Times New Roman"/>
          <w:sz w:val="24"/>
        </w:rPr>
        <w:t>, Wonse Park</w:t>
      </w:r>
      <w:r w:rsidRPr="006072A6">
        <w:rPr>
          <w:rFonts w:ascii="Times New Roman" w:hAnsi="Times New Roman" w:cs="Times New Roman"/>
          <w:sz w:val="24"/>
          <w:vertAlign w:val="superscript"/>
        </w:rPr>
        <w:t>2*</w:t>
      </w:r>
    </w:p>
    <w:p w:rsidR="00860174" w:rsidRPr="006072A6" w:rsidRDefault="00860174" w:rsidP="00527E26">
      <w:pPr>
        <w:spacing w:line="480" w:lineRule="auto"/>
        <w:rPr>
          <w:rFonts w:ascii="Times New Roman" w:hAnsi="Times New Roman" w:cs="Times New Roman"/>
          <w:b/>
          <w:sz w:val="24"/>
        </w:rPr>
      </w:pPr>
      <w:r w:rsidRPr="006072A6">
        <w:rPr>
          <w:rFonts w:ascii="Times New Roman" w:hAnsi="Times New Roman" w:cs="Times New Roman"/>
          <w:b/>
          <w:sz w:val="24"/>
        </w:rPr>
        <w:t>Appendix</w:t>
      </w:r>
    </w:p>
    <w:p w:rsidR="00860174" w:rsidRPr="006072A6" w:rsidRDefault="00860174" w:rsidP="00527E26">
      <w:pPr>
        <w:spacing w:line="480" w:lineRule="auto"/>
        <w:rPr>
          <w:rFonts w:ascii="Times New Roman" w:hAnsi="Times New Roman" w:cs="Times New Roman"/>
          <w:b/>
          <w:sz w:val="24"/>
        </w:rPr>
      </w:pPr>
    </w:p>
    <w:p w:rsidR="00151334" w:rsidRPr="006072A6" w:rsidRDefault="00527E26" w:rsidP="00527E26">
      <w:pPr>
        <w:spacing w:line="480" w:lineRule="auto"/>
        <w:rPr>
          <w:rFonts w:ascii="Times New Roman" w:hAnsi="Times New Roman" w:cs="Times New Roman"/>
          <w:b/>
          <w:sz w:val="24"/>
        </w:rPr>
      </w:pPr>
      <w:r w:rsidRPr="006072A6">
        <w:rPr>
          <w:rFonts w:ascii="Times New Roman" w:hAnsi="Times New Roman" w:cs="Times New Roman"/>
          <w:b/>
          <w:sz w:val="24"/>
        </w:rPr>
        <w:t>Materials and Methods</w:t>
      </w:r>
    </w:p>
    <w:p w:rsidR="00527E26" w:rsidRPr="006072A6" w:rsidRDefault="00527E26" w:rsidP="00527E26">
      <w:pPr>
        <w:spacing w:line="480" w:lineRule="auto"/>
        <w:rPr>
          <w:rFonts w:ascii="Times New Roman" w:hAnsi="Times New Roman" w:cs="Times New Roman"/>
          <w:b/>
          <w:i/>
          <w:sz w:val="24"/>
        </w:rPr>
      </w:pPr>
      <w:r w:rsidRPr="006072A6">
        <w:rPr>
          <w:rFonts w:ascii="Times New Roman" w:hAnsi="Times New Roman" w:cs="Times New Roman"/>
          <w:b/>
          <w:i/>
          <w:sz w:val="24"/>
        </w:rPr>
        <w:t>Animals</w:t>
      </w:r>
    </w:p>
    <w:p w:rsidR="00527E26" w:rsidRPr="006072A6" w:rsidRDefault="00527E26" w:rsidP="006072A6">
      <w:pPr>
        <w:spacing w:line="480" w:lineRule="auto"/>
        <w:ind w:firstLineChars="150" w:firstLine="330"/>
        <w:rPr>
          <w:rFonts w:ascii="Times New Roman" w:eastAsia="Malgun Gothic" w:hAnsi="Times New Roman" w:cs="Times New Roman"/>
          <w:color w:val="000000"/>
          <w:sz w:val="22"/>
          <w:lang w:val="en-GB"/>
        </w:rPr>
      </w:pPr>
      <w:r w:rsidRPr="006072A6">
        <w:rPr>
          <w:rFonts w:ascii="Times New Roman" w:eastAsia="Malgun Gothic" w:hAnsi="Times New Roman" w:cs="Times New Roman"/>
          <w:color w:val="000000"/>
          <w:sz w:val="22"/>
          <w:lang w:val="en-GB"/>
        </w:rPr>
        <w:t xml:space="preserve">Thirty skeletally mature 12-week-old 250 g female Sprague-Dawley rats (Orientbio , </w:t>
      </w:r>
      <w:r w:rsidR="00BA44BD">
        <w:rPr>
          <w:rFonts w:ascii="Times New Roman" w:eastAsia="Malgun Gothic" w:hAnsi="Times New Roman" w:cs="Times New Roman"/>
          <w:color w:val="000000"/>
          <w:sz w:val="22"/>
          <w:lang w:val="en-GB"/>
        </w:rPr>
        <w:t>Suwon</w:t>
      </w:r>
      <w:r w:rsidRPr="006072A6">
        <w:rPr>
          <w:rFonts w:ascii="Times New Roman" w:eastAsia="Malgun Gothic" w:hAnsi="Times New Roman" w:cs="Times New Roman"/>
          <w:color w:val="000000"/>
          <w:sz w:val="22"/>
          <w:lang w:val="en-GB"/>
        </w:rPr>
        <w:t>, Korea) were used in this study. All animals were housed and experiments were conducted under the supervision of the Laboratory Animals Department of the Avison Medical Life Research Center, Yonsei University College of Medicine. All experimental procedures were conducted in accordance with the accreditation standards of the International Association for Assessment and Accreditation of Laboratory Animal Care. Three animals were housed per cage at a temperature of 20±5°C and humidity of 50%±10%, with a 12-hour light-dark cycle, and a standard laboratory diet provided ad libitum. The animals were acclimatized for one week prior to the commencement of the experiments. Animal selection, management, surgical protocol, and preparation followed routine protocols approved by the Institutional Animal Care and Use Committee of Yonsei Medical Center, Seoul, Korea (IACUC No. 2018-0210).</w:t>
      </w:r>
    </w:p>
    <w:p w:rsidR="00922447" w:rsidRPr="006072A6" w:rsidRDefault="00922447" w:rsidP="00527E26">
      <w:pPr>
        <w:spacing w:line="480" w:lineRule="auto"/>
        <w:rPr>
          <w:rFonts w:ascii="Times New Roman" w:eastAsia="Malgun Gothic" w:hAnsi="Times New Roman" w:cs="Times New Roman"/>
          <w:color w:val="000000"/>
          <w:sz w:val="22"/>
          <w:lang w:val="en-GB"/>
        </w:rPr>
      </w:pPr>
    </w:p>
    <w:p w:rsidR="00922447" w:rsidRPr="006072A6" w:rsidRDefault="00922447" w:rsidP="00922447">
      <w:pPr>
        <w:spacing w:line="480" w:lineRule="auto"/>
        <w:rPr>
          <w:rFonts w:ascii="Times New Roman" w:hAnsi="Times New Roman" w:cs="Times New Roman"/>
          <w:b/>
          <w:i/>
          <w:sz w:val="24"/>
        </w:rPr>
      </w:pPr>
      <w:r w:rsidRPr="006072A6">
        <w:rPr>
          <w:rFonts w:ascii="Times New Roman" w:hAnsi="Times New Roman" w:cs="Times New Roman"/>
          <w:b/>
          <w:i/>
          <w:sz w:val="24"/>
        </w:rPr>
        <w:t>Experimental design</w:t>
      </w:r>
    </w:p>
    <w:p w:rsidR="006072A6" w:rsidRPr="006072A6" w:rsidRDefault="00922447" w:rsidP="006072A6">
      <w:pPr>
        <w:spacing w:line="480" w:lineRule="auto"/>
        <w:ind w:firstLineChars="150" w:firstLine="330"/>
        <w:rPr>
          <w:rFonts w:ascii="Times New Roman" w:eastAsia="Malgun Gothic" w:hAnsi="Times New Roman" w:cs="Times New Roman"/>
          <w:sz w:val="22"/>
          <w:szCs w:val="24"/>
        </w:rPr>
      </w:pPr>
      <w:r w:rsidRPr="006072A6">
        <w:rPr>
          <w:rFonts w:ascii="Times New Roman" w:eastAsia="Malgun Gothic" w:hAnsi="Times New Roman" w:cs="Times New Roman"/>
          <w:color w:val="000000"/>
          <w:sz w:val="22"/>
          <w:lang w:val="en-GB"/>
        </w:rPr>
        <w:t>T</w:t>
      </w:r>
      <w:r w:rsidR="00563959" w:rsidRPr="006072A6">
        <w:rPr>
          <w:rFonts w:ascii="Times New Roman" w:eastAsia="Malgun Gothic" w:hAnsi="Times New Roman" w:cs="Times New Roman"/>
          <w:color w:val="000000"/>
          <w:sz w:val="22"/>
          <w:lang w:val="en-GB"/>
        </w:rPr>
        <w:t xml:space="preserve">he sample size was established based on the results of our pilot study. </w:t>
      </w:r>
      <w:r w:rsidR="006072A6" w:rsidRPr="006072A6">
        <w:rPr>
          <w:rFonts w:ascii="Times New Roman" w:eastAsia="Malgun Gothic" w:hAnsi="Times New Roman" w:cs="Times New Roman"/>
          <w:sz w:val="22"/>
          <w:szCs w:val="24"/>
        </w:rPr>
        <w:t>Body weight was measured every week from before ovariectomy until the end of the experiment. All animals were subjected to bilateral ovariectomy under general anesthesia to induce osteoporosis. General anesthesia was performed by intraperitoneal injection of combined tiletamine and zolazepam (Zoletil</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xml:space="preserve"> Virbac lab</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xml:space="preserve"> Carros, France </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50mg/ml, 0.6ml/kg</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and xylazine (Rompun</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xml:space="preserve"> Bayer, Leverkusen, Germany </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23.32 mg/ml, 0.4 ml/kg</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For relief of infection and pain after OVX, meloxicam (Metacam</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xml:space="preserve"> Boehringer </w:t>
      </w:r>
      <w:r w:rsidR="006072A6" w:rsidRPr="006072A6">
        <w:rPr>
          <w:rFonts w:ascii="Times New Roman" w:eastAsia="Malgun Gothic" w:hAnsi="Times New Roman" w:cs="Times New Roman"/>
          <w:sz w:val="22"/>
          <w:szCs w:val="24"/>
        </w:rPr>
        <w:lastRenderedPageBreak/>
        <w:t xml:space="preserve">Ingelheim, Rhein, Germany </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1 mg/kg, once a day for 5 days</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and enfloxacin (Baytril</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xml:space="preserve"> Bayer, </w:t>
      </w:r>
      <w:r w:rsidR="00BA44BD" w:rsidRPr="006072A6">
        <w:rPr>
          <w:rFonts w:ascii="Times New Roman" w:eastAsia="Malgun Gothic" w:hAnsi="Times New Roman" w:cs="Times New Roman"/>
          <w:sz w:val="22"/>
          <w:szCs w:val="24"/>
        </w:rPr>
        <w:t>Leverkusen,</w:t>
      </w:r>
      <w:r w:rsidR="00BA44BD">
        <w:rPr>
          <w:rFonts w:ascii="Times New Roman" w:eastAsia="Malgun Gothic" w:hAnsi="Times New Roman" w:cs="Times New Roman"/>
          <w:sz w:val="22"/>
          <w:szCs w:val="24"/>
        </w:rPr>
        <w:t xml:space="preserve"> </w:t>
      </w:r>
      <w:r w:rsidR="006072A6" w:rsidRPr="006072A6">
        <w:rPr>
          <w:rFonts w:ascii="Times New Roman" w:eastAsia="Malgun Gothic" w:hAnsi="Times New Roman" w:cs="Times New Roman"/>
          <w:sz w:val="22"/>
          <w:szCs w:val="24"/>
        </w:rPr>
        <w:t xml:space="preserve">Germany </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10 mg/kg, once a day for 5 days</w:t>
      </w:r>
      <w:r w:rsidR="00BA44BD">
        <w:rPr>
          <w:rFonts w:ascii="Times New Roman" w:eastAsia="Malgun Gothic" w:hAnsi="Times New Roman" w:cs="Times New Roman"/>
          <w:sz w:val="22"/>
          <w:szCs w:val="24"/>
        </w:rPr>
        <w:t>]</w:t>
      </w:r>
      <w:r w:rsidR="006072A6" w:rsidRPr="006072A6">
        <w:rPr>
          <w:rFonts w:ascii="Times New Roman" w:eastAsia="Malgun Gothic" w:hAnsi="Times New Roman" w:cs="Times New Roman"/>
          <w:sz w:val="22"/>
          <w:szCs w:val="24"/>
        </w:rPr>
        <w:t>) was administered subcutaneously.</w:t>
      </w:r>
    </w:p>
    <w:p w:rsidR="006072A6" w:rsidRDefault="006072A6" w:rsidP="006072A6">
      <w:pPr>
        <w:spacing w:line="480" w:lineRule="auto"/>
        <w:ind w:firstLineChars="150" w:firstLine="330"/>
        <w:rPr>
          <w:rFonts w:ascii="Times New Roman" w:eastAsia="Malgun Gothic" w:hAnsi="Times New Roman" w:cs="Times New Roman"/>
          <w:sz w:val="22"/>
          <w:szCs w:val="24"/>
        </w:rPr>
      </w:pPr>
      <w:r w:rsidRPr="006072A6">
        <w:rPr>
          <w:rFonts w:ascii="Times New Roman" w:eastAsia="Malgun Gothic" w:hAnsi="Times New Roman" w:cs="Times New Roman"/>
          <w:sz w:val="22"/>
          <w:szCs w:val="24"/>
        </w:rPr>
        <w:t>Eight weeks post ovariectomy, after general anesthesia, local anesthesia (2% lidocaine hydrochloride with 1: 80,000 epinephrine) was administered, and periodontitis was induced by ligation of the mandibular second molar with 4-0 black silk (Mersilk</w:t>
      </w:r>
      <w:r w:rsidR="00BA44BD">
        <w:rPr>
          <w:rFonts w:ascii="Times New Roman" w:eastAsia="Malgun Gothic" w:hAnsi="Times New Roman" w:cs="Times New Roman"/>
          <w:sz w:val="22"/>
          <w:szCs w:val="24"/>
        </w:rPr>
        <w:t>;</w:t>
      </w:r>
      <w:r w:rsidRPr="006072A6">
        <w:rPr>
          <w:rFonts w:ascii="Times New Roman" w:eastAsia="Malgun Gothic" w:hAnsi="Times New Roman" w:cs="Times New Roman"/>
          <w:sz w:val="22"/>
          <w:szCs w:val="24"/>
        </w:rPr>
        <w:t xml:space="preserve"> Ethicon,</w:t>
      </w:r>
      <w:r w:rsidR="00BA44BD">
        <w:rPr>
          <w:rFonts w:ascii="Times New Roman" w:eastAsia="Malgun Gothic" w:hAnsi="Times New Roman" w:cs="Times New Roman"/>
          <w:sz w:val="22"/>
          <w:szCs w:val="24"/>
        </w:rPr>
        <w:t xml:space="preserve"> New Jersey,</w:t>
      </w:r>
      <w:r w:rsidRPr="006072A6">
        <w:rPr>
          <w:rFonts w:ascii="Times New Roman" w:eastAsia="Malgun Gothic" w:hAnsi="Times New Roman" w:cs="Times New Roman"/>
          <w:sz w:val="22"/>
          <w:szCs w:val="24"/>
        </w:rPr>
        <w:t xml:space="preserve"> U</w:t>
      </w:r>
      <w:r w:rsidR="00BA44BD">
        <w:rPr>
          <w:rFonts w:ascii="Times New Roman" w:eastAsia="Malgun Gothic" w:hAnsi="Times New Roman" w:cs="Times New Roman"/>
          <w:sz w:val="22"/>
          <w:szCs w:val="24"/>
        </w:rPr>
        <w:t>SA</w:t>
      </w:r>
      <w:r w:rsidRPr="006072A6">
        <w:rPr>
          <w:rFonts w:ascii="Times New Roman" w:eastAsia="Malgun Gothic" w:hAnsi="Times New Roman" w:cs="Times New Roman"/>
          <w:sz w:val="22"/>
          <w:szCs w:val="24"/>
        </w:rPr>
        <w:t>).</w:t>
      </w:r>
      <w:r w:rsidRPr="006072A6">
        <w:rPr>
          <w:rFonts w:ascii="Times New Roman" w:eastAsia="Malgun Gothic" w:hAnsi="Times New Roman" w:cs="Times New Roman"/>
          <w:b/>
          <w:sz w:val="22"/>
          <w:szCs w:val="24"/>
        </w:rPr>
        <w:t xml:space="preserve"> </w:t>
      </w:r>
      <w:r w:rsidRPr="006072A6">
        <w:rPr>
          <w:rFonts w:ascii="Times New Roman" w:eastAsia="Malgun Gothic" w:hAnsi="Times New Roman" w:cs="Times New Roman"/>
          <w:sz w:val="22"/>
          <w:szCs w:val="24"/>
        </w:rPr>
        <w:t>After silk ligation, the knot was tied three times in the linguo-distal direction</w:t>
      </w:r>
      <w:r>
        <w:rPr>
          <w:rFonts w:ascii="Times New Roman" w:eastAsia="Malgun Gothic" w:hAnsi="Times New Roman" w:cs="Times New Roman"/>
          <w:sz w:val="22"/>
          <w:szCs w:val="24"/>
        </w:rPr>
        <w:t>.</w:t>
      </w:r>
    </w:p>
    <w:p w:rsidR="006072A6" w:rsidRPr="006072A6" w:rsidRDefault="003B0F11" w:rsidP="006072A6">
      <w:pPr>
        <w:spacing w:line="480" w:lineRule="auto"/>
        <w:ind w:firstLineChars="150" w:firstLine="330"/>
        <w:rPr>
          <w:rFonts w:ascii="Times New Roman" w:eastAsia="Malgun Gothic" w:hAnsi="Times New Roman" w:cs="Times New Roman"/>
          <w:color w:val="000000"/>
          <w:sz w:val="22"/>
          <w:lang w:val="en-GB"/>
        </w:rPr>
      </w:pPr>
      <w:r w:rsidRPr="003B0F11">
        <w:rPr>
          <w:rFonts w:ascii="Times New Roman" w:eastAsia="Malgun Gothic" w:hAnsi="Times New Roman" w:cs="Times New Roman"/>
          <w:color w:val="000000"/>
          <w:sz w:val="22"/>
          <w:lang w:val="en-GB"/>
        </w:rPr>
        <w:t>Intensive observation was conducted for one week after surgery to see if any unexpected side effects occurred, and weekly monitoring was performed during the experimental period.</w:t>
      </w:r>
      <w:r w:rsidR="00385345">
        <w:rPr>
          <w:rFonts w:ascii="Times New Roman" w:eastAsia="Malgun Gothic" w:hAnsi="Times New Roman" w:cs="Times New Roman"/>
          <w:color w:val="000000"/>
          <w:sz w:val="22"/>
          <w:lang w:val="en-GB"/>
        </w:rPr>
        <w:t xml:space="preserve"> </w:t>
      </w:r>
      <w:r w:rsidR="009360F2" w:rsidRPr="009360F2">
        <w:rPr>
          <w:rFonts w:ascii="Times New Roman" w:eastAsia="Malgun Gothic" w:hAnsi="Times New Roman" w:cs="Times New Roman"/>
          <w:color w:val="000000"/>
          <w:sz w:val="22"/>
          <w:lang w:val="en-GB"/>
        </w:rPr>
        <w:t>The order of treatment and measurement of animals was randomized to minimize potential confounding factors.</w:t>
      </w:r>
      <w:r w:rsidR="00F16024">
        <w:rPr>
          <w:rFonts w:ascii="Times New Roman" w:eastAsia="Malgun Gothic" w:hAnsi="Times New Roman" w:cs="Times New Roman"/>
          <w:color w:val="000000"/>
          <w:sz w:val="22"/>
          <w:lang w:val="en-GB"/>
        </w:rPr>
        <w:t xml:space="preserve"> </w:t>
      </w:r>
      <w:r w:rsidR="006072A6" w:rsidRPr="006072A6">
        <w:rPr>
          <w:rFonts w:ascii="Times New Roman" w:eastAsia="Malgun Gothic" w:hAnsi="Times New Roman" w:cs="Times New Roman"/>
          <w:color w:val="000000"/>
          <w:sz w:val="22"/>
          <w:lang w:val="en-GB"/>
        </w:rPr>
        <w:t>A</w:t>
      </w:r>
      <w:r w:rsidR="00F16024">
        <w:rPr>
          <w:rFonts w:ascii="Times New Roman" w:eastAsia="Malgun Gothic" w:hAnsi="Times New Roman" w:cs="Times New Roman"/>
          <w:color w:val="000000"/>
          <w:sz w:val="22"/>
          <w:lang w:val="en-GB"/>
        </w:rPr>
        <w:t>nd a</w:t>
      </w:r>
      <w:r w:rsidR="006072A6" w:rsidRPr="006072A6">
        <w:rPr>
          <w:rFonts w:ascii="Times New Roman" w:eastAsia="Malgun Gothic" w:hAnsi="Times New Roman" w:cs="Times New Roman"/>
          <w:color w:val="000000"/>
          <w:sz w:val="22"/>
          <w:lang w:val="en-GB"/>
        </w:rPr>
        <w:t>ll the data analysis was performed in a blind manner by randomly mixing the sample.</w:t>
      </w:r>
    </w:p>
    <w:p w:rsidR="00860174" w:rsidRDefault="00860174" w:rsidP="00527E26">
      <w:pPr>
        <w:spacing w:line="480" w:lineRule="auto"/>
        <w:rPr>
          <w:rFonts w:ascii="Times New Roman" w:eastAsia="Malgun Gothic" w:hAnsi="Times New Roman" w:cs="Times New Roman"/>
          <w:color w:val="000000"/>
          <w:sz w:val="22"/>
          <w:lang w:val="en-GB"/>
        </w:rPr>
      </w:pPr>
    </w:p>
    <w:p w:rsidR="003B0F11" w:rsidRDefault="003B0F11" w:rsidP="00527E26">
      <w:pPr>
        <w:spacing w:line="480" w:lineRule="auto"/>
        <w:rPr>
          <w:rFonts w:ascii="Times New Roman" w:eastAsia="Malgun Gothic" w:hAnsi="Times New Roman" w:cs="Times New Roman"/>
          <w:b/>
          <w:color w:val="000000"/>
          <w:sz w:val="24"/>
          <w:lang w:val="en-GB"/>
        </w:rPr>
      </w:pPr>
      <w:r w:rsidRPr="003B0F11">
        <w:rPr>
          <w:rFonts w:ascii="Times New Roman" w:eastAsia="Malgun Gothic" w:hAnsi="Times New Roman" w:cs="Times New Roman" w:hint="eastAsia"/>
          <w:b/>
          <w:color w:val="000000"/>
          <w:sz w:val="24"/>
          <w:lang w:val="en-GB"/>
        </w:rPr>
        <w:t>Results</w:t>
      </w:r>
    </w:p>
    <w:p w:rsidR="003B0F11" w:rsidRPr="003B0F11" w:rsidRDefault="003B0F11" w:rsidP="00527E26">
      <w:pPr>
        <w:spacing w:line="480" w:lineRule="auto"/>
        <w:rPr>
          <w:rFonts w:ascii="Times New Roman" w:eastAsia="Malgun Gothic" w:hAnsi="Times New Roman" w:cs="Times New Roman"/>
          <w:b/>
          <w:i/>
          <w:color w:val="000000"/>
          <w:sz w:val="24"/>
          <w:lang w:val="en-GB"/>
        </w:rPr>
      </w:pPr>
      <w:r w:rsidRPr="003B0F11">
        <w:rPr>
          <w:rFonts w:ascii="Times New Roman" w:eastAsia="Malgun Gothic" w:hAnsi="Times New Roman" w:cs="Times New Roman"/>
          <w:b/>
          <w:i/>
          <w:color w:val="000000"/>
          <w:sz w:val="24"/>
          <w:lang w:val="en-GB"/>
        </w:rPr>
        <w:t>Animals</w:t>
      </w:r>
    </w:p>
    <w:p w:rsidR="005F713E" w:rsidRDefault="005F713E" w:rsidP="003B0F11">
      <w:pPr>
        <w:spacing w:line="480" w:lineRule="auto"/>
        <w:ind w:firstLineChars="150" w:firstLine="330"/>
        <w:rPr>
          <w:rFonts w:ascii="Times New Roman" w:eastAsia="Malgun Gothic" w:hAnsi="Times New Roman" w:cs="Times New Roman"/>
          <w:color w:val="000000"/>
          <w:sz w:val="22"/>
          <w:lang w:val="en-GB"/>
        </w:rPr>
      </w:pPr>
      <w:r w:rsidRPr="005F713E">
        <w:rPr>
          <w:rFonts w:ascii="Times New Roman" w:eastAsia="Malgun Gothic" w:hAnsi="Times New Roman" w:cs="Times New Roman"/>
          <w:color w:val="000000"/>
          <w:sz w:val="22"/>
          <w:lang w:val="en-GB"/>
        </w:rPr>
        <w:t>The average body weight of the rats before OVX was 250 g, and the rate of increase in body weight was constant until the animals were euthanized. All the rats gained weight, with no significant difference in the rate of weight gain. Humane termination of the experiment was not performed because weight loss, behavioral abnormalities, and serious infection at the surgical site were not found.</w:t>
      </w:r>
    </w:p>
    <w:p w:rsidR="005F713E" w:rsidRDefault="005F713E" w:rsidP="005F713E">
      <w:pPr>
        <w:spacing w:line="480" w:lineRule="auto"/>
        <w:rPr>
          <w:rFonts w:ascii="Times New Roman" w:eastAsia="Malgun Gothic" w:hAnsi="Times New Roman" w:cs="Times New Roman"/>
          <w:color w:val="000000"/>
          <w:sz w:val="22"/>
          <w:lang w:val="en-GB"/>
        </w:rPr>
      </w:pPr>
    </w:p>
    <w:p w:rsidR="00C50050" w:rsidRDefault="00C50050" w:rsidP="00C50050">
      <w:pPr>
        <w:spacing w:line="480" w:lineRule="auto"/>
        <w:ind w:firstLineChars="150" w:firstLine="330"/>
        <w:rPr>
          <w:rFonts w:ascii="Times New Roman" w:hAnsi="Times New Roman" w:cs="Times New Roman"/>
          <w:sz w:val="22"/>
        </w:rPr>
      </w:pPr>
      <w:r>
        <w:rPr>
          <w:rFonts w:ascii="Times New Roman" w:hAnsi="Times New Roman" w:cs="Times New Roman"/>
          <w:b/>
          <w:sz w:val="22"/>
        </w:rPr>
        <w:t>S</w:t>
      </w:r>
      <w:r>
        <w:rPr>
          <w:rFonts w:ascii="Times New Roman" w:hAnsi="Times New Roman" w:cs="Times New Roman" w:hint="eastAsia"/>
          <w:b/>
          <w:sz w:val="22"/>
        </w:rPr>
        <w:t xml:space="preserve">upplementary </w:t>
      </w:r>
      <w:r>
        <w:rPr>
          <w:rFonts w:ascii="Times New Roman" w:hAnsi="Times New Roman" w:cs="Times New Roman"/>
          <w:b/>
          <w:sz w:val="22"/>
        </w:rPr>
        <w:t xml:space="preserve">Figure S1. </w:t>
      </w:r>
      <w:r w:rsidRPr="00C2495A">
        <w:rPr>
          <w:rFonts w:ascii="Times New Roman" w:hAnsi="Times New Roman" w:cs="Times New Roman"/>
          <w:sz w:val="22"/>
        </w:rPr>
        <w:t>Study design. OVX, ovariectomy; Ext., tooth extraction; ZA inj., zoledronic acid injection; s-ZA inj., sham zoledronic acid injection; TPD inj., teriparatide injection; s-TPD inj., sham teriparatide injection.</w:t>
      </w:r>
    </w:p>
    <w:p w:rsidR="00C50050" w:rsidRDefault="00C50050" w:rsidP="00C50050">
      <w:pPr>
        <w:spacing w:line="480" w:lineRule="auto"/>
        <w:ind w:firstLineChars="150" w:firstLine="330"/>
        <w:rPr>
          <w:rFonts w:ascii="Times New Roman" w:hAnsi="Times New Roman" w:cs="Times New Roman"/>
          <w:b/>
          <w:sz w:val="22"/>
        </w:rPr>
      </w:pPr>
      <w:r w:rsidRPr="00483D3D">
        <w:rPr>
          <w:rFonts w:ascii="Times New Roman" w:hAnsi="Times New Roman" w:cs="Times New Roman"/>
          <w:b/>
          <w:sz w:val="22"/>
        </w:rPr>
        <w:t>Supplementary Figure S2.</w:t>
      </w:r>
      <w:r>
        <w:rPr>
          <w:rFonts w:ascii="Times New Roman" w:hAnsi="Times New Roman" w:cs="Times New Roman"/>
          <w:sz w:val="22"/>
        </w:rPr>
        <w:t xml:space="preserve"> </w:t>
      </w:r>
      <w:r w:rsidRPr="00C2495A">
        <w:rPr>
          <w:rFonts w:ascii="Times New Roman" w:hAnsi="Times New Roman" w:cs="Times New Roman"/>
          <w:sz w:val="22"/>
        </w:rPr>
        <w:t>The region of interest (ROI) for micro-computed tomography analysis. (</w:t>
      </w:r>
      <w:r w:rsidRPr="00C2495A">
        <w:rPr>
          <w:rFonts w:ascii="Times New Roman" w:hAnsi="Times New Roman" w:cs="Times New Roman"/>
          <w:b/>
          <w:sz w:val="22"/>
        </w:rPr>
        <w:t>A</w:t>
      </w:r>
      <w:r w:rsidRPr="00C2495A">
        <w:rPr>
          <w:rFonts w:ascii="Times New Roman" w:hAnsi="Times New Roman" w:cs="Times New Roman"/>
          <w:sz w:val="22"/>
        </w:rPr>
        <w:t>) ROI of the proximal tibia. (</w:t>
      </w:r>
      <w:r w:rsidRPr="00C2495A">
        <w:rPr>
          <w:rFonts w:ascii="Times New Roman" w:hAnsi="Times New Roman" w:cs="Times New Roman"/>
          <w:b/>
          <w:sz w:val="22"/>
        </w:rPr>
        <w:t>B</w:t>
      </w:r>
      <w:r w:rsidRPr="00C2495A">
        <w:rPr>
          <w:rFonts w:ascii="Times New Roman" w:hAnsi="Times New Roman" w:cs="Times New Roman"/>
          <w:sz w:val="22"/>
        </w:rPr>
        <w:t>) ROI of the extraction site in the mandible. (</w:t>
      </w:r>
      <w:r w:rsidRPr="00C2495A">
        <w:rPr>
          <w:rFonts w:ascii="Times New Roman" w:hAnsi="Times New Roman" w:cs="Times New Roman"/>
          <w:b/>
          <w:sz w:val="22"/>
        </w:rPr>
        <w:t>a</w:t>
      </w:r>
      <w:r w:rsidRPr="00C2495A">
        <w:rPr>
          <w:rFonts w:ascii="Times New Roman" w:hAnsi="Times New Roman" w:cs="Times New Roman"/>
          <w:sz w:val="22"/>
        </w:rPr>
        <w:t>) growth plate. (</w:t>
      </w:r>
      <w:r w:rsidRPr="00C2495A">
        <w:rPr>
          <w:rFonts w:ascii="Times New Roman" w:hAnsi="Times New Roman" w:cs="Times New Roman"/>
          <w:b/>
          <w:sz w:val="22"/>
        </w:rPr>
        <w:t>b</w:t>
      </w:r>
      <w:r w:rsidRPr="00C2495A">
        <w:rPr>
          <w:rFonts w:ascii="Times New Roman" w:hAnsi="Times New Roman" w:cs="Times New Roman"/>
          <w:sz w:val="22"/>
        </w:rPr>
        <w:t>) mandibular canal. (</w:t>
      </w:r>
      <w:r w:rsidRPr="00C2495A">
        <w:rPr>
          <w:rFonts w:ascii="Times New Roman" w:hAnsi="Times New Roman" w:cs="Times New Roman"/>
          <w:b/>
          <w:sz w:val="22"/>
        </w:rPr>
        <w:t>c</w:t>
      </w:r>
      <w:r w:rsidRPr="00C2495A">
        <w:rPr>
          <w:rFonts w:ascii="Times New Roman" w:hAnsi="Times New Roman" w:cs="Times New Roman"/>
          <w:sz w:val="22"/>
        </w:rPr>
        <w:t>) incisor root</w:t>
      </w:r>
      <w:r>
        <w:rPr>
          <w:rFonts w:ascii="Times New Roman" w:hAnsi="Times New Roman" w:cs="Times New Roman"/>
          <w:sz w:val="22"/>
        </w:rPr>
        <w:t>.</w:t>
      </w:r>
    </w:p>
    <w:p w:rsidR="005F713E" w:rsidRDefault="005F713E" w:rsidP="005F713E">
      <w:pPr>
        <w:spacing w:line="480" w:lineRule="auto"/>
        <w:rPr>
          <w:rFonts w:ascii="Times New Roman" w:eastAsia="Malgun Gothic" w:hAnsi="Times New Roman" w:cs="Times New Roman"/>
          <w:color w:val="000000"/>
          <w:sz w:val="22"/>
          <w:lang w:val="en-GB"/>
        </w:rPr>
      </w:pPr>
    </w:p>
    <w:p w:rsidR="00860174" w:rsidRPr="006072A6" w:rsidRDefault="00860174" w:rsidP="00527E26">
      <w:pPr>
        <w:spacing w:line="480" w:lineRule="auto"/>
        <w:rPr>
          <w:rFonts w:ascii="Times New Roman" w:eastAsia="Malgun Gothic" w:hAnsi="Times New Roman" w:cs="Times New Roman"/>
          <w:b/>
          <w:i/>
          <w:color w:val="000000"/>
          <w:sz w:val="24"/>
          <w:lang w:val="en-GB"/>
        </w:rPr>
      </w:pPr>
      <w:r w:rsidRPr="006072A6">
        <w:rPr>
          <w:rFonts w:ascii="Times New Roman" w:eastAsia="Malgun Gothic" w:hAnsi="Times New Roman" w:cs="Times New Roman"/>
          <w:b/>
          <w:i/>
          <w:color w:val="000000"/>
          <w:sz w:val="24"/>
          <w:lang w:val="en-GB"/>
        </w:rPr>
        <w:t>Data access</w:t>
      </w:r>
    </w:p>
    <w:p w:rsidR="00860174" w:rsidRPr="006072A6" w:rsidRDefault="00860174" w:rsidP="006072A6">
      <w:pPr>
        <w:spacing w:line="480" w:lineRule="auto"/>
        <w:ind w:firstLineChars="150" w:firstLine="330"/>
        <w:rPr>
          <w:rFonts w:ascii="Times New Roman" w:hAnsi="Times New Roman" w:cs="Times New Roman"/>
          <w:sz w:val="22"/>
        </w:rPr>
      </w:pPr>
      <w:r w:rsidRPr="006072A6">
        <w:rPr>
          <w:rFonts w:ascii="Times New Roman" w:hAnsi="Times New Roman" w:cs="Times New Roman"/>
          <w:sz w:val="22"/>
        </w:rPr>
        <w:t>The study data is available in the manuscript</w:t>
      </w:r>
      <w:r w:rsidR="005F713E">
        <w:rPr>
          <w:rFonts w:ascii="Times New Roman" w:hAnsi="Times New Roman" w:cs="Times New Roman"/>
          <w:sz w:val="22"/>
        </w:rPr>
        <w:t xml:space="preserve"> and appendix submission</w:t>
      </w:r>
      <w:r w:rsidRPr="006072A6">
        <w:rPr>
          <w:rFonts w:ascii="Times New Roman" w:hAnsi="Times New Roman" w:cs="Times New Roman"/>
          <w:sz w:val="22"/>
        </w:rPr>
        <w:t>.</w:t>
      </w:r>
      <w:bookmarkEnd w:id="0"/>
    </w:p>
    <w:sectPr w:rsidR="00860174" w:rsidRPr="006072A6" w:rsidSect="00D3084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CFA" w:rsidRDefault="00763CFA" w:rsidP="003F1388">
      <w:pPr>
        <w:spacing w:after="0" w:line="240" w:lineRule="auto"/>
      </w:pPr>
      <w:r>
        <w:separator/>
      </w:r>
    </w:p>
  </w:endnote>
  <w:endnote w:type="continuationSeparator" w:id="0">
    <w:p w:rsidR="00763CFA" w:rsidRDefault="00763CFA" w:rsidP="003F1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ヒラギノ角ゴ Pro W3">
    <w:altName w:val="Yu Gothic UI"/>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CFA" w:rsidRDefault="00763CFA" w:rsidP="003F1388">
      <w:pPr>
        <w:spacing w:after="0" w:line="240" w:lineRule="auto"/>
      </w:pPr>
      <w:r>
        <w:separator/>
      </w:r>
    </w:p>
  </w:footnote>
  <w:footnote w:type="continuationSeparator" w:id="0">
    <w:p w:rsidR="00763CFA" w:rsidRDefault="00763CFA" w:rsidP="003F13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E26"/>
    <w:rsid w:val="000A5AEE"/>
    <w:rsid w:val="000C5ED0"/>
    <w:rsid w:val="00151334"/>
    <w:rsid w:val="00385345"/>
    <w:rsid w:val="00390A7A"/>
    <w:rsid w:val="003B0F11"/>
    <w:rsid w:val="003F1388"/>
    <w:rsid w:val="00527E26"/>
    <w:rsid w:val="00563959"/>
    <w:rsid w:val="005F49B6"/>
    <w:rsid w:val="005F713E"/>
    <w:rsid w:val="006072A6"/>
    <w:rsid w:val="00763CFA"/>
    <w:rsid w:val="00860174"/>
    <w:rsid w:val="00922447"/>
    <w:rsid w:val="009360F2"/>
    <w:rsid w:val="00BA44BD"/>
    <w:rsid w:val="00C50050"/>
    <w:rsid w:val="00D3084F"/>
    <w:rsid w:val="00F16024"/>
    <w:rsid w:val="00F717C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3915CE3-204C-4949-8CC1-A8147CC1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60174"/>
  </w:style>
  <w:style w:type="paragraph" w:customStyle="1" w:styleId="1">
    <w:name w:val="표준1"/>
    <w:rsid w:val="006072A6"/>
    <w:pPr>
      <w:spacing w:after="0" w:line="240" w:lineRule="auto"/>
      <w:jc w:val="left"/>
    </w:pPr>
    <w:rPr>
      <w:rFonts w:ascii="Times New Roman" w:eastAsia="ヒラギノ角ゴ Pro W3" w:hAnsi="Times New Roman" w:cs="Times New Roman"/>
      <w:color w:val="000000"/>
      <w:kern w:val="0"/>
      <w:sz w:val="24"/>
      <w:szCs w:val="20"/>
    </w:rPr>
  </w:style>
  <w:style w:type="paragraph" w:styleId="Header">
    <w:name w:val="header"/>
    <w:basedOn w:val="Normal"/>
    <w:link w:val="HeaderChar"/>
    <w:uiPriority w:val="99"/>
    <w:unhideWhenUsed/>
    <w:rsid w:val="003F1388"/>
    <w:pPr>
      <w:tabs>
        <w:tab w:val="center" w:pos="4513"/>
        <w:tab w:val="right" w:pos="9026"/>
      </w:tabs>
      <w:snapToGrid w:val="0"/>
    </w:pPr>
  </w:style>
  <w:style w:type="character" w:customStyle="1" w:styleId="HeaderChar">
    <w:name w:val="Header Char"/>
    <w:basedOn w:val="DefaultParagraphFont"/>
    <w:link w:val="Header"/>
    <w:uiPriority w:val="99"/>
    <w:rsid w:val="003F1388"/>
  </w:style>
  <w:style w:type="paragraph" w:styleId="Footer">
    <w:name w:val="footer"/>
    <w:basedOn w:val="Normal"/>
    <w:link w:val="FooterChar"/>
    <w:uiPriority w:val="99"/>
    <w:unhideWhenUsed/>
    <w:rsid w:val="003F1388"/>
    <w:pPr>
      <w:tabs>
        <w:tab w:val="center" w:pos="4513"/>
        <w:tab w:val="right" w:pos="9026"/>
      </w:tabs>
      <w:snapToGrid w:val="0"/>
    </w:pPr>
  </w:style>
  <w:style w:type="character" w:customStyle="1" w:styleId="FooterChar">
    <w:name w:val="Footer Char"/>
    <w:basedOn w:val="DefaultParagraphFont"/>
    <w:link w:val="Footer"/>
    <w:uiPriority w:val="99"/>
    <w:rsid w:val="003F1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564E8-8C03-464E-8E97-725AC459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3111</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박경미(예방치과학교실)</dc:creator>
  <cp:keywords/>
  <dc:description/>
  <cp:lastModifiedBy>Mary Jenifer.T</cp:lastModifiedBy>
  <cp:revision>3</cp:revision>
  <dcterms:created xsi:type="dcterms:W3CDTF">2023-08-31T02:36:00Z</dcterms:created>
  <dcterms:modified xsi:type="dcterms:W3CDTF">2023-09-13T01:15:00Z</dcterms:modified>
</cp:coreProperties>
</file>