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480" w:lineRule="auto"/>
        <w:jc w:val="center"/>
        <w:rPr>
          <w:rFonts w:ascii="Arial" w:cs="Arial" w:eastAsia="Arial" w:hAnsi="Arial"/>
          <w:b w:val="1"/>
          <w:sz w:val="28"/>
          <w:szCs w:val="28"/>
        </w:rPr>
      </w:pPr>
      <w:bookmarkStart w:colFirst="0" w:colLast="0" w:name="_heading=h.a1ipuw1x4jle" w:id="0"/>
      <w:bookmarkEnd w:id="0"/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SL-scan Identifies Synthetic Lethal Interactions in Cancer using Metabolic Networks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sz w:val="24"/>
          <w:szCs w:val="24"/>
        </w:rPr>
      </w:pPr>
      <w:bookmarkStart w:colFirst="0" w:colLast="0" w:name="_heading=h.3972gruzb80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line="240" w:lineRule="auto"/>
        <w:ind w:left="720" w:firstLine="0"/>
        <w:jc w:val="both"/>
        <w:rPr>
          <w:rFonts w:ascii="Arial" w:cs="Arial" w:eastAsia="Arial" w:hAnsi="Arial"/>
          <w:sz w:val="24"/>
          <w:szCs w:val="24"/>
          <w:vertAlign w:val="superscript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Ehsan Zangene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Sayed-Amir Marashi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superscript"/>
          <w:rtl w:val="0"/>
        </w:rPr>
        <w:t xml:space="preserve">2*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Hesam Montazeri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superscript"/>
          <w:rtl w:val="0"/>
        </w:rPr>
        <w:t xml:space="preserve">1*</w:t>
      </w:r>
    </w:p>
    <w:p w:rsidR="00000000" w:rsidDel="00000000" w:rsidP="00000000" w:rsidRDefault="00000000" w:rsidRPr="00000000" w14:paraId="00000004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line="240" w:lineRule="auto"/>
        <w:ind w:left="720" w:firstLine="0"/>
        <w:jc w:val="both"/>
        <w:rPr>
          <w:rFonts w:ascii="Arial" w:cs="Arial" w:eastAsia="Arial" w:hAnsi="Arial"/>
          <w:sz w:val="24"/>
          <w:szCs w:val="24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line="480" w:lineRule="auto"/>
        <w:ind w:left="720" w:firstLine="0"/>
        <w:jc w:val="both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superscript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Department of Bioinformatics, Institute of Biochemistry and Biophysics, University of Tehran, Tehran, Iran</w:t>
      </w:r>
    </w:p>
    <w:p w:rsidR="00000000" w:rsidDel="00000000" w:rsidP="00000000" w:rsidRDefault="00000000" w:rsidRPr="00000000" w14:paraId="00000006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line="480" w:lineRule="auto"/>
        <w:ind w:left="720" w:firstLine="0"/>
        <w:jc w:val="both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superscript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Department of Biotechnology, College of Science, University of Tehran, Tehran, Iran.</w:t>
      </w:r>
    </w:p>
    <w:p w:rsidR="00000000" w:rsidDel="00000000" w:rsidP="00000000" w:rsidRDefault="00000000" w:rsidRPr="00000000" w14:paraId="00000007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line="480" w:lineRule="auto"/>
        <w:ind w:left="720" w:firstLine="0"/>
        <w:jc w:val="both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* Correspondence to Sayed-Amir Marashi </w:t>
      </w:r>
      <w:hyperlink r:id="rId7">
        <w:r w:rsidDel="00000000" w:rsidR="00000000" w:rsidRPr="00000000">
          <w:rPr>
            <w:rFonts w:ascii="Arial" w:cs="Arial" w:eastAsia="Arial" w:hAnsi="Arial"/>
            <w:highlight w:val="white"/>
            <w:u w:val="single"/>
            <w:rtl w:val="0"/>
          </w:rPr>
          <w:t xml:space="preserve">marashi@ut.ac.ir</w:t>
        </w:r>
      </w:hyperlink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Hesam Montazeri </w:t>
      </w:r>
      <w:hyperlink r:id="rId8">
        <w:r w:rsidDel="00000000" w:rsidR="00000000" w:rsidRPr="00000000">
          <w:rPr>
            <w:rFonts w:ascii="Arial" w:cs="Arial" w:eastAsia="Arial" w:hAnsi="Arial"/>
            <w:highlight w:val="white"/>
            <w:u w:val="single"/>
            <w:rtl w:val="0"/>
          </w:rPr>
          <w:t xml:space="preserve">hesam.montazeri@ut.ac.ir</w:t>
        </w:r>
      </w:hyperlink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line="480" w:lineRule="auto"/>
        <w:ind w:left="720" w:firstLine="0"/>
        <w:jc w:val="both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Supplementary Table S1</w:t>
      </w:r>
      <w:r w:rsidDel="00000000" w:rsidR="00000000" w:rsidRPr="00000000">
        <w:rPr>
          <w:rFonts w:ascii="Arial" w:cs="Arial" w:eastAsia="Arial" w:hAnsi="Arial"/>
          <w:rtl w:val="0"/>
        </w:rPr>
        <w:t xml:space="preserve"> This table provides a mapping between  the cancer types as defined within the DepMap project and their corresponding counterparts in the TCGA datasets (available as a csv file in the supplementary materials, “Table S1-SL-scan MutSig mapping.csv”).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Supplementary Table S2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presents </w:t>
      </w:r>
      <w:r w:rsidDel="00000000" w:rsidR="00000000" w:rsidRPr="00000000">
        <w:rPr>
          <w:rFonts w:ascii="Arial" w:cs="Arial" w:eastAsia="Arial" w:hAnsi="Arial"/>
          <w:rtl w:val="0"/>
        </w:rPr>
        <w:t xml:space="preserve">the total predicted SL pairs using the SL-Scan, </w:t>
      </w:r>
      <w:r w:rsidDel="00000000" w:rsidR="00000000" w:rsidRPr="00000000">
        <w:rPr>
          <w:rFonts w:ascii="Arial" w:cs="Arial" w:eastAsia="Arial" w:hAnsi="Arial"/>
          <w:rtl w:val="0"/>
        </w:rPr>
        <w:t xml:space="preserve">number of mutated and wild-type cell liens,</w:t>
      </w:r>
      <w:r w:rsidDel="00000000" w:rsidR="00000000" w:rsidRPr="00000000">
        <w:rPr>
          <w:rFonts w:ascii="Arial" w:cs="Arial" w:eastAsia="Arial" w:hAnsi="Arial"/>
          <w:rtl w:val="0"/>
        </w:rPr>
        <w:t xml:space="preserve"> t-statistics and their relevant p-value and FDR</w:t>
      </w:r>
      <w:r w:rsidDel="00000000" w:rsidR="00000000" w:rsidRPr="00000000">
        <w:rPr>
          <w:rFonts w:ascii="Arial" w:cs="Arial" w:eastAsia="Arial" w:hAnsi="Arial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rtl w:val="0"/>
        </w:rPr>
        <w:t xml:space="preserve">and whether the corresponding driver gene is a significantly mutated gene (available as a csv file in the supplementary materials, “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Table S2-SL-scan predicted SL pairs and significance analysis.csv”</w:t>
      </w:r>
      <w:r w:rsidDel="00000000" w:rsidR="00000000" w:rsidRPr="00000000">
        <w:rPr>
          <w:rFonts w:ascii="Arial" w:cs="Arial" w:eastAsia="Arial" w:hAnsi="Arial"/>
          <w:rtl w:val="0"/>
        </w:rPr>
        <w:t xml:space="preserve">).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Supplementary Table S3 </w:t>
      </w:r>
      <w:r w:rsidDel="00000000" w:rsidR="00000000" w:rsidRPr="00000000">
        <w:rPr>
          <w:rFonts w:ascii="Arial" w:cs="Arial" w:eastAsia="Arial" w:hAnsi="Arial"/>
          <w:rtl w:val="0"/>
        </w:rPr>
        <w:t xml:space="preserve">presents number of predicted SL pairs and concordant SL Pairs with CRISPR results for SL-scan, FastSL, gMCS, MCS, and ngMCS methods across various cancer types. To ensure a fair comparison and evaluation of different methods, a set of universally common testable pairs was utilized consistently across all methods (available as a csv file in the supplementary materials, “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Table S3-Comparison of SL pair prediction methods with CRISPR analysis.csv”</w:t>
      </w:r>
      <w:r w:rsidDel="00000000" w:rsidR="00000000" w:rsidRPr="00000000">
        <w:rPr>
          <w:rFonts w:ascii="Arial" w:cs="Arial" w:eastAsia="Arial" w:hAnsi="Arial"/>
          <w:rtl w:val="0"/>
        </w:rPr>
        <w:t xml:space="preserve">).</w:t>
      </w:r>
    </w:p>
    <w:p w:rsidR="00000000" w:rsidDel="00000000" w:rsidP="00000000" w:rsidRDefault="00000000" w:rsidRPr="00000000" w14:paraId="0000000C">
      <w:pPr>
        <w:spacing w:after="200" w:line="240" w:lineRule="auto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line="240" w:lineRule="auto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line="240" w:lineRule="auto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="240" w:lineRule="auto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="240" w:lineRule="auto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line="240" w:lineRule="auto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="240" w:lineRule="auto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Supplementary Table S4.</w:t>
      </w:r>
      <w:r w:rsidDel="00000000" w:rsidR="00000000" w:rsidRPr="00000000">
        <w:rPr>
          <w:rFonts w:ascii="Arial" w:cs="Arial" w:eastAsia="Arial" w:hAnsi="Arial"/>
          <w:rtl w:val="0"/>
        </w:rPr>
        <w:t xml:space="preserve"> Results of the hypergeometric test for FastSL and CRISPR pairs.</w:t>
      </w:r>
    </w:p>
    <w:tbl>
      <w:tblPr>
        <w:tblStyle w:val="Table1"/>
        <w:tblW w:w="9629.0" w:type="dxa"/>
        <w:jc w:val="left"/>
        <w:tblLayout w:type="fixed"/>
        <w:tblLook w:val="0400"/>
      </w:tblPr>
      <w:tblGrid>
        <w:gridCol w:w="2551"/>
        <w:gridCol w:w="2148"/>
        <w:gridCol w:w="1405"/>
        <w:gridCol w:w="1365"/>
        <w:gridCol w:w="1170"/>
        <w:gridCol w:w="990"/>
        <w:tblGridChange w:id="0">
          <w:tblGrid>
            <w:gridCol w:w="2551"/>
            <w:gridCol w:w="2148"/>
            <w:gridCol w:w="1405"/>
            <w:gridCol w:w="1365"/>
            <w:gridCol w:w="1170"/>
            <w:gridCol w:w="990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Enrichment P-value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#SL pairs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(FastSL)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#SL pairs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(CRISPR)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#overlap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#total</w:t>
            </w:r>
          </w:p>
        </w:tc>
      </w:tr>
      <w:tr>
        <w:trPr>
          <w:cantSplit w:val="0"/>
          <w:trHeight w:val="32" w:hRule="atLeast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Bile Duct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59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3988</w:t>
            </w:r>
          </w:p>
        </w:tc>
      </w:tr>
      <w:tr>
        <w:trPr>
          <w:cantSplit w:val="0"/>
          <w:trHeight w:val="137" w:hRule="atLeast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Brain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104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3762</w:t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Breast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47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2032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Esophageal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43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2632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Head and Neck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3212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Kidney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Leukemia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7.76E-02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322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20090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Lung Cancer</w:t>
            </w:r>
          </w:p>
        </w:tc>
        <w:tc>
          <w:tcPr>
            <w:tcBorders>
              <w:top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</w:t>
            </w:r>
          </w:p>
        </w:tc>
        <w:tc>
          <w:tcPr>
            <w:tcBorders>
              <w:top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370</w:t>
            </w:r>
          </w:p>
        </w:tc>
        <w:tc>
          <w:tcPr>
            <w:tcBorders>
              <w:top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22618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Myeloma</w:t>
            </w:r>
          </w:p>
        </w:tc>
        <w:tc>
          <w:tcPr>
            <w:tcBorders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970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Neuroblastoma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1664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Ovarian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271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16260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Pancreatic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1376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Skin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337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18102</w:t>
            </w:r>
          </w:p>
        </w:tc>
      </w:tr>
    </w:tbl>
    <w:p w:rsidR="00000000" w:rsidDel="00000000" w:rsidP="00000000" w:rsidRDefault="00000000" w:rsidRPr="00000000" w14:paraId="0000006A">
      <w:pPr>
        <w:spacing w:after="200" w:line="240" w:lineRule="auto"/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20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20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Supplementary Table S5.</w:t>
      </w:r>
      <w:r w:rsidDel="00000000" w:rsidR="00000000" w:rsidRPr="00000000">
        <w:rPr>
          <w:rFonts w:ascii="Arial" w:cs="Arial" w:eastAsia="Arial" w:hAnsi="Arial"/>
          <w:rtl w:val="0"/>
        </w:rPr>
        <w:t xml:space="preserve"> Results of the hypergeometric test for MCS and CRISPR pairs.</w:t>
      </w:r>
    </w:p>
    <w:tbl>
      <w:tblPr>
        <w:tblStyle w:val="Table2"/>
        <w:tblW w:w="9360.0" w:type="dxa"/>
        <w:jc w:val="left"/>
        <w:tblLayout w:type="fixed"/>
        <w:tblLook w:val="0400"/>
      </w:tblPr>
      <w:tblGrid>
        <w:gridCol w:w="2600"/>
        <w:gridCol w:w="2199"/>
        <w:gridCol w:w="1305"/>
        <w:gridCol w:w="1267"/>
        <w:gridCol w:w="1121"/>
        <w:gridCol w:w="868"/>
        <w:tblGridChange w:id="0">
          <w:tblGrid>
            <w:gridCol w:w="2600"/>
            <w:gridCol w:w="2199"/>
            <w:gridCol w:w="1305"/>
            <w:gridCol w:w="1267"/>
            <w:gridCol w:w="1121"/>
            <w:gridCol w:w="868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spacing w:after="0" w:before="2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spacing w:after="0" w:before="2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Enrichment P-value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spacing w:after="0" w:before="2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#SL pairs</w:t>
            </w:r>
          </w:p>
          <w:p w:rsidR="00000000" w:rsidDel="00000000" w:rsidP="00000000" w:rsidRDefault="00000000" w:rsidRPr="00000000" w14:paraId="00000070">
            <w:pPr>
              <w:spacing w:after="0" w:before="2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(MCS)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spacing w:after="0" w:before="2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#SL pairs</w:t>
            </w:r>
          </w:p>
          <w:p w:rsidR="00000000" w:rsidDel="00000000" w:rsidP="00000000" w:rsidRDefault="00000000" w:rsidRPr="00000000" w14:paraId="00000072">
            <w:pPr>
              <w:spacing w:after="0" w:before="2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(CRISPR)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spacing w:after="0" w:before="2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#overlap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spacing w:after="0" w:before="2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#total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Bile Duct Cancer</w:t>
            </w:r>
          </w:p>
        </w:tc>
        <w:tc>
          <w:tcPr>
            <w:tcBorders>
              <w:top w:color="7f7f7f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59</w:t>
            </w:r>
          </w:p>
        </w:tc>
        <w:tc>
          <w:tcPr>
            <w:tcBorders>
              <w:top w:color="7f7f7f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3988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Brain Cancer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104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3762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Breast Cancer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47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2032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Esophageal Cancer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43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2632</w:t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Head and Neck Cancer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3212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Kidney Cancer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Leukemia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1.49E-01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322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20090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Lung Cancer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370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22618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Myeloma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970</w:t>
            </w:r>
          </w:p>
        </w:tc>
      </w:tr>
      <w:tr>
        <w:trPr>
          <w:cantSplit w:val="0"/>
          <w:trHeight w:val="193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Neuroblastoma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1664</w:t>
            </w:r>
          </w:p>
        </w:tc>
      </w:tr>
      <w:tr>
        <w:trPr>
          <w:cantSplit w:val="0"/>
          <w:trHeight w:val="223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Ovarian Cancer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16260</w:t>
            </w:r>
          </w:p>
        </w:tc>
      </w:tr>
      <w:tr>
        <w:trPr>
          <w:cantSplit w:val="0"/>
          <w:trHeight w:val="402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Pancreatic Cancer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1376</w:t>
            </w:r>
          </w:p>
        </w:tc>
      </w:tr>
      <w:tr>
        <w:trPr>
          <w:cantSplit w:val="0"/>
          <w:trHeight w:val="73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Skin Cancer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337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18102</w:t>
            </w:r>
          </w:p>
        </w:tc>
      </w:tr>
    </w:tbl>
    <w:p w:rsidR="00000000" w:rsidDel="00000000" w:rsidP="00000000" w:rsidRDefault="00000000" w:rsidRPr="00000000" w14:paraId="000000C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200" w:line="240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20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Supplementary Table S6.</w:t>
      </w:r>
      <w:r w:rsidDel="00000000" w:rsidR="00000000" w:rsidRPr="00000000">
        <w:rPr>
          <w:rFonts w:ascii="Arial" w:cs="Arial" w:eastAsia="Arial" w:hAnsi="Arial"/>
          <w:rtl w:val="0"/>
        </w:rPr>
        <w:t xml:space="preserve"> Results of the hypergeometric test for gMCS and CRISPR pairs.</w:t>
      </w:r>
    </w:p>
    <w:tbl>
      <w:tblPr>
        <w:tblStyle w:val="Table3"/>
        <w:tblW w:w="9435.0" w:type="dxa"/>
        <w:jc w:val="center"/>
        <w:tblLayout w:type="fixed"/>
        <w:tblLook w:val="0400"/>
      </w:tblPr>
      <w:tblGrid>
        <w:gridCol w:w="2685"/>
        <w:gridCol w:w="1815"/>
        <w:gridCol w:w="1350"/>
        <w:gridCol w:w="1395"/>
        <w:gridCol w:w="1125"/>
        <w:gridCol w:w="1065"/>
        <w:tblGridChange w:id="0">
          <w:tblGrid>
            <w:gridCol w:w="2685"/>
            <w:gridCol w:w="1815"/>
            <w:gridCol w:w="1350"/>
            <w:gridCol w:w="1395"/>
            <w:gridCol w:w="1125"/>
            <w:gridCol w:w="1065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spacing w:after="0" w:before="2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spacing w:after="0" w:before="2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Enrichment P-value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spacing w:after="0" w:before="2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#SL pairs</w:t>
            </w:r>
          </w:p>
          <w:p w:rsidR="00000000" w:rsidDel="00000000" w:rsidP="00000000" w:rsidRDefault="00000000" w:rsidRPr="00000000" w14:paraId="000000C9">
            <w:pPr>
              <w:spacing w:after="0" w:before="2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(gMCS)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spacing w:after="0" w:before="2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#SL pairs</w:t>
            </w:r>
          </w:p>
          <w:p w:rsidR="00000000" w:rsidDel="00000000" w:rsidP="00000000" w:rsidRDefault="00000000" w:rsidRPr="00000000" w14:paraId="000000CB">
            <w:pPr>
              <w:spacing w:after="0" w:before="2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(CRISPR)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spacing w:after="0" w:before="2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#overlap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spacing w:after="0" w:before="2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#total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Brain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865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41850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Breast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506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26784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Esophageal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39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192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11718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Head and Neck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78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223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15066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Kidney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37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6636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Leukemia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2929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159030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Lung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4407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249426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Myeloma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6696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Neuroblastoma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0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33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3348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Ovarian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11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1363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80352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Pancreatic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15066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Skin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1.00E+00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1259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spacing w:after="0"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68634</w:t>
            </w:r>
          </w:p>
        </w:tc>
      </w:tr>
    </w:tbl>
    <w:p w:rsidR="00000000" w:rsidDel="00000000" w:rsidP="00000000" w:rsidRDefault="00000000" w:rsidRPr="00000000" w14:paraId="00000116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40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Supplementary Table S7.</w:t>
      </w:r>
      <w:r w:rsidDel="00000000" w:rsidR="00000000" w:rsidRPr="00000000">
        <w:rPr>
          <w:rFonts w:ascii="Arial" w:cs="Arial" w:eastAsia="Arial" w:hAnsi="Arial"/>
          <w:rtl w:val="0"/>
        </w:rPr>
        <w:t xml:space="preserve"> Results of the hypergeometric test for ngMCS and CRISPR pairs.</w:t>
      </w:r>
      <w:r w:rsidDel="00000000" w:rsidR="00000000" w:rsidRPr="00000000">
        <w:rPr>
          <w:rtl w:val="0"/>
        </w:rPr>
      </w:r>
    </w:p>
    <w:tbl>
      <w:tblPr>
        <w:tblStyle w:val="Table4"/>
        <w:tblW w:w="9285.0" w:type="dxa"/>
        <w:jc w:val="left"/>
        <w:tblInd w:w="9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95"/>
        <w:gridCol w:w="2100"/>
        <w:gridCol w:w="1290"/>
        <w:gridCol w:w="1305"/>
        <w:gridCol w:w="900"/>
        <w:gridCol w:w="1095"/>
        <w:tblGridChange w:id="0">
          <w:tblGrid>
            <w:gridCol w:w="2595"/>
            <w:gridCol w:w="2100"/>
            <w:gridCol w:w="1290"/>
            <w:gridCol w:w="1305"/>
            <w:gridCol w:w="900"/>
            <w:gridCol w:w="1095"/>
          </w:tblGrid>
        </w:tblGridChange>
      </w:tblGrid>
      <w:tr>
        <w:trPr>
          <w:cantSplit w:val="0"/>
          <w:trHeight w:val="233.90625" w:hRule="atLeast"/>
          <w:tblHeader w:val="0"/>
        </w:trPr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="48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cancer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="480" w:lineRule="auto"/>
              <w:ind w:left="0" w:right="18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Enrichment P-value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="480" w:lineRule="auto"/>
              <w:ind w:left="0" w:right="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#SL pairs</w:t>
              <w:br w:type="textWrapping"/>
              <w:t xml:space="preserve"> (ngMCS)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after="0" w:before="0" w:line="480" w:lineRule="auto"/>
              <w:ind w:left="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#SL pairs (CRISPR)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before="0" w:line="480" w:lineRule="auto"/>
              <w:ind w:left="-180" w:right="-12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#overlap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="480" w:lineRule="auto"/>
              <w:ind w:left="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#total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="48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Bile Duct Cancer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="480" w:lineRule="auto"/>
              <w:ind w:left="540" w:right="18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after="0" w:before="0" w:line="480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="480" w:lineRule="auto"/>
              <w:ind w:left="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3988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="48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Brain Cancer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after="0" w:before="0" w:line="480" w:lineRule="auto"/>
              <w:ind w:left="540" w:right="18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before="0" w:line="480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="480" w:lineRule="auto"/>
              <w:ind w:left="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3762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after="0" w:before="0" w:line="48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Breast Cancer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before="0" w:line="480" w:lineRule="auto"/>
              <w:ind w:left="540" w:right="18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="480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47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after="0" w:before="0" w:line="480" w:lineRule="auto"/>
              <w:ind w:left="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2032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0" w:before="0" w:line="48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Esophageal Cancer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="480" w:lineRule="auto"/>
              <w:ind w:left="540" w:right="18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="480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before="0" w:line="480" w:lineRule="auto"/>
              <w:ind w:left="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2632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="480" w:lineRule="auto"/>
              <w:ind w:left="0" w:right="-135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Head and Neck Cancer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="480" w:lineRule="auto"/>
              <w:ind w:left="540" w:right="18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="480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40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="480" w:lineRule="auto"/>
              <w:ind w:left="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3212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="48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Kidney Cancer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="480" w:lineRule="auto"/>
              <w:ind w:left="540" w:right="18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after="0" w:before="0" w:line="480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="480" w:lineRule="auto"/>
              <w:ind w:left="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2202</w:t>
            </w:r>
          </w:p>
        </w:tc>
      </w:tr>
      <w:tr>
        <w:trPr>
          <w:cantSplit w:val="0"/>
          <w:trHeight w:val="70.95703125" w:hRule="atLeast"/>
          <w:tblHeader w:val="0"/>
        </w:trPr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="48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Leukemia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after="0" w:before="0" w:line="480" w:lineRule="auto"/>
              <w:ind w:left="540" w:right="18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0.04731938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before="0" w:line="480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322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="480" w:lineRule="auto"/>
              <w:ind w:left="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20090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after="0" w:before="0" w:line="48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Lung Cancer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0" w:before="0" w:line="480" w:lineRule="auto"/>
              <w:ind w:left="540" w:right="18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="480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after="0" w:before="0" w:line="480" w:lineRule="auto"/>
              <w:ind w:left="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22618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0" w:before="0" w:line="48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Myeloma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="480" w:lineRule="auto"/>
              <w:ind w:left="540" w:right="18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="480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0" w:before="0" w:line="480" w:lineRule="auto"/>
              <w:ind w:left="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970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="48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Neuroblastoma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="480" w:lineRule="auto"/>
              <w:ind w:left="540" w:right="18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="480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="480" w:lineRule="auto"/>
              <w:ind w:left="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1664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="48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Ovarian Cancer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="480" w:lineRule="auto"/>
              <w:ind w:left="540" w:right="18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after="0" w:before="0" w:line="480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271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="480" w:lineRule="auto"/>
              <w:ind w:left="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16260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="48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Pancreatic Cancer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after="0" w:before="0" w:line="480" w:lineRule="auto"/>
              <w:ind w:left="540" w:right="18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0" w:before="0" w:line="480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="480" w:lineRule="auto"/>
              <w:ind w:left="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1376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after="0" w:before="0" w:line="48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Skin Cancer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0" w:before="0" w:line="480" w:lineRule="auto"/>
              <w:ind w:left="540" w:right="18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="480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337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="480" w:lineRule="auto"/>
              <w:ind w:left="54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7f7f7f" w:space="0" w:sz="5" w:val="single"/>
              <w:left w:color="000000" w:space="0" w:sz="0" w:val="nil"/>
              <w:bottom w:color="7f7f7f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spacing w:after="0" w:before="0" w:line="480" w:lineRule="auto"/>
              <w:ind w:left="0" w:firstLine="0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18102</w:t>
            </w:r>
          </w:p>
        </w:tc>
      </w:tr>
    </w:tbl>
    <w:p w:rsidR="00000000" w:rsidDel="00000000" w:rsidP="00000000" w:rsidRDefault="00000000" w:rsidRPr="00000000" w14:paraId="00000170">
      <w:pPr>
        <w:spacing w:after="10" w:line="480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Supplementary Table S8.</w:t>
      </w:r>
      <w:r w:rsidDel="00000000" w:rsidR="00000000" w:rsidRPr="00000000">
        <w:rPr>
          <w:rFonts w:ascii="Arial" w:cs="Arial" w:eastAsia="Arial" w:hAnsi="Arial"/>
          <w:rtl w:val="0"/>
        </w:rPr>
        <w:t xml:space="preserve"> top KO genes in predicted SL pairs by SL-scan, along with driver genes in different cancer types (available as a csv file in the supplementary materials,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“Table S8-SL-scan KO gene frequency and associations with driver genes across cancers.csv”</w:t>
      </w:r>
      <w:r w:rsidDel="00000000" w:rsidR="00000000" w:rsidRPr="00000000">
        <w:rPr>
          <w:rFonts w:ascii="Arial" w:cs="Arial" w:eastAsia="Arial" w:hAnsi="Arial"/>
          <w:rtl w:val="0"/>
        </w:rPr>
        <w:t xml:space="preserve">).</w:t>
      </w:r>
    </w:p>
    <w:p w:rsidR="00000000" w:rsidDel="00000000" w:rsidP="00000000" w:rsidRDefault="00000000" w:rsidRPr="00000000" w14:paraId="00000172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spacing w:after="10" w:line="4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Supplementary Table S9. </w:t>
      </w:r>
      <w:r w:rsidDel="00000000" w:rsidR="00000000" w:rsidRPr="00000000">
        <w:rPr>
          <w:rFonts w:ascii="Arial" w:cs="Arial" w:eastAsia="Arial" w:hAnsi="Arial"/>
          <w:rtl w:val="0"/>
        </w:rPr>
        <w:t xml:space="preserve">SL-scan and PRISM concordant SL pairs and identified drugs</w:t>
      </w:r>
    </w:p>
    <w:tbl>
      <w:tblPr>
        <w:tblStyle w:val="Table5"/>
        <w:tblW w:w="9615.0" w:type="dxa"/>
        <w:jc w:val="left"/>
        <w:tblInd w:w="-105.0" w:type="dxa"/>
        <w:tblLayout w:type="fixed"/>
        <w:tblLook w:val="0400"/>
      </w:tblPr>
      <w:tblGrid>
        <w:gridCol w:w="1080"/>
        <w:gridCol w:w="1320"/>
        <w:gridCol w:w="885"/>
        <w:gridCol w:w="1770"/>
        <w:gridCol w:w="1335"/>
        <w:gridCol w:w="1605"/>
        <w:gridCol w:w="1620"/>
        <w:tblGridChange w:id="0">
          <w:tblGrid>
            <w:gridCol w:w="1080"/>
            <w:gridCol w:w="1320"/>
            <w:gridCol w:w="885"/>
            <w:gridCol w:w="1770"/>
            <w:gridCol w:w="1335"/>
            <w:gridCol w:w="1605"/>
            <w:gridCol w:w="1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Driver gene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KO gene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Drug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PRISM P-value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SL-scan P-value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SL-scan FDR</w:t>
            </w:r>
          </w:p>
        </w:tc>
      </w:tr>
      <w:tr>
        <w:trPr>
          <w:cantSplit w:val="0"/>
          <w:trHeight w:val="92" w:hRule="atLeast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Gastric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KMT2C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DHFR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pralatrexate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0.003611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2.10E-14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1.47E-11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Gastric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KMT2C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DHFR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pyrimethamine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0.0002918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3.66E-33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3.32E-30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Gastric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KMT2C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TYMS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trifluridine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0.007063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1.87E-94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3.49E-91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Gastric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KMT2C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TYMS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capecitabine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0.04097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7.86E-34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8.78E-31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Gastric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KMT2C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TYMS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ftorafur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0.03399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4.67E-55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5.80E-52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Lung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GYS2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RRM1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triapine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2.16E-09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6.76E-08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0.00002314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Lung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PDE10A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TYMS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capecitabine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0.0003572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5.86E-15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4.61E-12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Lung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GAD2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RRM1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triapine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2.16E-09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6.76E-08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0.00002314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Lung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GUCY1A2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RRM1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hydroxyurea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0.03236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6.76E-08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0.00002314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Lung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GUCY1A2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TYMS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leucovorin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0.04199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5.86E-15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4.61E-12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Lung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PDE1C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RRM1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hydroxyurea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0.03394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6.76E-08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0.00002314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Lung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ENTPD6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RRM1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triapine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0.004285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6.76E-08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0.00002314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Skin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PKM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DHFR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proguanil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0.02757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0.000310328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0.02237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Skin Cancer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ALPI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TYMS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nolatrexed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0.01385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0.000310328</w:t>
            </w:r>
          </w:p>
        </w:tc>
        <w:tc>
          <w:tcPr>
            <w:tcBorders>
              <w:top w:color="7f7f7f" w:space="0" w:sz="8" w:val="single"/>
              <w:bottom w:color="7f7f7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0.02237</w:t>
            </w:r>
          </w:p>
        </w:tc>
      </w:tr>
    </w:tbl>
    <w:p w:rsidR="00000000" w:rsidDel="00000000" w:rsidP="00000000" w:rsidRDefault="00000000" w:rsidRPr="00000000" w14:paraId="000001E1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Supplementary Table S10 </w:t>
      </w:r>
      <w:r w:rsidDel="00000000" w:rsidR="00000000" w:rsidRPr="00000000">
        <w:rPr>
          <w:rFonts w:ascii="Arial" w:cs="Arial" w:eastAsia="Arial" w:hAnsi="Arial"/>
          <w:rtl w:val="0"/>
        </w:rPr>
        <w:t xml:space="preserve">presents number of predicted SL pairs and concordant SL Pairs with shRNA results for SL-scan, FastSL, gMCS, MCS, and ngMCS methods across various cancer types. To ensure a fair comparison and evaluation of different methods, a set of universally common testable pairs was utilized consistently across all methods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(available as a csv file in the supplementary materials, “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Table S10-Comparison of SL pair prediction methods with shRNA analysis.csv”</w:t>
      </w:r>
      <w:r w:rsidDel="00000000" w:rsidR="00000000" w:rsidRPr="00000000">
        <w:rPr>
          <w:rFonts w:ascii="Arial" w:cs="Arial" w:eastAsia="Arial" w:hAnsi="Arial"/>
          <w:rtl w:val="0"/>
        </w:rPr>
        <w:t xml:space="preserve">)</w:t>
      </w:r>
    </w:p>
    <w:p w:rsidR="00000000" w:rsidDel="00000000" w:rsidP="00000000" w:rsidRDefault="00000000" w:rsidRPr="00000000" w14:paraId="000001E4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Supplementary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Table S11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presents </w:t>
      </w:r>
      <w:r w:rsidDel="00000000" w:rsidR="00000000" w:rsidRPr="00000000">
        <w:rPr>
          <w:rFonts w:ascii="Arial" w:cs="Arial" w:eastAsia="Arial" w:hAnsi="Arial"/>
          <w:rtl w:val="0"/>
        </w:rPr>
        <w:t xml:space="preserve">frequent </w:t>
      </w:r>
      <w:r w:rsidDel="00000000" w:rsidR="00000000" w:rsidRPr="00000000">
        <w:rPr>
          <w:rFonts w:ascii="Arial" w:cs="Arial" w:eastAsia="Arial" w:hAnsi="Arial"/>
          <w:rtl w:val="0"/>
        </w:rPr>
        <w:t xml:space="preserve">enriched </w:t>
      </w:r>
      <w:r w:rsidDel="00000000" w:rsidR="00000000" w:rsidRPr="00000000">
        <w:rPr>
          <w:rFonts w:ascii="Arial" w:cs="Arial" w:eastAsia="Arial" w:hAnsi="Arial"/>
          <w:rtl w:val="0"/>
        </w:rPr>
        <w:t xml:space="preserve">biological processes after GSEA analysis executed on significant SL-scan predicted SL pairs. </w:t>
      </w:r>
      <w:r w:rsidDel="00000000" w:rsidR="00000000" w:rsidRPr="00000000">
        <w:rPr>
          <w:rFonts w:ascii="Arial" w:cs="Arial" w:eastAsia="Arial" w:hAnsi="Arial"/>
          <w:rtl w:val="0"/>
        </w:rPr>
        <w:t xml:space="preserve">General terms such as biological process are excluded from the analysis (available as a csv file in the supplementary materials, “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Table S11-SL-scan enriched biological processes.csv”</w:t>
      </w:r>
      <w:r w:rsidDel="00000000" w:rsidR="00000000" w:rsidRPr="00000000">
        <w:rPr>
          <w:rFonts w:ascii="Arial" w:cs="Arial" w:eastAsia="Arial" w:hAnsi="Arial"/>
          <w:rtl w:val="0"/>
        </w:rPr>
        <w:t xml:space="preserve">).</w:t>
      </w:r>
    </w:p>
    <w:p w:rsidR="00000000" w:rsidDel="00000000" w:rsidP="00000000" w:rsidRDefault="00000000" w:rsidRPr="00000000" w14:paraId="000001E5">
      <w:pPr>
        <w:spacing w:line="240" w:lineRule="auto"/>
        <w:rPr>
          <w:rFonts w:ascii="Arial" w:cs="Arial" w:eastAsia="Arial" w:hAnsi="Arial"/>
        </w:rPr>
      </w:pPr>
      <w:bookmarkStart w:colFirst="0" w:colLast="0" w:name="_heading=h.gjdgxs" w:id="2"/>
      <w:bookmarkEnd w:id="2"/>
      <w:r w:rsidDel="00000000" w:rsidR="00000000" w:rsidRPr="00000000">
        <w:rPr>
          <w:rFonts w:ascii="Arial" w:cs="Arial" w:eastAsia="Arial" w:hAnsi="Arial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Supplementary Data 1</w:t>
      </w:r>
      <w:r w:rsidDel="00000000" w:rsidR="00000000" w:rsidRPr="00000000">
        <w:rPr>
          <w:rFonts w:ascii="Arial" w:cs="Arial" w:eastAsia="Arial" w:hAnsi="Arial"/>
          <w:rtl w:val="0"/>
        </w:rPr>
        <w:t xml:space="preserve"> contains FastSL, MCS, and gMCS predicted SL pairs</w:t>
      </w:r>
      <w:r w:rsidDel="00000000" w:rsidR="00000000" w:rsidRPr="00000000">
        <w:rPr>
          <w:rFonts w:ascii="Arial" w:cs="Arial" w:eastAsia="Arial" w:hAnsi="Arial"/>
          <w:rtl w:val="0"/>
        </w:rPr>
        <w:t xml:space="preserve"> (available as a xlsx file in the supplementary materials, “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Data 1 supplementary data1 - FastSL - MCS - gMCS SL pairs.xlsx”</w:t>
      </w:r>
      <w:r w:rsidDel="00000000" w:rsidR="00000000" w:rsidRPr="00000000">
        <w:rPr>
          <w:rFonts w:ascii="Arial" w:cs="Arial" w:eastAsia="Arial" w:hAnsi="Arial"/>
          <w:rtl w:val="0"/>
        </w:rPr>
        <w:t xml:space="preserve">).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rPr>
          <w:rFonts w:ascii="Arial" w:cs="Arial" w:eastAsia="Arial" w:hAnsi="Arial"/>
        </w:rPr>
      </w:pPr>
      <w:bookmarkStart w:colFirst="0" w:colLast="0" w:name="_heading=h.t1u5jnwv9a80" w:id="3"/>
      <w:bookmarkEnd w:id="3"/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5943600" cy="5308600"/>
            <wp:effectExtent b="0" l="0" r="0" t="0"/>
            <wp:docPr id="7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0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jc w:val="both"/>
        <w:rPr>
          <w:rFonts w:ascii="Arial" w:cs="Arial" w:eastAsia="Arial" w:hAnsi="Arial"/>
        </w:rPr>
      </w:pPr>
      <w:bookmarkStart w:colFirst="0" w:colLast="0" w:name="_heading=h.i7gn437b9asp" w:id="4"/>
      <w:bookmarkEnd w:id="4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Supplementary Figure S1</w:t>
      </w:r>
      <w:r w:rsidDel="00000000" w:rsidR="00000000" w:rsidRPr="00000000">
        <w:rPr>
          <w:rFonts w:ascii="Arial" w:cs="Arial" w:eastAsia="Arial" w:hAnsi="Arial"/>
          <w:rtl w:val="0"/>
        </w:rPr>
        <w:t xml:space="preserve"> the distribution of metabolites of GSMNs in various cancer types. The corresponding values from the SL-scan pipeline are depicted as black dots, while the correspnding values for other SL prediction algorithms are indicated with red dots.</w:t>
      </w:r>
    </w:p>
    <w:p w:rsidR="00000000" w:rsidDel="00000000" w:rsidP="00000000" w:rsidRDefault="00000000" w:rsidRPr="00000000" w14:paraId="000001E8">
      <w:pPr>
        <w:jc w:val="both"/>
        <w:rPr>
          <w:rFonts w:ascii="Arial" w:cs="Arial" w:eastAsia="Arial" w:hAnsi="Arial"/>
        </w:rPr>
      </w:pPr>
      <w:bookmarkStart w:colFirst="0" w:colLast="0" w:name="_heading=h.4rv8lw6fvc00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jc w:val="both"/>
        <w:rPr>
          <w:rFonts w:ascii="Arial" w:cs="Arial" w:eastAsia="Arial" w:hAnsi="Arial"/>
        </w:rPr>
      </w:pPr>
      <w:bookmarkStart w:colFirst="0" w:colLast="0" w:name="_heading=h.p9mqxguaiamt" w:id="6"/>
      <w:bookmarkEnd w:id="6"/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5943600" cy="5448300"/>
            <wp:effectExtent b="0" l="0" r="0" t="0"/>
            <wp:docPr id="9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4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jc w:val="both"/>
        <w:rPr>
          <w:rFonts w:ascii="Arial" w:cs="Arial" w:eastAsia="Arial" w:hAnsi="Arial"/>
        </w:rPr>
      </w:pPr>
      <w:bookmarkStart w:colFirst="0" w:colLast="0" w:name="_heading=h.bnjmh2ahebce" w:id="7"/>
      <w:bookmarkEnd w:id="7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Supplementary Figure S2 </w:t>
      </w:r>
      <w:r w:rsidDel="00000000" w:rsidR="00000000" w:rsidRPr="00000000">
        <w:rPr>
          <w:rFonts w:ascii="Arial" w:cs="Arial" w:eastAsia="Arial" w:hAnsi="Arial"/>
          <w:rtl w:val="0"/>
        </w:rPr>
        <w:t xml:space="preserve">the distribution of reactions of GSMNs in various cancer types. The corresponding values from the SL-scan pipeline are depicted as black dots, while the correspnding values for other SL prediction algorithms are indicated with red dots.</w:t>
      </w:r>
    </w:p>
    <w:p w:rsidR="00000000" w:rsidDel="00000000" w:rsidP="00000000" w:rsidRDefault="00000000" w:rsidRPr="00000000" w14:paraId="000001EB">
      <w:pPr>
        <w:jc w:val="both"/>
        <w:rPr>
          <w:rFonts w:ascii="Arial" w:cs="Arial" w:eastAsia="Arial" w:hAnsi="Arial"/>
        </w:rPr>
      </w:pPr>
      <w:bookmarkStart w:colFirst="0" w:colLast="0" w:name="_heading=h.240emsmzaa2l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jc w:val="both"/>
        <w:rPr>
          <w:rFonts w:ascii="Arial" w:cs="Arial" w:eastAsia="Arial" w:hAnsi="Arial"/>
        </w:rPr>
      </w:pPr>
      <w:bookmarkStart w:colFirst="0" w:colLast="0" w:name="_heading=h.mpnmgmmeexd9" w:id="9"/>
      <w:bookmarkEnd w:id="9"/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5740003" cy="7653338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0003" cy="76533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Supplementary Figure S3 </w:t>
      </w:r>
      <w:r w:rsidDel="00000000" w:rsidR="00000000" w:rsidRPr="00000000">
        <w:rPr>
          <w:rFonts w:ascii="Arial" w:cs="Arial" w:eastAsia="Arial" w:hAnsi="Arial"/>
          <w:rtl w:val="0"/>
        </w:rPr>
        <w:t xml:space="preserve">number of driver genes across different cancer types.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037C8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image" Target="media/image3.jp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arashi@ut.ac.ir" TargetMode="External"/><Relationship Id="rId8" Type="http://schemas.openxmlformats.org/officeDocument/2006/relationships/hyperlink" Target="mailto:hesam.montazeri@ut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QD31pZghxFIAXH+RwWMjn31nw==">CgMxLjAyDmguYTFpcHV3MXg0amxlMg1oLjM5NzJncnV6YjgwMghoLmdqZGd4czIOaC50MXU1am53djlhODAyDmguaTdnbjQzN2I5YXNwMg5oLjRydjhsdzZmdmMwMDIOaC5wOW1xeGd1YWlhbXQyDmguYm5qbWgyYWhlYmNlMg5oLjI0MGVtc216YWEybDIOaC5tcG5tZ21tZWV4ZDk4AHIhMXVSVFRqcUJBd0gyWTdnQnU0cEtNNVNnblVMbUIxN3Bf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2023-06-01T14:19:00Z</dcterms:created>
  <dc:creator>E</dc:creator>
</cp:coreProperties>
</file>