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861DC30" w14:textId="6D51172C" w:rsidR="000B5974" w:rsidRPr="0008415B" w:rsidRDefault="000B5974" w:rsidP="00AD6922">
      <w:pPr>
        <w:ind w:right="-143"/>
        <w:rPr>
          <w:rFonts w:ascii="Arial" w:hAnsi="Arial" w:cs="Arial"/>
          <w:b/>
          <w:spacing w:val="-3"/>
          <w:sz w:val="28"/>
          <w:szCs w:val="28"/>
        </w:rPr>
      </w:pPr>
      <w:bookmarkStart w:id="0" w:name="_GoBack"/>
      <w:bookmarkEnd w:id="0"/>
    </w:p>
    <w:p w14:paraId="3D48F242" w14:textId="77777777" w:rsidR="00416CF8" w:rsidRPr="0008415B" w:rsidRDefault="00416CF8" w:rsidP="00416CF8">
      <w:pPr>
        <w:ind w:right="-143"/>
        <w:jc w:val="center"/>
        <w:rPr>
          <w:rFonts w:ascii="Arial" w:hAnsi="Arial" w:cs="Arial"/>
          <w:b/>
          <w:spacing w:val="-3"/>
          <w:sz w:val="28"/>
          <w:szCs w:val="28"/>
        </w:rPr>
      </w:pPr>
      <w:r w:rsidRPr="0008415B">
        <w:rPr>
          <w:rFonts w:ascii="Arial" w:hAnsi="Arial" w:cs="Arial"/>
          <w:b/>
          <w:spacing w:val="-3"/>
          <w:sz w:val="28"/>
          <w:szCs w:val="28"/>
        </w:rPr>
        <w:t>Studienprotokoll</w:t>
      </w:r>
    </w:p>
    <w:p w14:paraId="32829921" w14:textId="77777777" w:rsidR="00416CF8" w:rsidRPr="0008415B" w:rsidRDefault="00416CF8" w:rsidP="00416CF8">
      <w:pPr>
        <w:jc w:val="center"/>
        <w:rPr>
          <w:rFonts w:ascii="Arial" w:hAnsi="Arial" w:cs="Arial"/>
          <w:spacing w:val="-3"/>
          <w:sz w:val="24"/>
          <w:szCs w:val="24"/>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93"/>
      </w:tblGrid>
      <w:tr w:rsidR="00416CF8" w:rsidRPr="0008415B" w14:paraId="50558A67" w14:textId="77777777" w:rsidTr="002F2025">
        <w:trPr>
          <w:cantSplit/>
          <w:trHeight w:val="248"/>
        </w:trPr>
        <w:tc>
          <w:tcPr>
            <w:tcW w:w="9993" w:type="dxa"/>
            <w:tcBorders>
              <w:bottom w:val="single" w:sz="4" w:space="0" w:color="auto"/>
            </w:tcBorders>
          </w:tcPr>
          <w:p w14:paraId="573967F2" w14:textId="77777777" w:rsidR="00416CF8" w:rsidRPr="0008415B" w:rsidRDefault="00416CF8" w:rsidP="002F2025">
            <w:pPr>
              <w:numPr>
                <w:ilvl w:val="0"/>
                <w:numId w:val="9"/>
              </w:numPr>
              <w:shd w:val="pct15" w:color="auto" w:fill="FFFFFF"/>
              <w:rPr>
                <w:rFonts w:ascii="Arial" w:hAnsi="Arial" w:cs="Arial"/>
                <w:b/>
                <w:spacing w:val="-3"/>
                <w:sz w:val="24"/>
                <w:szCs w:val="24"/>
              </w:rPr>
            </w:pPr>
            <w:r w:rsidRPr="0008415B">
              <w:rPr>
                <w:rFonts w:ascii="Arial" w:hAnsi="Arial" w:cs="Arial"/>
                <w:b/>
                <w:spacing w:val="-3"/>
                <w:sz w:val="24"/>
                <w:szCs w:val="24"/>
              </w:rPr>
              <w:t>Titel des Projektes:</w:t>
            </w:r>
          </w:p>
        </w:tc>
      </w:tr>
      <w:tr w:rsidR="00416CF8" w:rsidRPr="0008415B" w14:paraId="465193E8" w14:textId="77777777" w:rsidTr="002F2025">
        <w:trPr>
          <w:cantSplit/>
          <w:trHeight w:val="483"/>
        </w:trPr>
        <w:tc>
          <w:tcPr>
            <w:tcW w:w="9993" w:type="dxa"/>
            <w:tcBorders>
              <w:bottom w:val="single" w:sz="4" w:space="0" w:color="auto"/>
            </w:tcBorders>
          </w:tcPr>
          <w:p w14:paraId="7CAB62F0" w14:textId="77777777" w:rsidR="003134AD" w:rsidRPr="0008415B" w:rsidRDefault="003134AD" w:rsidP="003134AD">
            <w:pPr>
              <w:pStyle w:val="Kopfzeile"/>
              <w:tabs>
                <w:tab w:val="left" w:pos="708"/>
              </w:tabs>
              <w:ind w:right="-50"/>
              <w:jc w:val="center"/>
              <w:rPr>
                <w:rFonts w:ascii="Arial" w:hAnsi="Arial" w:cs="Arial"/>
                <w:color w:val="000000"/>
                <w:sz w:val="22"/>
              </w:rPr>
            </w:pPr>
            <w:r w:rsidRPr="0008415B">
              <w:rPr>
                <w:rFonts w:ascii="Arial" w:hAnsi="Arial" w:cs="Arial"/>
                <w:b/>
                <w:color w:val="000000"/>
                <w:sz w:val="24"/>
                <w:szCs w:val="24"/>
              </w:rPr>
              <w:t>Prospektive Evaluation der operativen Versorgung von Sakrumfrakturen beim alten Menschen</w:t>
            </w:r>
          </w:p>
          <w:p w14:paraId="55FF8301" w14:textId="77777777" w:rsidR="00416CF8" w:rsidRPr="0008415B" w:rsidRDefault="00416CF8" w:rsidP="003134AD">
            <w:pPr>
              <w:pStyle w:val="Kopfzeile"/>
              <w:tabs>
                <w:tab w:val="left" w:pos="708"/>
              </w:tabs>
              <w:ind w:right="-50"/>
              <w:jc w:val="center"/>
              <w:rPr>
                <w:rFonts w:ascii="Arial" w:hAnsi="Arial" w:cs="Arial"/>
                <w:b/>
                <w:spacing w:val="-3"/>
                <w:sz w:val="24"/>
                <w:szCs w:val="24"/>
              </w:rPr>
            </w:pPr>
          </w:p>
        </w:tc>
      </w:tr>
      <w:tr w:rsidR="00416CF8" w:rsidRPr="0008415B" w14:paraId="28377584" w14:textId="77777777" w:rsidTr="002F2025">
        <w:tc>
          <w:tcPr>
            <w:tcW w:w="9993" w:type="dxa"/>
            <w:shd w:val="pct15" w:color="auto" w:fill="FFFFFF"/>
          </w:tcPr>
          <w:p w14:paraId="42A3FD41" w14:textId="77777777" w:rsidR="00416CF8" w:rsidRPr="0008415B" w:rsidRDefault="00416CF8" w:rsidP="002F2025">
            <w:pPr>
              <w:numPr>
                <w:ilvl w:val="0"/>
                <w:numId w:val="9"/>
              </w:numPr>
              <w:rPr>
                <w:rFonts w:ascii="Arial" w:hAnsi="Arial" w:cs="Arial"/>
                <w:b/>
                <w:spacing w:val="-3"/>
                <w:sz w:val="24"/>
                <w:szCs w:val="24"/>
              </w:rPr>
            </w:pPr>
            <w:r w:rsidRPr="0008415B">
              <w:rPr>
                <w:rFonts w:ascii="Arial" w:hAnsi="Arial" w:cs="Arial"/>
                <w:b/>
                <w:spacing w:val="-3"/>
                <w:sz w:val="24"/>
                <w:szCs w:val="24"/>
              </w:rPr>
              <w:t>Wissenschaftliche Aufgaben:</w:t>
            </w:r>
          </w:p>
        </w:tc>
      </w:tr>
      <w:tr w:rsidR="00416CF8" w:rsidRPr="0008415B" w14:paraId="19A1A7EB" w14:textId="77777777" w:rsidTr="002F2025">
        <w:tc>
          <w:tcPr>
            <w:tcW w:w="9993" w:type="dxa"/>
          </w:tcPr>
          <w:p w14:paraId="72A406B1" w14:textId="77777777" w:rsidR="00416CF8" w:rsidRPr="0008415B" w:rsidRDefault="00416CF8" w:rsidP="002F2025">
            <w:pPr>
              <w:rPr>
                <w:rFonts w:ascii="Arial" w:hAnsi="Arial" w:cs="Arial"/>
                <w:i/>
                <w:sz w:val="24"/>
                <w:szCs w:val="24"/>
              </w:rPr>
            </w:pPr>
            <w:r w:rsidRPr="0008415B">
              <w:rPr>
                <w:rFonts w:ascii="Arial" w:hAnsi="Arial" w:cs="Arial"/>
                <w:i/>
                <w:sz w:val="24"/>
                <w:szCs w:val="24"/>
              </w:rPr>
              <w:t>Problemstellung und Stand des Wissens (mit Literaturangaben):</w:t>
            </w:r>
          </w:p>
        </w:tc>
      </w:tr>
      <w:tr w:rsidR="00416CF8" w:rsidRPr="0008415B" w14:paraId="341BD81B" w14:textId="77777777" w:rsidTr="002F2025">
        <w:trPr>
          <w:trHeight w:val="1691"/>
        </w:trPr>
        <w:tc>
          <w:tcPr>
            <w:tcW w:w="9993" w:type="dxa"/>
          </w:tcPr>
          <w:p w14:paraId="69B3A056" w14:textId="77777777" w:rsidR="00EB0D23" w:rsidRPr="0008415B" w:rsidRDefault="001C2ADC" w:rsidP="007762C8">
            <w:pPr>
              <w:suppressAutoHyphens w:val="0"/>
              <w:spacing w:line="360" w:lineRule="auto"/>
              <w:jc w:val="both"/>
              <w:rPr>
                <w:rFonts w:ascii="Arial" w:hAnsi="Arial" w:cs="Arial"/>
                <w:sz w:val="24"/>
                <w:szCs w:val="24"/>
              </w:rPr>
            </w:pPr>
            <w:r w:rsidRPr="0008415B">
              <w:rPr>
                <w:rFonts w:ascii="Arial" w:hAnsi="Arial" w:cs="Arial"/>
                <w:sz w:val="24"/>
                <w:szCs w:val="24"/>
              </w:rPr>
              <w:t>Aktuell gibt es in der wissenschaftlichen Gemeinschaft kein klares Behandlungsregime für Sakrumfrakturen auf dem Boden einer Osteoporose des älteren Menschen des Typs B nach AO.</w:t>
            </w:r>
            <w:r w:rsidR="006561B4" w:rsidRPr="0008415B">
              <w:rPr>
                <w:rFonts w:ascii="Arial" w:hAnsi="Arial" w:cs="Arial"/>
                <w:sz w:val="24"/>
                <w:szCs w:val="24"/>
              </w:rPr>
              <w:t xml:space="preserve"> Ferner sehen wir</w:t>
            </w:r>
            <w:r w:rsidR="00EB0D23" w:rsidRPr="0008415B">
              <w:rPr>
                <w:rFonts w:ascii="Arial" w:hAnsi="Arial" w:cs="Arial"/>
                <w:sz w:val="24"/>
                <w:szCs w:val="24"/>
              </w:rPr>
              <w:t xml:space="preserve"> eine stark steigende Inzidenz </w:t>
            </w:r>
            <w:r w:rsidR="006561B4" w:rsidRPr="0008415B">
              <w:rPr>
                <w:rFonts w:ascii="Arial" w:hAnsi="Arial" w:cs="Arial"/>
                <w:sz w:val="24"/>
                <w:szCs w:val="24"/>
              </w:rPr>
              <w:t>dieser Fraktur-Entität</w:t>
            </w:r>
            <w:r w:rsidR="00EB0D23" w:rsidRPr="0008415B">
              <w:rPr>
                <w:rFonts w:ascii="Arial" w:hAnsi="Arial" w:cs="Arial"/>
                <w:sz w:val="24"/>
                <w:szCs w:val="24"/>
              </w:rPr>
              <w:fldChar w:fldCharType="begin" w:fldLock="1"/>
            </w:r>
            <w:r w:rsidR="00CF1259" w:rsidRPr="0008415B">
              <w:rPr>
                <w:rFonts w:ascii="Arial" w:hAnsi="Arial" w:cs="Arial"/>
                <w:sz w:val="24"/>
                <w:szCs w:val="24"/>
              </w:rPr>
              <w:instrText>ADDIN</w:instrText>
            </w:r>
            <w:r w:rsidR="00EB0D23" w:rsidRPr="0008415B">
              <w:rPr>
                <w:rFonts w:ascii="Arial" w:hAnsi="Arial" w:cs="Arial"/>
                <w:sz w:val="24"/>
                <w:szCs w:val="24"/>
              </w:rPr>
              <w:instrText xml:space="preserve"> CSL_CITATION { "citationItems" : [ { "id" : "ITEM-1", "itemData" : { "DOI" : "10.1016/j.injury.2014.10.050", "ISSN" : "1879-0267", "PMID" : "25527459", "abstract" : "INTRODUCTION Patients with a fracture in the anterior pelvic ring often simultaneously demonstrate pain in the posterior pelvic ring. The aim of the present prospective study was to assess the sensitivity of CT, MRI and clinical examination in the detection of fractures in the posterior pelvic ring in patients with fractures of the anterior pelvic ring diagnosed in conventional radiographs. METHODS Sixty patients with radiographic signs of an anterior pelvic ring injury were included in this prospective analysis. Following a focused clinical examination of the posterior pelvis, all patients underwent both a CT and then a MRI scan of their pelvis. Two board certified radiologists evaluated the CT and MRI scans independently. To estimate the presence of osteoporosis the Hounsfield units of the vertebral body of L5 were measured in each case. RESULTS Fifty-three women and seven men, with a mean age of 74.7+/-15.6 years were included into the study. A fracture of the posterior pelvic ring was found in fourty-eight patients (80%) patients using MRI. Fractures of the posterior pelvic ring would have been missed in eight cases (17%), if only CT had been used. Eighty-five percent of the patients with a posterior fracture had an osteoporosis. The majority of the cases suffered from a low energy trauma. Thirty-eight patients (83%) with positive clinical signs at the posterior pelvic ring actually had a fracture of the posterior pelvic ring in the MRI. The clinical examination proved to be equally effective to CT in detecting posterior pelvic ring fractures. CONCLUSION The significance of both, clinical examination and CT was confirmed in the detection of fractures in the posterior pelvic ring. MRI examination of the pelvis however, was found to be superior in detecting undislocated fractures in a cohort of patients with a high incidence of osteoporosis. Using MRI may be beneficial in select cases, especially when reduced bone density is suspected.", "author" : [ { "dropping-particle" : "V", "family" : "N\u00fcchtern", "given" : "J", "non-dropping-particle" : "", "parse-names" : false, "suffix" : "" }, { "dropping-particle" : "", "family" : "Hartel", "given" : "M J", "non-dropping-particle" : "", "parse-names" : false, "suffix" : "" }, { "dropping-particle" : "", "family" : "Henes", "given" : "F O", "non-dropping-particle" : "", "parse-names" : false, "suffix" : "" }, { "dropping-particle" : "", "family" : "Groth", "given" : "M", "non-dropping-particle" : "", "parse-names" : false, "suffix" : "" }, { "dropping-particle" : "", "family" : "Jauch", "given" : "S Y", "non-dropping-particle" : "", "parse-names" : false, "suffix" : "" }, { "dropping-particle" : "", "family" : "Haegele", "given" : "J", "non-dropping-particle" : "", "parse-names" : false, "suffix" : "" }, { "dropping-particle" : "", "family" : "Briem", "given" : "D", "non-dropping-particle" : "", "parse-names" : false, "suffix" : "" }, { "dropping-particle" : "", "family" : "Hoffmann", "given" : "M", "non-dropping-particle" : "", "parse-names" : false, "suffix" : "" }, { "dropping-particle" : "", "family" : "Lehmann", "given" : "W", "non-dropping-particle" : "", "parse-names" : false, "suffix" : "" }, { "dropping-particle" : "", "family" : "Rueger", "given" : "J M", "non-dropping-particle" : "", "parse-names" : false, "suffix" : "" }, { "dropping-particle" : "", "family" : "Gro\u00dfterlinden", "given" : "L G", "non-dropping-particle" : "", "parse-names" : false, "suffix" : "" } ], "container-title" : "Injury", "id" : "ITEM-1", "issue" : "2", "issued" : { "date-parts" : [ [ "2015", "2" ] ] }, "page" : "315-9", "title" : "Significance of clinical examination, CT and MRI scan in the diagnosis of posterior pelvic ring fractures.", "type" : "article-journal", "volume" : "46" }, "uris" : [ "http://www.mendeley.com/documents/?uuid=d163e000-218b-3b8d-8768-c721688a61ee" ] } ], "mendeley" : { "formattedCitation" : "&lt;sup&gt;1&lt;/sup&gt;", "plainTextFormattedCitation" : "1", "previouslyFormattedCitation" : "&lt;sup&gt;1&lt;/sup&gt;" }, "properties" : { "noteIndex" : 0 }, "schema" : "https://github.com/citation-style-language/schema/raw/master/csl-citation.json" }</w:instrText>
            </w:r>
            <w:r w:rsidR="00EB0D23" w:rsidRPr="0008415B">
              <w:rPr>
                <w:rFonts w:ascii="Arial" w:hAnsi="Arial" w:cs="Arial"/>
                <w:sz w:val="24"/>
                <w:szCs w:val="24"/>
              </w:rPr>
              <w:fldChar w:fldCharType="separate"/>
            </w:r>
            <w:r w:rsidR="00EB0D23" w:rsidRPr="0008415B">
              <w:rPr>
                <w:rFonts w:ascii="Arial" w:hAnsi="Arial" w:cs="Arial"/>
                <w:noProof/>
                <w:sz w:val="24"/>
                <w:szCs w:val="24"/>
                <w:vertAlign w:val="superscript"/>
              </w:rPr>
              <w:t>1</w:t>
            </w:r>
            <w:r w:rsidR="00EB0D23" w:rsidRPr="0008415B">
              <w:rPr>
                <w:rFonts w:ascii="Arial" w:hAnsi="Arial" w:cs="Arial"/>
                <w:sz w:val="24"/>
                <w:szCs w:val="24"/>
              </w:rPr>
              <w:fldChar w:fldCharType="end"/>
            </w:r>
            <w:r w:rsidR="00EB0D23" w:rsidRPr="0008415B">
              <w:rPr>
                <w:rFonts w:ascii="Arial" w:hAnsi="Arial" w:cs="Arial"/>
                <w:sz w:val="24"/>
                <w:szCs w:val="24"/>
              </w:rPr>
              <w:t>. Häufig schließt sich, besonders bei immobilisierenden Schmerzen und dem Nachweis einer vorderen/hinteren Typ B Beckenringfraktur eine minimalinvasive operative Therapie, zur Stabilisation der Verletzung an. Bei einem Blick in die Literatur fällt das Fehlen ausreichender Evidenz für das international weitgehend etablierte therapeutische Vorgehen auf. Dieses Vorgehen stützt sich weitestgehend auf Expertenmeinungen und Erfahrungsberichte aus Fallserien</w:t>
            </w:r>
            <w:r w:rsidR="00EB0D23" w:rsidRPr="0008415B">
              <w:rPr>
                <w:rFonts w:ascii="Arial" w:hAnsi="Arial" w:cs="Arial"/>
                <w:sz w:val="24"/>
                <w:szCs w:val="24"/>
              </w:rPr>
              <w:fldChar w:fldCharType="begin" w:fldLock="1"/>
            </w:r>
            <w:r w:rsidR="00CF1259" w:rsidRPr="0008415B">
              <w:rPr>
                <w:rFonts w:ascii="Arial" w:hAnsi="Arial" w:cs="Arial"/>
                <w:sz w:val="24"/>
                <w:szCs w:val="24"/>
              </w:rPr>
              <w:instrText>ADDIN</w:instrText>
            </w:r>
            <w:r w:rsidR="00EB0D23" w:rsidRPr="0008415B">
              <w:rPr>
                <w:rFonts w:ascii="Arial" w:hAnsi="Arial" w:cs="Arial"/>
                <w:sz w:val="24"/>
                <w:szCs w:val="24"/>
              </w:rPr>
              <w:instrText xml:space="preserve"> CSL_CITATION { "citationItems" : [ { "id" : "ITEM-1", "itemData" : { "DOI" : "10.1007/s00068-015-0530-z", "ISSN" : "1863-9941", "PMID" : "26038048", "abstract" : "The increasing prevalence of fragility fractures of the sacrum (FFS) occurring predominantly in osteoporotic individuals poses a diagnostic and therapeutic challenge. The clinical presentation varies from longstanding low back pain without the patient remembering a traumatic event to immobilized patients after suffering a low-energy trauma. FFS are often combined with a fracture of the anterior pelvic ring; hence they are classified as a part of fragility fractures of the pelvis (FFP). If not displaced, the patients are treated with weight bearing as tolerated and analgesics; however, we advocate to treat displaced fractures surgically according to the fracture personality and the patient's comorbidities. Surgical options include minimal invasive sacro-iliac screws, trans-sacral bar osteosynthesis, open reduction and internal fixation, or spinopelvic stabilization. In the light of the high complication rate associated with immobilized patients, an operative approach often is indicated to accelerate the patient's mobility.", "author" : [ { "dropping-particle" : "", "family" : "Wagner", "given" : "D", "non-dropping-particle" : "", "parse-names" : false, "suffix" : "" }, { "dropping-particle" : "", "family" : "Ossendorf", "given" : "C", "non-dropping-particle" : "", "parse-names" : false, "suffix" : "" }, { "dropping-particle" : "", "family" : "Gruszka", "given" : "D", "non-dropping-particle" : "", "parse-names" : false, "suffix" : "" }, { "dropping-particle" : "", "family" : "Hofmann", "given" : "A", "non-dropping-particle" : "", "parse-names" : false, "suffix" : "" }, { "dropping-particle" : "", "family" : "Rommens", "given" : "P M", "non-dropping-particle" : "", "parse-names" : false, "suffix" : "" } ], "container-title" : "European journal of trauma and emergency surgery : official publication of the European Trauma Society", "id" : "ITEM-1", "issue" : "4", "issued" : { "date-parts" : [ [ "2015", "8" ] ] }, "page" : "349-62", "title" : "Fragility fractures of the sacrum: how to identify and when to treat surgically?", "type" : "article-journal", "volume" : "41" }, "uris" : [ "http://www.mendeley.com/documents/?uuid=ad3c7875-8dcf-3daa-8d95-adbe255694ba" ] }, { "id" : "ITEM-2", "itemData" : { "DOI" : "10.1038/nrrheum.2011.217", "ISSN" : "1759-4790", "PMID" : "22249162", "abstract" : "In almost all patients with incident fractures, the absolute risk of subsequent fracture and mortality is highest immediately after the fracture is incurred; the risk is substantially increased in frail elderly patients. The risk factors for incident fractures, such as bone fragility, tendency to fall and the presence of metabolic bone disease, remain underdiagnosed and undertreated. Here, we review the evidence that demonstrates the influence of these risk factors on susceptibility to subsequent fracture and mortality after an incident fracture, and discuss the tools available to predict these outcomes. In this Review, we also propose a systematic, coordinator-based approach to assessment of risk, allocation of treatment and follow-up in all patients over 50 years of age who present with a fracture. The aim of this proposed multistep procedure is to improve the prevention of secondary fracture, decrease mortality rates and reduce patient undertreatment or overtreatment.", "author" : [ { "dropping-particle" : "", "family" : "Bergh", "given" : "Joop P.", "non-dropping-particle" : "van den", "parse-names" : false, "suffix" : "" }, { "dropping-particle" : "", "family" : "Geel", "given" : "Tineke A.", "non-dropping-particle" : "van", "parse-names" : false, "suffix" : "" }, { "dropping-particle" : "", "family" : "Geusens", "given" : "Piet P.", "non-dropping-particle" : "", "parse-names" : false, "suffix" : "" } ], "container-title" : "Nature Reviews Rheumatology", "id" : "ITEM-2", "issue" : "3", "issued" : { "date-parts" : [ [ "2012", "1", "17" ] ] }, "page" : "163-172", "title" : "Osteoporosis, frailty and fracture: implications for case finding and therapy", "type" : "article-journal", "volume" : "8" }, "uris" : [ "http://www.mendeley.com/documents/?uuid=e9e5adc9-c5a3-3e38-9980-29112d1b161b" ] }, { "id" : "ITEM-3", "itemData" : { "DOI" : "10.1111/j.1532-5415.2011.03455.x", "ISSN" : "1532-5415", "PMID" : "21718260", "abstract" : "OBJECTIVES To identify fracture types in a series of older adults with pelvic fractures and to determine whether the type of pelvic fracture affected short-term outcomes and morbidity. DESIGN Retrospective chart review. SETTING Teaching hospital. PARTICIPANTS One hundred eighty-one individuals aged 65 and older with low-energy pelvic fractures. MEASUREMENTS Fracture type, in-hospital complications, mortality, maximal return to function, and return to living situation. RESULTS Of the 181 participants, 119 had unilateral displaced pubic rami fractures, 38 had nondisplaced pubic rami fractures, 14 had sacral insufficiency fractures, and 10 had bilateral displaced pubic rami fractures. There were no significant differences found in participant age; comorbidities; diagnosis of dementia; in-hospital complications; or 30-day, 90-day, or 1-year mortality rates between fracture types. Fracture type did not affect the ability of the participants to return home or their use of ambulatory aid. CONCLUSION For older adults, morbidity and mortality rates for nondisplaced pubic rami fractures and sacral insufficiency fractures are similar to those for displaced pelvic fractures.", "author" : [ { "dropping-particle" : "", "family" : "Mears", "given" : "Simon C", "non-dropping-particle" : "", "parse-names" : false, "suffix" : "" }, { "dropping-particle" : "", "family" : "Berry", "given" : "Daniel J", "non-dropping-particle" : "", "parse-names" : false, "suffix" : "" } ], "container-title" : "Journal of the American Geriatrics Society", "id" : "ITEM-3", "issue" : "7", "issued" : { "date-parts" : [ [ "2011", "7" ] ] }, "page" : "1309-12", "title" : "Outcomes of displaced and nondisplaced pelvic and sacral fractures in elderly adults.", "type" : "article-journal", "volume" : "59" }, "uris" : [ "http://www.mendeley.com/documents/?uuid=f62496b3-f1db-385d-a1f9-4b70612c7d0d" ] }, { "id" : "ITEM-4", "itemData" : { "DOI" : "10.1016/j.injury.2012.05.016", "ISSN" : "1879-0267", "PMID" : "22682148", "abstract" : "BACKGROUND Fractures of the pubic rami are associated with prolonged pain, bed rest and increased morbidity and mortality. Often no further diagnostic work-up is undertaken and the pubic rami fractures are classified as stable injuries. However, fractured pubic rami seem to be only part of the picture and are often associated with posterior pelvic ring injury. This retrospective study was designed to evaluate the posterior ring for undetected injury in patients diagnosed with pubic rami fractures. METHODS All patients (n=233) with diagnosed fractures of the pubic rami were retrospectively retrieved. All patients with a CT scan available at time of admission (n=177) were included in the study. RESULTS In 28.8% of the cases a fracture of the acetabulum was found additionally to the pubic rami. In cases without obvious other injury of the ap radiograph, an injury of the posterior pelvic ring was found on CT scans in 96.8% of the patients. Most lesions represented transforaminal sacral fractures, avulsion fractures of ligaments or compression fractures of the lateral mass. All patients with dorsal injuries could initially be treated conservatively, nevertheless 30% of them needed operative treatment in the course. CONCLUSION Nearly all cases with fractures of the pubic rami do have a lesion elsewhere within the pelvic ring. In patients with prolonged pain and immobility following 'pubic rami fractures' one should be aware that they probably represent an undiagnosed pelvic ring injury and further diagnostic work-up - sometimes even surgery - is warranted.", "author" : [ { "dropping-particle" : "", "family" : "Scheyerer", "given" : "Max J", "non-dropping-particle" : "", "parse-names" : false, "suffix" : "" }, { "dropping-particle" : "", "family" : "Osterhoff", "given" : "Georg", "non-dropping-particle" : "", "parse-names" : false, "suffix" : "" }, { "dropping-particle" : "", "family" : "Wehrle", "given" : "Silvio", "non-dropping-particle" : "", "parse-names" : false, "suffix" : "" }, { "dropping-particle" : "", "family" : "Wanner", "given" : "Guido A", "non-dropping-particle" : "", "parse-names" : false, "suffix" : "" }, { "dropping-particle" : "", "family" : "Simmen", "given" : "Hans-Peter", "non-dropping-particle" : "", "parse-names" : false, "suffix" : "" }, { "dropping-particle" : "", "family" : "Werner", "given" : "Clement M L", "non-dropping-particle" : "", "parse-names" : false, "suffix" : "" }, { "dropping-particle" : "", "family" : "Breuil", "given" : "V.", "non-dropping-particle" : "", "parse-names" : false, "suffix" : "" }, { "dropping-particle" : "", "family" : "Roux", "given" : "C.H.", "non-dropping-particle" : "", "parse-names" : false, "suffix" : "" }, { "dropping-particle" : "", "family" : "Testa", "given" : "J.", "non-dropping-particle" : "", "parse-names" : false, "suffix" : "" }, { "dropping-particle" : "", "family" : "Albert", "given" : "C.", "non-dropping-particle" : "", "parse-names" : false, "suffix" : "" }, { "dropping-particle" : "", "family" : "Chassang", "given" : "M.", "non-dropping-particle" : "", "parse-names" : false, "suffix" : "" }, { "dropping-particle" : "", "family" : "Brocq", "given" : "O.", "non-dropping-particle" : "", "parse-names" : false, "suffix" : "" }, { "dropping-particle" : "", "family" : "al.", "given" : "et", "non-dropping-particle" : "", "parse-names" : false, "suffix" : "" }, { "dropping-particle" : "", "family" : "Hill", "given" : "R.M.", "non-dropping-particle" : "", "parse-names" : false, "suffix" : "" }, { "dropping-particle" : "", "family" : "Robinson", "given" : "C.M.", "non-dropping-particle" : "", "parse-names" : false, "suffix" : "" }, { "dropping-particle" : "", "family" : "Keating", "given" : "J.F.", "non-dropping-particle" : "", "parse-names" : false, "suffix" : "" }, { "dropping-particle" : "van", "family" : "Dijk", "given" : "W.A.", "non-dropping-particle" : "", "parse-names" : false, "suffix" : "" }, { "dropping-particle" : "", "family" : "Poeze", "given" : "M.", "non-dropping-particle" : "", "parse-names" : false, "suffix" : "" }, { "dropping-particle" : "van", "family" : "Helden", "given" : "S.H.", "non-dropping-particle" : "", "parse-names" : false, "suffix" : "" }, { "dropping-particle" : "", "family" : "Brink", "given" : "P.R.", "non-dropping-particle" : "", "parse-names" : false, "suffix" : "" }, { "dropping-particle" : "", "family" : "Verbruggen", "given" : "J.P.", "non-dropping-particle" : "", "parse-names" : false, "suffix" : "" }, { "dropping-particle" : "", "family" : "Koval", "given" : "K.J.", "non-dropping-particle" : "", "parse-names" : false, "suffix" : "" }, { "dropping-particle" : "", "family" : "Aharonoff", "given" : "G.B.", "non-dropping-particle" : "", "parse-names" : false, "suffix" : "" }, { "dropping-particle" : "", "family" : "Schwartz", "given" : "M.C.", "non-dropping-particle" : "", "parse-names" : false, "suffix" : "" }, { "dropping-particle" : "", "family" : "Alpert", "given" : "S.", "non-dropping-particle" : "", "parse-names" : false, "suffix" : "" }, { "dropping-particle" : "", "family" : "Cohen", "given" : "G.", "non-dropping-particle" : "", "parse-names" : false, "suffix" : "" }, { "dropping-particle" : "", "family" : "McShinawy", "given" : "A.", "non-dropping-particle" : "", "parse-names" : false, "suffix" : "" }, { "dropping-particle" : "", "family" : "al.", "given" : "et", "non-dropping-particle" : "", "parse-names" : false, "suffix" : "" }, { "dropping-particle" : "", "family" : "Gertzbein", "given" : "S.D.", "non-dropping-particle" : "", "parse-names" : false, "suffix" : "" }, { "dropping-particle" : "", "family" : "Chenoweth", "given" : "D.R.", "non-dropping-particle" : "", "parse-names" : false, "suffix" : "" }, { "dropping-particle" : "", "family" : "Krappinger", "given" : "D.", "non-dropping-particle" : "", "parse-names" : false, "suffix" : "" }, { "dropping-particle" : "", "family" : "Struve", "given" : "P.", "non-dropping-particle" : "", "parse-names" : false, "suffix" : "" }, { "dropping-particle" : "", "family" : "Schmid", "given" : "R.", "non-dropping-particle" : "", "parse-names" : false, "suffix" : "" }, { "dropping-particle" : "", "family" : "Kroesslhuber", "given" : "J.", "non-dropping-particle" : "", "parse-names" : false, "suffix" : "" }, { "dropping-particle" : "", "family" : "Blauth", "given" : "M.", "non-dropping-particle" : "", "parse-names" : false, "suffix" : "" }, { "dropping-particle" : "", "family" : "Buckley", "given" : "S.L.", "non-dropping-particle" : "", "parse-names" : false, "suffix" : "" }, { "dropping-particle" : "", "family" : "Burkus", "given" : "J.K.", "non-dropping-particle" : "", "parse-names" : false, "suffix" : "" }, { "dropping-particle" : "", "family" : "Hoffmeyer", "given" : "P.", "non-dropping-particle" : "", "parse-names" : false, "suffix" : "" }, { "dropping-particle" : "", "family" : "Seigne", "given" : "J.M.", "non-dropping-particle" : "", "parse-names" : false, "suffix" : "" }, { "dropping-particle" : "", "family" : "Garcia", "given" : "J.", "non-dropping-particle" : "", "parse-names" : false, "suffix" : "" }, { "dropping-particle" : "", "family" : "Vasey", "given" : "H.", "non-dropping-particle" : "", "parse-names" : false, "suffix" : "" }, { "dropping-particle" : "", "family" : "Vrahas", "given" : "M.", "non-dropping-particle" : "", "parse-names" : false, "suffix" : "" }, { "dropping-particle" : "", "family" : "Hern", "given" : "T.C.", "non-dropping-particle" : "", "parse-names" : false, "suffix" : "" }, { "dropping-particle" : "", "family" : "Diangelo", "given" : "D.", "non-dropping-particle" : "", "parse-names" : false, "suffix" : "" }, { "dropping-particle" : "", "family" : "Kellam", "given" : "J.", "non-dropping-particle" : "", "parse-names" : false, "suffix" : "" }, { "dropping-particle" : "", "family" : "Tile", "given" : "M.", "non-dropping-particle" : "", "parse-names" : false, "suffix" : "" }, { "dropping-particle" : "", "family" : "Pennal", "given" : "G.F.", "non-dropping-particle" : "", "parse-names" : false, "suffix" : "" }, { "dropping-particle" : "", "family" : "Tile", "given" : "M.", "non-dropping-particle" : "", "parse-names" : false, "suffix" : "" }, { "dropping-particle" : "", "family" : "Waddell", "given" : "J.P.", "non-dropping-particle" : "", "parse-names" : false, "suffix" : "" }, { "dropping-particle" : "", "family" : "Garside", "given" : "H.", "non-dropping-particle" : "", "parse-names" : false, "suffix" : "" }, { "dropping-particle" : "", "family" : "Tile", "given" : "M.", "non-dropping-particle" : "", "parse-names" : false, "suffix" : "" }, { "dropping-particle" : "", "family" : "Isler", "given" : "B.", "non-dropping-particle" : "", "parse-names" : false, "suffix" : "" }, { "dropping-particle" : "", "family" : "Ganz", "given" : "R.", "non-dropping-particle" : "", "parse-names" : false, "suffix" : "" }, { "dropping-particle" : "", "family" : "Obaid", "given" : "A.K.", "non-dropping-particle" : "", "parse-names" : false, "suffix" : "" }, { "dropping-particle" : "", "family" : "Barleben", "given" : "A.", "non-dropping-particle" : "", "parse-names" : false, "suffix" : "" }, { "dropping-particle" : "", "family" : "Porral", "given" : "D.", "non-dropping-particle" : "", "parse-names" : false, "suffix" : "" }, { "dropping-particle" : "", "family" : "Lush", "given" : "S.", "non-dropping-particle" : "", "parse-names" : false, "suffix" : "" }, { "dropping-particle" : "", "family" : "Cinat", "given" : "M.", "non-dropping-particle" : "", "parse-names" : false, "suffix" : "" }, { "dropping-particle" : "", "family" : "Guillamondegui", "given" : "O.D.", "non-dropping-particle" : "", "parse-names" : false, "suffix" : "" }, { "dropping-particle" : "", "family" : "Pryor", "given" : "J.P.", "non-dropping-particle" : "", "parse-names" : false, "suffix" : "" }, { "dropping-particle" : "", "family" : "Garcias", "given" : "V.H.", "non-dropping-particle" : "", "parse-names" : false, "suffix" : "" }, { "dropping-particle" : "", "family" : "Gupta", "given" : "R.", "non-dropping-particle" : "", "parse-names" : false, "suffix" : "" }, { "dropping-particle" : "", "family" : "Reilly", "given" : "P.M.", "non-dropping-particle" : "", "parse-names" : false, "suffix" : "" }, { "dropping-particle" : "", "family" : "Schwab", "given" : "C.W.", "non-dropping-particle" : "", "parse-names" : false, "suffix" : "" }, { "dropping-particle" : "", "family" : "Hilty", "given" : "M.P.", "non-dropping-particle" : "", "parse-names" : false, "suffix" : "" }, { "dropping-particle" : "", "family" : "Behrendt", "given" : "I.", "non-dropping-particle" : "", "parse-names" : false, "suffix" : "" }, { "dropping-particle" : "", "family" : "Benneker", "given" : "L.M.", "non-dropping-particle" : "", "parse-names" : false, "suffix" : "" }, { "dropping-particle" : "", "family" : "Martinolli", "given" : "L.", "non-dropping-particle" : "", "parse-names" : false, "suffix" : "" }, { "dropping-particle" : "", "family" : "Stoupis", "given" : "C.", "non-dropping-particle" : "", "parse-names" : false, "suffix" : "" }, { "dropping-particle" : "", "family" : "Buggy", "given" : "D.J.", "non-dropping-particle" : "", "parse-names" : false, "suffix" : "" }, { "dropping-particle" : "", "family" : "al.", "given" : "et", "non-dropping-particle" : "", "parse-names" : false, "suffix" : "" }, { "dropping-particle" : "", "family" : "Dalinka", "given" : "M.K.", "non-dropping-particle" : "", "parse-names" : false, "suffix" : "" }, { "dropping-particle" : "", "family" : "Arger", "given" : "P.", "non-dropping-particle" : "", "parse-names" : false, "suffix" : "" }, { "dropping-particle" : "", "family" : "Coleman", "given" : "B.", "non-dropping-particle" : "", "parse-names" : false, "suffix" : "" }, { "dropping-particle" : "", "family" : "Albrechtsen", "given" : "J.", "non-dropping-particle" : "", "parse-names" : false, "suffix" : "" }, { "dropping-particle" : "", "family" : "Hede", "given" : "J.", "non-dropping-particle" : "", "parse-names" : false, "suffix" : "" }, { "dropping-particle" : "", "family" : "Jurik", "given" : "A.G.", "non-dropping-particle" : "", "parse-names" : false, "suffix" : "" }, { "dropping-particle" : "", "family" : "Dunn", "given" : "E.L.", "non-dropping-particle" : "", "parse-names" : false, "suffix" : "" }, { "dropping-particle" : "", "family" : "Berry", "given" : "P.H.", "non-dropping-particle" : "", "parse-names" : false, "suffix" : "" }, { "dropping-particle" : "", "family" : "Connally", "given" : "J.D.", "non-dropping-particle" : "", "parse-names" : false, "suffix" : "" }, { "dropping-particle" : "", "family" : "Kessel", "given" : "B.", "non-dropping-particle" : "", "parse-names" : false, "suffix" : "" }, { "dropping-particle" : "", "family" : "Sevi", "given" : "R.", "non-dropping-particle" : "", "parse-names" : false, "suffix" : "" }, { "dropping-particle" : "", "family" : "Jeroukhimov", "given" : "I.", "non-dropping-particle" : "", "parse-names" : false, "suffix" : "" }, { "dropping-particle" : "", "family" : "Kalganov", "given" : "A.", "non-dropping-particle" : "", "parse-names" : false, "suffix" : "" }, { "dropping-particle" : "", "family" : "Khashan", "given" : "T.", "non-dropping-particle" : "", "parse-names" : false, "suffix" : "" }, { "dropping-particle" : "", "family" : "Ashkenazi", "given" : "I.", "non-dropping-particle" : "", "parse-names" : false, "suffix" : "" }, { "dropping-particle" : "", "family" : "Gill", "given" : "K.", "non-dropping-particle" : "", "parse-names" : false, "suffix" : "" }, { "dropping-particle" : "", "family" : "Bucholz", "given" : "R.W.", "non-dropping-particle" : "", "parse-names" : false, "suffix" : "" }, { "dropping-particle" : "", "family" : "Heuck", "given" : "F.", "non-dropping-particle" : "", "parse-names" : false, "suffix" : "" }, { "dropping-particle" : "", "family" : "Schneider", "given" : "R.", "non-dropping-particle" : "", "parse-names" : false, "suffix" : "" }, { "dropping-particle" : "", "family" : "Rommens", "given" : "P.M.", "non-dropping-particle" : "", "parse-names" : false, "suffix" : "" }, { "dropping-particle" : "", "family" : "Vanderschot", "given" : "P.M.", "non-dropping-particle" : "", "parse-names" : false, "suffix" : "" }, { "dropping-particle" : "", "family" : "Broos", "given" : "P.L.", "non-dropping-particle" : "", "parse-names" : false, "suffix" : "" }, { "dropping-particle" : "", "family" : "Sch\u00e4del-H\u00f6pfner", "given" : "M.", "non-dropping-particle" : "", "parse-names" : false, "suffix" : "" }, { "dropping-particle" : "", "family" : "Celik", "given" : "I.", "non-dropping-particle" : "", "parse-names" : false, "suffix" : "" }, { "dropping-particle" : "", "family" : "Stiletto", "given" : "R.", "non-dropping-particle" : "", "parse-names" : false, "suffix" : "" }, { "dropping-particle" : "", "family" : "Giannadakis", "given" : "K.", "non-dropping-particle" : "", "parse-names" : false, "suffix" : "" }, { "dropping-particle" : "", "family" : "Froehlich", "given" : "J.J.", "non-dropping-particle" : "", "parse-names" : false, "suffix" : "" }, { "dropping-particle" : "", "family" : "Gotzen", "given" : "L.", "non-dropping-particle" : "", "parse-names" : false, "suffix" : "" }, { "dropping-particle" : "", "family" : "Pohlemann", "given" : "T.", "non-dropping-particle" : "", "parse-names" : false, "suffix" : "" }, { "dropping-particle" : "", "family" : "Gansslen", "given" : "A.", "non-dropping-particle" : "", "parse-names" : false, "suffix" : "" }, { "dropping-particle" : "", "family" : "Tscherne", "given" : "H.", "non-dropping-particle" : "", "parse-names" : false, "suffix" : "" } ], "container-title" : "Injury", "id" : "ITEM-4", "issue" : "8", "issued" : { "date-parts" : [ [ "2012", "8" ] ] }, "page" : "1326-9", "publisher" : "Elsevier", "title" : "Detection of posterior pelvic injuries in fractures of the pubic rami.", "type" : "article-journal", "volume" : "43" }, "uris" : [ "http://www.mendeley.com/documents/?uuid=18825e18-4e62-3889-a940-750b58ec6f0c" ] }, { "id" : "ITEM-5", "itemData" : { "DOI" : "10.1016/j.injury.2013.06.023", "ISSN" : "1879-0267", "PMID" : "23871193", "abstract" : "Due to the increasing life expectancy, orthopaedic surgeons are more and more often confronted with fragility fractures of the pelvis (FFPs). These kinds of fractures are the result of a low-energy impact or they may even occur spontaneously in patients with severe osteoporosis. Due to some distinct differences, the established classifications for pelvic ring lesions in younger adults do not fully reflect the clinical and morphological criteria of FFPs. Most FFPs are minimally displaced and do not require surgical therapy. However, in some patients, an insidious progress of bone damage leads to increasing displacement, nonunion and persisting instability. Therefore, new concepts for surgical treatment have to be developed to address the functional needs of the elderly patients. Based on an analysis of 245 consecutive patients with FFPs, we propose a novel classification system for this condition. This classification is based on morphological criteria and it corresponds with the degree of instability. Also in the elderly, these criteria are the most important for the decision on the type of treatment as well as type and extent of surgery. The estimation of the degree of instability is based on radiological and clinical findings. The classification gives also hints for treatment strategies, which may vary between minimally invasive techniques and complex surgical reconstructions.", "author" : [ { "dropping-particle" : "", "family" : "Rommens", "given" : "Pol Maria", "non-dropping-particle" : "", "parse-names" : false, "suffix" : "" }, { "dropping-particle" : "", "family" : "Hofmann", "given" : "Alexander", "non-dropping-particle" : "", "parse-names" : false, "suffix" : "" } ], "container-title" : "Injury", "id" : "ITEM-5", "issue" : "12", "issued" : { "date-parts" : [ [ "2013", "12" ] ] }, "page" : "1733-44", "title" : "Comprehensive classification of fragility fractures of the pelvic ring: Recommendations for surgical treatment.", "type" : "article-journal", "volume" : "44" }, "uris" : [ "http://www.mendeley.com/documents/?uuid=903e7237-cf2a-3ae4-a782-1f3464fae0fc" ] } ], "mendeley" : { "formattedCitation" : "&lt;sup&gt;2\u20136&lt;/sup&gt;", "plainTextFormattedCitation" : "2\u20136", "previouslyFormattedCitation" : "&lt;sup&gt;2\u20136&lt;/sup&gt;" }, "properties" : { "noteIndex" : 0 }, "schema" : "https://github.com/citation-style-language/schema/raw/master/csl-citation.json" }</w:instrText>
            </w:r>
            <w:r w:rsidR="00EB0D23" w:rsidRPr="0008415B">
              <w:rPr>
                <w:rFonts w:ascii="Arial" w:hAnsi="Arial" w:cs="Arial"/>
                <w:sz w:val="24"/>
                <w:szCs w:val="24"/>
              </w:rPr>
              <w:fldChar w:fldCharType="separate"/>
            </w:r>
            <w:r w:rsidR="00EB0D23" w:rsidRPr="0008415B">
              <w:rPr>
                <w:rFonts w:ascii="Arial" w:hAnsi="Arial" w:cs="Arial"/>
                <w:noProof/>
                <w:sz w:val="24"/>
                <w:szCs w:val="24"/>
                <w:vertAlign w:val="superscript"/>
              </w:rPr>
              <w:t>2–6</w:t>
            </w:r>
            <w:r w:rsidR="00EB0D23" w:rsidRPr="0008415B">
              <w:rPr>
                <w:rFonts w:ascii="Arial" w:hAnsi="Arial" w:cs="Arial"/>
                <w:sz w:val="24"/>
                <w:szCs w:val="24"/>
              </w:rPr>
              <w:fldChar w:fldCharType="end"/>
            </w:r>
          </w:p>
          <w:p w14:paraId="20A9C598" w14:textId="1C082C59" w:rsidR="005609D3" w:rsidRPr="0008415B" w:rsidRDefault="005609D3" w:rsidP="007762C8">
            <w:pPr>
              <w:suppressAutoHyphens w:val="0"/>
              <w:spacing w:line="360" w:lineRule="auto"/>
              <w:jc w:val="both"/>
              <w:rPr>
                <w:rFonts w:ascii="Arial" w:hAnsi="Arial" w:cs="Arial"/>
                <w:sz w:val="24"/>
              </w:rPr>
            </w:pPr>
            <w:r w:rsidRPr="0008415B">
              <w:rPr>
                <w:rFonts w:ascii="Arial" w:hAnsi="Arial" w:cs="Arial"/>
                <w:sz w:val="24"/>
              </w:rPr>
              <w:t>Die Fraktur des hinteren Beckenrings ist eine bedeutende Verletzung des alten Menschen. Sie entsteht zumeist durch Niedrig-Energie Traumen basierend auf eine verminderte Knochenqualität im Sinne einer Osteoporose</w:t>
            </w:r>
            <w:r w:rsidRPr="0008415B">
              <w:rPr>
                <w:rFonts w:ascii="Arial" w:hAnsi="Arial" w:cs="Arial"/>
                <w:sz w:val="24"/>
              </w:rPr>
              <w:fldChar w:fldCharType="begin" w:fldLock="1"/>
            </w:r>
            <w:r w:rsidR="000D7ECB">
              <w:rPr>
                <w:rFonts w:ascii="Arial" w:hAnsi="Arial" w:cs="Arial"/>
                <w:sz w:val="24"/>
              </w:rPr>
              <w:instrText>ADDIN CSL_CITATION { "citationItems" : [ { "id" : "ITEM-1", "itemData" : { "DOI" : "10.1017/S1481803500012732", "ISSN" : "1481-8035", "author" : [ { "dropping-particle" : "", "family" : "Dodge", "given" : "Greg", "non-dropping-particle" : "", "parse-names" : false, "suffix" : "" }, { "dropping-particle" : "", "family" : "Brison", "given" : "Rob", "non-dropping-particle" : "", "parse-names" : false, "suffix" : "" }, { "dropping-particle" : "", "family" : "Boufous", "given" : "Soufiane", "non-dropping-particle" : "", "parse-names" : false, "suffix" : "" }, { "dropping-particle" : "", "family" : "Finch", "given" : "Caroline", "non-dropping-particle" : "", "parse-names" : false, "suffix" : "" }, { "dropping-particle" : "", "family" : "Lord", "given" : "Stephen", "non-dropping-particle" : "", "parse-names" : false, "suffix" : "" }, { "dropping-particle" : "", "family" : "Close", "given" : "Jacqueline", "non-dropping-particle" : "", "parse-names" : false, "suffix" : "" }, { "dropping-particle" : "", "family" : "Kannus", "given" : "Pekka", "non-dropping-particle" : "", "parse-names" : false, "suffix" : "" }, { "dropping-particle" : "", "family" : "Palvanen", "given" : "Mika", "non-dropping-particle" : "", "parse-names" : false, "suffix" : "" }, { "dropping-particle" : "", "family" : "Parkkari", "given" : "Jari", "non-dropping-particle" : "", "parse-names" : false, "suffix" : "" }, { "dropping-particle" : "", "family" : "Niemi", "given" : "Seppo", "non-dropping-particle" : "", "parse-names" : false, "suffix" : "" }, { "dropping-particle" : "", "family" : "J\u00e4rvinen", "given" : "Markku", "non-dropping-particle" : "", "parse-names" : false, "suffix" : "" }, { "dropping-particle" : "", "family" : "Kannus", "given" : "P.", "non-dropping-particle" : "", "parse-names" : false, "suffix" : "" }, { "dropping-particle" : "", "family" : "Palvanen", "given" : "M.", "non-dropping-particle" : "", "parse-names" : false, "suffix" : "" }, { "dropping-particle" : "", "family" : "Niemi", "given" : "S.", "non-dropping-particle" : "", "parse-names" : false, "suffix" : "" }, { "dropping-particle" : "", "family" : "Parkkari", "given" : "J.", "non-dropping-particle" : "", "parse-names" : false, "suffix" : "" }, { "dropping-particle" : "", "family" : "J\u00e4rvinen", "given" : "M.", "non-dropping-particle" : "", "parse-names" : false, "suffix" : "" }, { "dropping-particle" : "", "family" : "Durkin", "given" : "Alan", "non-dropping-particle" : "", "parse-names" : false, "suffix" : "" }, { "dropping-particle" : "", "family" : "Sagi", "given" : "H. Claude", "non-dropping-particle" : "", "parse-names" : false, "suffix" : "" }, { "dropping-particle" : "", "family" : "Durham", "given" : "Rodney", "non-dropping-particle" : "", "parse-names" : false, "suffix" : "" }, { "dropping-particle" : "", "family" : "Flint", "given" : "Lewis", "non-dropping-particle" : "", "parse-names" : false, "suffix" : "" }, { "dropping-particle" : "", "family" : "Alost", "given" : "Terence", "non-dropping-particle" : "", "parse-names" : false, "suffix" : "" }, { "dropping-particle" : "", "family" : "Waldrop", "given" : "Ron D", "non-dropping-particle" : "", "parse-names" : false, "suffix" : "" }, { "dropping-particle" : "", "family" : "Sanders", "given" : "Arthur B", "non-dropping-particle" : "", "parse-names" : false, "suffix" : "" }, { "dropping-particle" : "", "family" : "Taillandier", "given" : "Jean", "non-dropping-particle" : "", "parse-names" : false, "suffix" : "" }, { "dropping-particle" : "", "family" : "Langue", "given" : "Fabrice", "non-dropping-particle" : "", "parse-names" : false, "suffix" : "" }, { "dropping-particle" : "", "family" : "Alemanni", "given" : "Martine", "non-dropping-particle" : "", "parse-names" : false, "suffix" : "" }, { "dropping-particle" : "", "family" : "Taillandier-Heriche", "given" : "Elodie", "non-dropping-particle" : "", "parse-names" : false, "suffix" : "" }, { "dropping-particle" : "", "family" : "Koval", "given" : "Kenneth J.", "non-dropping-particle" : "", "parse-names" : false, "suffix" : "" }, { "dropping-particle" : "", "family" : "Aharonoff", "given" : "Gina B.", "non-dropping-particle" : "", "parse-names" : false, "suffix" : "" }, { "dropping-particle" : "", "family" : "Schwartz", "given" : "Michael C.", "non-dropping-particle" : "", "parse-names" : false, "suffix" : "" }, { "dropping-particle" : "", "family" : "Alpert", "given" : "Scott", "non-dropping-particle" : "", "parse-names" : false, "suffix" : "" }, { "dropping-particle" : "", "family" : "Cohen", "given" : "Gila", "non-dropping-particle" : "", "parse-names" : false, "suffix" : "" }, { "dropping-particle" : "", "family" : "McShinawy", "given" : "Ashgan", "non-dropping-particle" : "", "parse-names" : false, "suffix" : "" }, { "dropping-particle" : "", "family" : "Zuckerman", "given" : "Joseph D.", "non-dropping-particle" : "", "parse-names" : false, "suffix" : "" }, { "dropping-particle" : "", "family" : "Cummings", "given" : "Steven R", "non-dropping-particle" : "", "parse-names" : false, "suffix" : "" }, { "dropping-particle" : "", "family" : "Melton", "given" : "L Joseph", "non-dropping-particle" : "", "parse-names" : false, "suffix" : "" }, { "dropping-particle" : "", "family" : "Malochet-Guinamand", "given" : "Sandrine", "non-dropping-particle" : "", "parse-names" : false, "suffix" : "" }, { "dropping-particle" : "", "family" : "Chalard", "given" : "Nathalie", "non-dropping-particle" : "", "parse-names" : false, "suffix" : "" }, { "dropping-particle" : "", "family" : "Billault", "given" : "Claire", "non-dropping-particle" : "", "parse-names" : false, "suffix" : "" }, { "dropping-particle" : "", "family" : "Breuil", "given" : "Nadine", "non-dropping-particle" : "", "parse-names" : false, "suffix" : "" }, { "dropping-particle" : "", "family" : "Ristori", "given" : "Jean-Michel", "non-dropping-particle" : "", "parse-names" : false, "suffix" : "" }, { "dropping-particle" : "", "family" : "Schmidt", "given" : "Jeannot", "non-dropping-particle" : "", "parse-names" : false, "suffix" : "" }, { "dropping-particle" : "", "family" : "Boufous", "given" : "S.", "non-dropping-particle" : "", "parse-names" : false, "suffix" : "" }, { "dropping-particle" : "", "family" : "Finch", "given" : "C.", "non-dropping-particle" : "", "parse-names" : false, "suffix" : "" }, { "dropping-particle" : "", "family" : "Close", "given" : "J.", "non-dropping-particle" : "", "parse-names" : false, "suffix" : "" }, { "dropping-particle" : "", "family" : "Day", "given" : "L.", "non-dropping-particle" : "", "parse-names" : false, "suffix" : "" }, { "dropping-particle" : "", "family" : "Lord", "given" : "S.", "non-dropping-particle" : "", "parse-names" : false, "suffix" : "" }, { "dropping-particle" : "", "family" : "Morris", "given" : "R. O", "non-dropping-particle" : "", "parse-names" : false, "suffix" : "" }, { "dropping-particle" : "", "family" : "Hill", "given" : "R. M. F.", "non-dropping-particle" : "", "parse-names" : false, "suffix" : "" }, { "dropping-particle" : "", "family" : "Robinson", "given" : "C. M.", "non-dropping-particle" : "", "parse-names" : false, "suffix" : "" }, { "dropping-particle" : "", "family" : "Keating", "given" : "J. F.", "non-dropping-particle" : "", "parse-names" : false, "suffix" : "" }, { "dropping-particle" : "", "family" : "Henry", "given" : "Sharon M.", "non-dropping-particle" : "", "parse-names" : false, "suffix" : "" }, { "dropping-particle" : "", "family" : "Pollak", "given" : "Andrew N.", "non-dropping-particle" : "", "parse-names" : false, "suffix" : "" }, { "dropping-particle" : "", "family" : "Jones", "given" : "Alan L.", "non-dropping-particle" : "", "parse-names" : false, "suffix" : "" }, { "dropping-particle" : "", "family" : "Boswell", "given" : "Sharon", "non-dropping-particle" : "", "parse-names" : false, "suffix" : "" }, { "dropping-particle" : "", "family" : "Scalea", "given" : "Thomas M.", "non-dropping-particle" : "", "parse-names" : false, "suffix" : "" }, { "dropping-particle" : "", "family" : "Lim", "given" : "Hyun J.", "non-dropping-particle" : "", "parse-names" : false, "suffix" : "" }, { "dropping-particle" : "", "family" : "Hoffmann", "given" : "Raymond", "non-dropping-particle" : "", "parse-names" : false, "suffix" : "" }, { "dropping-particle" : "", "family" : "Brasel", "given" : "Karen", "non-dropping-particle" : "", "parse-names" : false, "suffix" : "" }, { "dropping-particle" : "", "family" : "Donaldson", "given" : "Meghan G.", "non-dropping-particle" : "", "parse-names" : false, "suffix" : "" }, { "dropping-particle" : "", "family" : "Khan", "given" : "Karim M.", "non-dropping-particle" : "", "parse-names" : false, "suffix" : "" }, { "dropping-particle" : "", "family" : "Davis", "given" : "Jennifer C.", "non-dropping-particle" : "", "parse-names" : false, "suffix" : "" }, { "dropping-particle" : "", "family" : "Salter", "given" : "Allison E.", "non-dropping-particle" : "", "parse-names" : false, "suffix" : "" }, { "dropping-particle" : "", "family" : "Buchanan", "given" : "Jan", "non-dropping-particle" : "", "parse-names" : false, "suffix" : "" }, { "dropping-particle" : "", "family" : "McKnight", "given" : "Doug", "non-dropping-particle" : "", "parse-names" : false, "suffix" : "" }, { "dropping-particle" : "", "family" : "Janssen", "given" : "Patti A.", "non-dropping-particle" : "", "parse-names" : false, "suffix" : "" }, { "dropping-particle" : "", "family" : "Bell", "given" : "Margie", "non-dropping-particle" : "", "parse-names" : false, "suffix" : "" }, { "dropping-particle" : "", "family" : "McKay", "given" : "Heather A.", "non-dropping-particle" : "", "parse-names" : false, "suffix" : "" }, { "dropping-particle" : "", "family" : "Friedmann", "given" : "Peter D.", "non-dropping-particle" : "", "parse-names" : false, "suffix" : "" }, { "dropping-particle" : "", "family" : "Jin", "given" : "Lei", "non-dropping-particle" : "", "parse-names" : false, "suffix" : "" }, { "dropping-particle" : "", "family" : "Karrison", "given" : "Theodore G.", "non-dropping-particle" : "", "parse-names" : false, "suffix" : "" }, { "dropping-particle" : "", "family" : "Hayley", "given" : "Deon Cox", "non-dropping-particle" : "", "parse-names" : false, "suffix" : "" }, { "dropping-particle" : "", "family" : "Mulliken", "given" : "Robert", "non-dropping-particle" : "", "parse-names" : false, "suffix" : "" }, { "dropping-particle" : "", "family" : "Walter", "given" : "James", "non-dropping-particle" : "", "parse-names" : false, "suffix" : "" }, { "dropping-particle" : "", "family" : "Chin", "given" : "Marshall H.", "non-dropping-particle" : "", "parse-names" : false, "suffix" : "" }, { "dropping-particle" : "", "family" : "Close", "given" : "Jacqueline", "non-dropping-particle" : "", "parse-names" : false, "suffix" : "" }, { "dropping-particle" : "", "family" : "Ellis", "given" : "Margaret", "non-dropping-particle" : "", "parse-names" : false, "suffix" : "" }, { "dropping-particle" : "", "family" : "Hooper", "given" : "Richard", "non-dropping-particle" : "", "parse-names" : false, "suffix" : "" }, { "dropping-particle" : "", "family" : "Glucksman", "given" : "Edward", "non-dropping-particle" : "", "parse-names" : false, "suffix" : "" }, { "dropping-particle" : "", "family" : "Jackson", "given" : "Stephen", "non-dropping-particle" : "", "parse-names" : false, "suffix" : "" }, { "dropping-particle" : "", "family" : "Swift", "given" : "Cameron", "non-dropping-particle" : "", "parse-names" : false, "suffix" : "" }, { "dropping-particle" : "", "family" : "Salter", "given" : "A. E.", "non-dropping-particle" : "", "parse-names" : false, "suffix" : "" }, { "dropping-particle" : "", "family" : "Khan", "given" : "K. M.", "non-dropping-particle" : "", "parse-names" : false, "suffix" : "" }, { "dropping-particle" : "", "family" : "Donaldson", "given" : "M. G.", "non-dropping-particle" : "", "parse-names" : false, "suffix" : "" }, { "dropping-particle" : "", "family" : "Davis", "given" : "J. C.", "non-dropping-particle" : "", "parse-names" : false, "suffix" : "" }, { "dropping-particle" : "", "family" : "Buchanan", "given" : "J.", "non-dropping-particle" : "", "parse-names" : false, "suffix" : "" }, { "dropping-particle" : "", "family" : "Abu-Laban", "given" : "R. B.", "non-dropping-particle" : "", "parse-names" : false, "suffix" : "" }, { "dropping-particle" : "", "family" : "Cook", "given" : "W. L.", "non-dropping-particle" : "", "parse-names" : false, "suffix" : "" }, { "dropping-particle" : "", "family" : "Lord", "given" : "S. R.", "non-dropping-particle" : "", "parse-names" : false, "suffix" : "" }, { "dropping-particle" : "", "family" : "McKay", "given" : "H. A.", "non-dropping-particle" : "", "parse-names" : false, "suffix" : "" } ], "container-title" : "CJEM", "id" : "ITEM-1", "issue" : "06", "issued" : { "date-parts" : [ [ "2010", "11", "21" ] ] }, "page" : "509-513", "publisher" : "Cambridge University Press", "title" : "Low-impact pelvic fractures in the emergency department", "type" : "article-journal", "volume" : "12" }, "uris" : [ "http://www.mendeley.com/documents/?uuid=62bafd8b-cb5b-3ba9-9ab2-72199146ad4a" ] }, { "id" : "ITEM-2", "itemData" : { "DOI" : "10.1038/nrrheum.2011.217", "ISSN" : "1759-4790", "PMID" : "22249162", "abstract" : "In almost all patients with incident fractures, the absolute risk of subsequent fracture and mortality is highest immediately after the fracture is incurred; the risk is substantially increased in frail elderly patients. The risk factors for incident fractures, such as bone fragility, tendency to fall and the presence of metabolic bone disease, remain underdiagnosed and undertreated. Here, we review the evidence that demonstrates the influence of these risk factors on susceptibility to subsequent fracture and mortality after an incident fracture, and discuss the tools available to predict these outcomes. In this Review, we also propose a systematic, coordinator-based approach to assessment of risk, allocation of treatment and follow-up in all patients over 50 years of age who present with a fracture. The aim of this proposed multistep procedure is to improve the prevention of secondary fracture, decrease mortality rates and reduce patient undertreatment or overtreatment.", "author" : [ { "dropping-particle" : "", "family" : "Bergh", "given" : "Joop P.", "non-dropping-particle" : "van den", "parse-names" : false, "suffix" : "" }, { "dropping-particle" : "", "family" : "Geel", "given" : "Tineke A.", "non-dropping-particle" : "van", "parse-names" : false, "suffix" : "" }, { "dropping-particle" : "", "family" : "Geusens", "given" : "Piet P.", "non-dropping-particle" : "", "parse-names" : false, "suffix" : "" } ], "container-title" : "Nature Reviews Rheumatology", "id" : "ITEM-2", "issue" : "3", "issued" : { "date-parts" : [ [ "2012", "1", "17" ] ] }, "page" : "163-172", "title" : "Osteoporosis, frailty and fracture: implications for case finding and therapy", "type" : "article-journal", "volume" : "8" }, "uris" : [ "http://www.mendeley.com/documents/?uuid=e9e5adc9-c5a3-3e38-9980-29112d1b161b" ] } ], "mendeley" : { "formattedCitation" : "&lt;sup&gt;3,7&lt;/sup&gt;", "plainTextFormattedCitation" : "3,7", "previouslyFormattedCitation" : "&lt;sup&gt;3,7&lt;/sup&gt;" }, "properties" : { "noteIndex" : 0 }, "schema" : "https://github.com/citation-style-language/schema/raw/master/csl-citation.json" }</w:instrText>
            </w:r>
            <w:r w:rsidRPr="0008415B">
              <w:rPr>
                <w:rFonts w:ascii="Arial" w:hAnsi="Arial" w:cs="Arial"/>
                <w:sz w:val="24"/>
              </w:rPr>
              <w:fldChar w:fldCharType="separate"/>
            </w:r>
            <w:r w:rsidR="000D7ECB" w:rsidRPr="000D7ECB">
              <w:rPr>
                <w:rFonts w:ascii="Arial" w:hAnsi="Arial" w:cs="Arial"/>
                <w:noProof/>
                <w:sz w:val="24"/>
                <w:vertAlign w:val="superscript"/>
              </w:rPr>
              <w:t>3,7</w:t>
            </w:r>
            <w:r w:rsidRPr="0008415B">
              <w:rPr>
                <w:rFonts w:ascii="Arial" w:hAnsi="Arial" w:cs="Arial"/>
                <w:sz w:val="24"/>
              </w:rPr>
              <w:fldChar w:fldCharType="end"/>
            </w:r>
            <w:r w:rsidRPr="0008415B">
              <w:rPr>
                <w:rFonts w:ascii="Arial" w:hAnsi="Arial" w:cs="Arial"/>
                <w:sz w:val="24"/>
              </w:rPr>
              <w:t>. Zunehmend treten auch Frakturen ohne Trauma, ausgelöst durch repetitive Kraftübertragung, beispielsweise beim Gehen</w:t>
            </w:r>
            <w:r w:rsidRPr="0008415B">
              <w:rPr>
                <w:rFonts w:ascii="Arial" w:hAnsi="Arial" w:cs="Arial"/>
                <w:sz w:val="24"/>
              </w:rPr>
              <w:fldChar w:fldCharType="begin" w:fldLock="1"/>
            </w:r>
            <w:r w:rsidR="00CF1259" w:rsidRPr="0008415B">
              <w:rPr>
                <w:rFonts w:ascii="Arial" w:hAnsi="Arial" w:cs="Arial"/>
                <w:sz w:val="24"/>
              </w:rPr>
              <w:instrText>ADDIN</w:instrText>
            </w:r>
            <w:r w:rsidRPr="0008415B">
              <w:rPr>
                <w:rFonts w:ascii="Arial" w:hAnsi="Arial" w:cs="Arial"/>
                <w:sz w:val="24"/>
              </w:rPr>
              <w:instrText xml:space="preserve"> CSL_CITATION { "citationItems" : [ { "id" : "ITEM-1", "itemData" : { "DOI" : "10.1097/BRS.0b013e318191ea01", "ISSN" : "0362-2436", "author" : [ { "dropping-particle" : "", "family" : "Linstrom", "given" : "Nathan J.", "non-dropping-particle" : "", "parse-names" : false, "suffix" : "" }, { "dropping-particle" : "", "family" : "Heiserman", "given" : "Joseph E.", "non-dropping-particle" : "", "parse-names" : false, "suffix" : "" }, { "dropping-particle" : "", "family" : "Kortman", "given" : "Keith E.", "non-dropping-particle" : "", "parse-names" : false, "suffix" : "" }, { "dropping-particle" : "", "family" : "Crawford", "given" : "Neil R.", "non-dropping-particle" : "", "parse-names" : false, "suffix" : "" }, { "dropping-particle" : "", "family" : "Baek", "given" : "Seungwon", "non-dropping-particle" : "", "parse-names" : false, "suffix" : "" }, { "dropping-particle" : "", "family" : "Anderson", "given" : "Russell L.", "non-dropping-particle" : "", "parse-names" : false, "suffix" : "" }, { "dropping-particle" : "", "family" : "Pitt", "given" : "Alan M.", "non-dropping-particle" : "", "parse-names" : false, "suffix" : "" }, { "dropping-particle" : "", "family" : "Karis", "given" : "John P.", "non-dropping-particle" : "", "parse-names" : false, "suffix" : "" }, { "dropping-particle" : "", "family" : "Ross", "given" : "Jeff S.", "non-dropping-particle" : "", "parse-names" : false, "suffix" : "" }, { "dropping-particle" : "", "family" : "Lekovic", "given" : "Gregory P.", "non-dropping-particle" : "", "parse-names" : false, "suffix" : "" }, { "dropping-particle" : "", "family" : "Dean", "given" : "Bruce L.", "non-dropping-particle" : "", "parse-names" : false, "suffix" : "" } ], "container-title" : "Spine", "id" : "ITEM-1", "issue" : "4", "issued" : { "date-parts" : [ [ "2009", "2" ] ] }, "page" : "309-315", "title" : "Anatomical and Biomechanical Analyses of the Unique and Consistent Locations of Sacral Insufficiency Fractures", "type" : "article-journal", "volume" : "34" }, "uris" : [ "http://www.mendeley.com/documents/?uuid=8c4dc56d-a2f9-38af-b1d7-7d6293110d1f" ] } ], "mendeley" : { "formattedCitation" : "&lt;sup&gt;8&lt;/sup&gt;", "plainTextFormattedCitation" : "8", "previouslyFormattedCitation" : "&lt;sup&gt;8&lt;/sup&gt;" }, "properties" : { "noteIndex" : 0 }, "schema" : "https://github.com/citation-style-language/schema/raw/master/csl-citation.json" }</w:instrText>
            </w:r>
            <w:r w:rsidRPr="0008415B">
              <w:rPr>
                <w:rFonts w:ascii="Arial" w:hAnsi="Arial" w:cs="Arial"/>
                <w:sz w:val="24"/>
              </w:rPr>
              <w:fldChar w:fldCharType="separate"/>
            </w:r>
            <w:r w:rsidRPr="0008415B">
              <w:rPr>
                <w:rFonts w:ascii="Arial" w:hAnsi="Arial" w:cs="Arial"/>
                <w:noProof/>
                <w:sz w:val="24"/>
                <w:vertAlign w:val="superscript"/>
              </w:rPr>
              <w:t>8</w:t>
            </w:r>
            <w:r w:rsidRPr="0008415B">
              <w:rPr>
                <w:rFonts w:ascii="Arial" w:hAnsi="Arial" w:cs="Arial"/>
                <w:sz w:val="24"/>
              </w:rPr>
              <w:fldChar w:fldCharType="end"/>
            </w:r>
            <w:r w:rsidRPr="0008415B">
              <w:rPr>
                <w:rFonts w:ascii="Arial" w:hAnsi="Arial" w:cs="Arial"/>
                <w:sz w:val="24"/>
              </w:rPr>
              <w:t xml:space="preserve">, des osteoporotisch veränderten Knochens in den Vordergrund. </w:t>
            </w:r>
          </w:p>
          <w:p w14:paraId="2C0E2A31" w14:textId="77777777" w:rsidR="005609D3" w:rsidRPr="0008415B" w:rsidRDefault="005609D3" w:rsidP="007762C8">
            <w:pPr>
              <w:suppressAutoHyphens w:val="0"/>
              <w:spacing w:line="360" w:lineRule="auto"/>
              <w:ind w:left="708"/>
              <w:jc w:val="both"/>
              <w:rPr>
                <w:rFonts w:ascii="Arial" w:hAnsi="Arial" w:cs="Arial"/>
                <w:sz w:val="24"/>
              </w:rPr>
            </w:pPr>
          </w:p>
          <w:p w14:paraId="367568B4" w14:textId="77777777" w:rsidR="005609D3" w:rsidRPr="0008415B" w:rsidRDefault="005609D3" w:rsidP="007762C8">
            <w:pPr>
              <w:suppressAutoHyphens w:val="0"/>
              <w:spacing w:line="360" w:lineRule="auto"/>
              <w:jc w:val="both"/>
              <w:rPr>
                <w:rFonts w:ascii="Arial" w:hAnsi="Arial" w:cs="Arial"/>
                <w:sz w:val="24"/>
              </w:rPr>
            </w:pPr>
            <w:r w:rsidRPr="0008415B">
              <w:rPr>
                <w:rFonts w:ascii="Arial" w:hAnsi="Arial" w:cs="Arial"/>
                <w:sz w:val="24"/>
              </w:rPr>
              <w:t>Die gegenwärtige Literatur bietet keine eindeutige Behandlungsempfehlung.</w:t>
            </w:r>
          </w:p>
          <w:p w14:paraId="513E7F21" w14:textId="77777777" w:rsidR="005609D3" w:rsidRPr="0008415B" w:rsidRDefault="005609D3" w:rsidP="007762C8">
            <w:pPr>
              <w:suppressAutoHyphens w:val="0"/>
              <w:spacing w:line="360" w:lineRule="auto"/>
              <w:jc w:val="both"/>
              <w:rPr>
                <w:rFonts w:ascii="Arial" w:hAnsi="Arial" w:cs="Arial"/>
                <w:sz w:val="24"/>
              </w:rPr>
            </w:pPr>
            <w:r w:rsidRPr="0008415B">
              <w:rPr>
                <w:rFonts w:ascii="Arial" w:hAnsi="Arial" w:cs="Arial"/>
                <w:sz w:val="24"/>
              </w:rPr>
              <w:t xml:space="preserve">In einem Review Paper von Rommens und Wagner et al. aus 2015 </w:t>
            </w:r>
            <w:r w:rsidRPr="0008415B">
              <w:rPr>
                <w:rFonts w:ascii="Arial" w:hAnsi="Arial" w:cs="Arial"/>
                <w:sz w:val="24"/>
              </w:rPr>
              <w:fldChar w:fldCharType="begin" w:fldLock="1"/>
            </w:r>
            <w:r w:rsidR="00CF1259" w:rsidRPr="0008415B">
              <w:rPr>
                <w:rFonts w:ascii="Arial" w:hAnsi="Arial" w:cs="Arial"/>
                <w:sz w:val="24"/>
              </w:rPr>
              <w:instrText>ADDIN</w:instrText>
            </w:r>
            <w:r w:rsidRPr="0008415B">
              <w:rPr>
                <w:rFonts w:ascii="Arial" w:hAnsi="Arial" w:cs="Arial"/>
                <w:sz w:val="24"/>
              </w:rPr>
              <w:instrText xml:space="preserve"> CSL_CITATION { "citationItems" : [ { "id" : "ITEM-1", "itemData" : { "DOI" : "10.1007/s00068-015-0530-z", "ISSN" : "1863-9941", "PMID" : "26038048", "abstract" : "The increasing prevalence of fragility fractures of the sacrum (FFS) occurring predominantly in osteoporotic individuals poses a diagnostic and therapeutic challenge. The clinical presentation varies from longstanding low back pain without the patient remembering a traumatic event to immobilized patients after suffering a low-energy trauma. FFS are often combined with a fracture of the anterior pelvic ring; hence they are classified as a part of fragility fractures of the pelvis (FFP). If not displaced, the patients are treated with weight bearing as tolerated and analgesics; however, we advocate to treat displaced fractures surgically according to the fracture personality and the patient's comorbidities. Surgical options include minimal invasive sacro-iliac screws, trans-sacral bar osteosynthesis, open reduction and internal fixation, or spinopelvic stabilization. In the light of the high complication rate associated with immobilized patients, an operative approach often is indicated to accelerate the patient's mobility.", "author" : [ { "dropping-particle" : "", "family" : "Wagner", "given" : "D", "non-dropping-particle" : "", "parse-names" : false, "suffix" : "" }, { "dropping-particle" : "", "family" : "Ossendorf", "given" : "C", "non-dropping-particle" : "", "parse-names" : false, "suffix" : "" }, { "dropping-particle" : "", "family" : "Gruszka", "given" : "D", "non-dropping-particle" : "", "parse-names" : false, "suffix" : "" }, { "dropping-particle" : "", "family" : "Hofmann", "given" : "A", "non-dropping-particle" : "", "parse-names" : false, "suffix" : "" }, { "dropping-particle" : "", "family" : "Rommens", "given" : "P M", "non-dropping-particle" : "", "parse-names" : false, "suffix" : "" } ], "container-title" : "European journal of trauma and emergency surgery : official publication of the European Trauma Society", "id" : "ITEM-1", "issue" : "4", "issued" : { "date-parts" : [ [ "2015", "8" ] ] }, "page" : "349-62", "title" : "Fragility fractures of the sacrum: how to identify and when to treat surgically?", "type" : "article-journal", "volume" : "41" }, "uris" : [ "http://www.mendeley.com/documents/?uuid=ad3c7875-8dcf-3daa-8d95-adbe255694ba" ] } ], "mendeley" : { "formattedCitation" : "&lt;sup&gt;2&lt;/sup&gt;", "plainTextFormattedCitation" : "2", "previouslyFormattedCitation" : "&lt;sup&gt;2&lt;/sup&gt;" }, "properties" : { "noteIndex" : 0 }, "schema" : "https://github.com/citation-style-language/schema/raw/master/csl-citation.json" }</w:instrText>
            </w:r>
            <w:r w:rsidRPr="0008415B">
              <w:rPr>
                <w:rFonts w:ascii="Arial" w:hAnsi="Arial" w:cs="Arial"/>
                <w:sz w:val="24"/>
              </w:rPr>
              <w:fldChar w:fldCharType="separate"/>
            </w:r>
            <w:r w:rsidRPr="0008415B">
              <w:rPr>
                <w:rFonts w:ascii="Arial" w:hAnsi="Arial" w:cs="Arial"/>
                <w:noProof/>
                <w:sz w:val="24"/>
                <w:vertAlign w:val="superscript"/>
              </w:rPr>
              <w:t>2</w:t>
            </w:r>
            <w:r w:rsidRPr="0008415B">
              <w:rPr>
                <w:rFonts w:ascii="Arial" w:hAnsi="Arial" w:cs="Arial"/>
                <w:sz w:val="24"/>
              </w:rPr>
              <w:fldChar w:fldCharType="end"/>
            </w:r>
            <w:r w:rsidRPr="0008415B">
              <w:rPr>
                <w:rFonts w:ascii="Arial" w:hAnsi="Arial" w:cs="Arial"/>
                <w:sz w:val="24"/>
              </w:rPr>
              <w:t xml:space="preserve"> werden auf Basis klinischer Erfahrung und anhand einer retrospektiven Studie Behandlungsempfehlungen bezüglich der Insuffizienzfrakturen (hier FFP = fragility fractures of the pelvis genannt) präsentiert. Die Autoren empfehlen zunächst jeden Patienten mit einer einseitigen Fraktur des hinteren Beckenrings ohne Dislokation und mit oder ohne Fraktur des ipsilateralen vorderen Beckenrings unter Analgesie zu mobilisieren. Wenn dies nicht gelänge, sei eine operative Therapie mittels Schraubenosteosynthese durchzuführen. Konträr dazu veröffentlichten die gleichen Autoren zwei Jahre zuvor eine Publikation</w:t>
            </w:r>
            <w:r w:rsidRPr="0008415B">
              <w:rPr>
                <w:rFonts w:ascii="Arial" w:hAnsi="Arial" w:cs="Arial"/>
                <w:sz w:val="24"/>
              </w:rPr>
              <w:fldChar w:fldCharType="begin" w:fldLock="1"/>
            </w:r>
            <w:r w:rsidR="00CF1259" w:rsidRPr="0008415B">
              <w:rPr>
                <w:rFonts w:ascii="Arial" w:hAnsi="Arial" w:cs="Arial"/>
                <w:sz w:val="24"/>
              </w:rPr>
              <w:instrText>ADDIN</w:instrText>
            </w:r>
            <w:r w:rsidRPr="0008415B">
              <w:rPr>
                <w:rFonts w:ascii="Arial" w:hAnsi="Arial" w:cs="Arial"/>
                <w:sz w:val="24"/>
              </w:rPr>
              <w:instrText xml:space="preserve"> CSL_CITATION { "citationItems" : [ { "id" : "ITEM-1", "itemData" : { "DOI" : "10.1016/j.injury.2013.06.023", "ISSN" : "1879-0267", "PMID" : "23871193", "abstract" : "Due to the increasing life expectancy, orthopaedic surgeons are more and more often confronted with fragility fractures of the pelvis (FFPs). These kinds of fractures are the result of a low-energy impact or they may even occur spontaneously in patients with severe osteoporosis. Due to some distinct differences, the established classifications for pelvic ring lesions in younger adults do not fully reflect the clinical and morphological criteria of FFPs. Most FFPs are minimally displaced and do not require surgical therapy. However, in some patients, an insidious progress of bone damage leads to increasing displacement, nonunion and persisting instability. Therefore, new concepts for surgical treatment have to be developed to address the functional needs of the elderly patients. Based on an analysis of 245 consecutive patients with FFPs, we propose a novel classification system for this condition. This classification is based on morphological criteria and it corresponds with the degree of instability. Also in the elderly, these criteria are the most important for the decision on the type of treatment as well as type and extent of surgery. The estimation of the degree of instability is based on radiological and clinical findings. The classification gives also hints for treatment strategies, which may vary between minimally invasive techniques and complex surgical reconstructions.", "author" : [ { "dropping-particle" : "", "family" : "Rommens", "given" : "Pol Maria", "non-dropping-particle" : "", "parse-names" : false, "suffix" : "" }, { "dropping-particle" : "", "family" : "Hofmann", "given" : "Alexander", "non-dropping-particle" : "", "parse-names" : false, "suffix" : "" } ], "container-title" : "Injury", "id" : "ITEM-1", "issue" : "12", "issued" : { "date-parts" : [ [ "2013", "12" ] ] }, "page" : "1733-44", "title" : "Comprehensive classification of fragility fractures of the pelvic ring: Recommendations for surgical treatment.", "type" : "article-journal", "volume" : "44" }, "uris" : [ "http://www.mendeley.com/documents/?uuid=903e7237-cf2a-3ae4-a782-1f3464fae0fc" ] } ], "mendeley" : { "formattedCitation" : "&lt;sup&gt;6&lt;/sup&gt;", "plainTextFormattedCitation" : "6", "previouslyFormattedCitation" : "&lt;sup&gt;6&lt;/sup&gt;" }, "properties" : { "noteIndex" : 0 }, "schema" : "https://github.com/citation-style-language/schema/raw/master/csl-citation.json" }</w:instrText>
            </w:r>
            <w:r w:rsidRPr="0008415B">
              <w:rPr>
                <w:rFonts w:ascii="Arial" w:hAnsi="Arial" w:cs="Arial"/>
                <w:sz w:val="24"/>
              </w:rPr>
              <w:fldChar w:fldCharType="separate"/>
            </w:r>
            <w:r w:rsidRPr="0008415B">
              <w:rPr>
                <w:rFonts w:ascii="Arial" w:hAnsi="Arial" w:cs="Arial"/>
                <w:noProof/>
                <w:sz w:val="24"/>
                <w:vertAlign w:val="superscript"/>
              </w:rPr>
              <w:t>6</w:t>
            </w:r>
            <w:r w:rsidRPr="0008415B">
              <w:rPr>
                <w:rFonts w:ascii="Arial" w:hAnsi="Arial" w:cs="Arial"/>
                <w:sz w:val="24"/>
              </w:rPr>
              <w:fldChar w:fldCharType="end"/>
            </w:r>
            <w:r w:rsidRPr="0008415B">
              <w:rPr>
                <w:rFonts w:ascii="Arial" w:hAnsi="Arial" w:cs="Arial"/>
                <w:sz w:val="24"/>
              </w:rPr>
              <w:t xml:space="preserve">, in der sie nicht nur ein neues Klassifikationssystem (FFP) einführten, hier wurde die Empfehlung ausgesprochen zunächst alle, auch nicht dislozierten Frakturen des hinteren Beckenrings (FFP IIa-c) einer operativen Therapie zu unterziehen. Dies wurde unter der Prämisse konstatiert eine sekundäre Frakturdislokation unter Mobilisation zu verhindern. Leider bieten beide Veröffentlichungen </w:t>
            </w:r>
            <w:r w:rsidRPr="0008415B">
              <w:rPr>
                <w:rFonts w:ascii="Arial" w:hAnsi="Arial" w:cs="Arial"/>
                <w:sz w:val="24"/>
              </w:rPr>
              <w:lastRenderedPageBreak/>
              <w:t xml:space="preserve">lediglich Handlungsempfehlung mit dem, nach der deutschen Gesellschaft für Evidenzbasierte Medizin, Evidenzlevel III bis IV. </w:t>
            </w:r>
          </w:p>
          <w:p w14:paraId="65A0089A" w14:textId="77777777" w:rsidR="005609D3" w:rsidRPr="0008415B" w:rsidRDefault="005609D3" w:rsidP="007762C8">
            <w:pPr>
              <w:suppressAutoHyphens w:val="0"/>
              <w:spacing w:line="360" w:lineRule="auto"/>
              <w:ind w:left="708"/>
              <w:jc w:val="both"/>
              <w:rPr>
                <w:rFonts w:ascii="Arial" w:hAnsi="Arial" w:cs="Arial"/>
                <w:sz w:val="24"/>
              </w:rPr>
            </w:pPr>
          </w:p>
          <w:p w14:paraId="4776E033" w14:textId="77777777" w:rsidR="005609D3" w:rsidRPr="0008415B" w:rsidRDefault="005609D3" w:rsidP="007762C8">
            <w:pPr>
              <w:suppressAutoHyphens w:val="0"/>
              <w:spacing w:line="360" w:lineRule="auto"/>
              <w:jc w:val="both"/>
              <w:rPr>
                <w:rFonts w:ascii="Arial" w:hAnsi="Arial" w:cs="Arial"/>
                <w:sz w:val="24"/>
              </w:rPr>
            </w:pPr>
            <w:r w:rsidRPr="0008415B">
              <w:rPr>
                <w:rFonts w:ascii="Arial" w:hAnsi="Arial" w:cs="Arial"/>
                <w:sz w:val="24"/>
              </w:rPr>
              <w:t>Betrachtet man die Datenlage bezüglich der konservativen Therapie ist eine Studie aus 2011 von Mears et al</w:t>
            </w:r>
            <w:r w:rsidRPr="0008415B">
              <w:rPr>
                <w:rFonts w:ascii="Arial" w:hAnsi="Arial" w:cs="Arial"/>
                <w:sz w:val="24"/>
              </w:rPr>
              <w:fldChar w:fldCharType="begin" w:fldLock="1"/>
            </w:r>
            <w:r w:rsidR="00CF1259" w:rsidRPr="0008415B">
              <w:rPr>
                <w:rFonts w:ascii="Arial" w:hAnsi="Arial" w:cs="Arial"/>
                <w:sz w:val="24"/>
              </w:rPr>
              <w:instrText>ADDIN</w:instrText>
            </w:r>
            <w:r w:rsidRPr="0008415B">
              <w:rPr>
                <w:rFonts w:ascii="Arial" w:hAnsi="Arial" w:cs="Arial"/>
                <w:sz w:val="24"/>
              </w:rPr>
              <w:instrText xml:space="preserve"> CSL_CITATION { "citationItems" : [ { "id" : "ITEM-1", "itemData" : { "DOI" : "10.1111/j.1532-5415.2011.03455.x", "ISSN" : "1532-5415", "PMID" : "21718260", "abstract" : "OBJECTIVES To identify fracture types in a series of older adults with pelvic fractures and to determine whether the type of pelvic fracture affected short-term outcomes and morbidity. DESIGN Retrospective chart review. SETTING Teaching hospital. PARTICIPANTS One hundred eighty-one individuals aged 65 and older with low-energy pelvic fractures. MEASUREMENTS Fracture type, in-hospital complications, mortality, maximal return to function, and return to living situation. RESULTS Of the 181 participants, 119 had unilateral displaced pubic rami fractures, 38 had nondisplaced pubic rami fractures, 14 had sacral insufficiency fractures, and 10 had bilateral displaced pubic rami fractures. There were no significant differences found in participant age; comorbidities; diagnosis of dementia; in-hospital complications; or 30-day, 90-day, or 1-year mortality rates between fracture types. Fracture type did not affect the ability of the participants to return home or their use of ambulatory aid. CONCLUSION For older adults, morbidity and mortality rates for nondisplaced pubic rami fractures and sacral insufficiency fractures are similar to those for displaced pelvic fractures.", "author" : [ { "dropping-particle" : "", "family" : "Mears", "given" : "Simon C", "non-dropping-particle" : "", "parse-names" : false, "suffix" : "" }, { "dropping-particle" : "", "family" : "Berry", "given" : "Daniel J", "non-dropping-particle" : "", "parse-names" : false, "suffix" : "" } ], "container-title" : "Journal of the American Geriatrics Society", "id" : "ITEM-1", "issue" : "7", "issued" : { "date-parts" : [ [ "2011", "7" ] ] }, "page" : "1309-12", "title" : "Outcomes of displaced and nondisplaced pelvic and sacral fractures in elderly adults.", "type" : "article-journal", "volume" : "59" }, "uris" : [ "http://www.mendeley.com/documents/?uuid=f62496b3-f1db-385d-a1f9-4b70612c7d0d" ] } ], "mendeley" : { "formattedCitation" : "&lt;sup&gt;4&lt;/sup&gt;", "plainTextFormattedCitation" : "4", "previouslyFormattedCitation" : "&lt;sup&gt;4&lt;/sup&gt;" }, "properties" : { "noteIndex" : 0 }, "schema" : "https://github.com/citation-style-language/schema/raw/master/csl-citation.json" }</w:instrText>
            </w:r>
            <w:r w:rsidRPr="0008415B">
              <w:rPr>
                <w:rFonts w:ascii="Arial" w:hAnsi="Arial" w:cs="Arial"/>
                <w:sz w:val="24"/>
              </w:rPr>
              <w:fldChar w:fldCharType="separate"/>
            </w:r>
            <w:r w:rsidRPr="0008415B">
              <w:rPr>
                <w:rFonts w:ascii="Arial" w:hAnsi="Arial" w:cs="Arial"/>
                <w:noProof/>
                <w:sz w:val="24"/>
                <w:vertAlign w:val="superscript"/>
              </w:rPr>
              <w:t>4</w:t>
            </w:r>
            <w:r w:rsidRPr="0008415B">
              <w:rPr>
                <w:rFonts w:ascii="Arial" w:hAnsi="Arial" w:cs="Arial"/>
                <w:sz w:val="24"/>
              </w:rPr>
              <w:fldChar w:fldCharType="end"/>
            </w:r>
            <w:r w:rsidRPr="0008415B">
              <w:rPr>
                <w:rFonts w:ascii="Arial" w:hAnsi="Arial" w:cs="Arial"/>
                <w:sz w:val="24"/>
              </w:rPr>
              <w:t xml:space="preserve"> aufzuführen. Es wurden 181 Patienten über 65 Jahre nach Niedrig-Energie-Trauma mit einer vorderen und/oder hinteren Insuffizienzfraktur im Schnitt für 3,5 +/- 2,5 Jahre betreut. Insgesamt boten nur 14 Patienten eine Insuffizienzfraktur des Os sacrum, allerdings ist davon auszugehen, dass Patienten mit dislozierter ein- oder beidseitiger vorderer Beckenringfraktur zu mindestens 83-96,3% </w:t>
            </w:r>
            <w:r w:rsidRPr="0008415B">
              <w:rPr>
                <w:rFonts w:ascii="Arial" w:hAnsi="Arial" w:cs="Arial"/>
                <w:sz w:val="24"/>
              </w:rPr>
              <w:fldChar w:fldCharType="begin" w:fldLock="1"/>
            </w:r>
            <w:r w:rsidR="00CF1259" w:rsidRPr="0008415B">
              <w:rPr>
                <w:rFonts w:ascii="Arial" w:hAnsi="Arial" w:cs="Arial"/>
                <w:sz w:val="24"/>
              </w:rPr>
              <w:instrText>ADDIN</w:instrText>
            </w:r>
            <w:r w:rsidRPr="0008415B">
              <w:rPr>
                <w:rFonts w:ascii="Arial" w:hAnsi="Arial" w:cs="Arial"/>
                <w:sz w:val="24"/>
              </w:rPr>
              <w:instrText xml:space="preserve"> CSL_CITATION { "citationItems" : [ { "id" : "ITEM-1", "itemData" : { "DOI" : "10.1016/j.injury.2014.10.050", "ISSN" : "1879-0267", "PMID" : "25527459", "abstract" : "INTRODUCTION Patients with a fracture in the anterior pelvic ring often simultaneously demonstrate pain in the posterior pelvic ring. The aim of the present prospective study was to assess the sensitivity of CT, MRI and clinical examination in the detection of fractures in the posterior pelvic ring in patients with fractures of the anterior pelvic ring diagnosed in conventional radiographs. METHODS Sixty patients with radiographic signs of an anterior pelvic ring injury were included in this prospective analysis. Following a focused clinical examination of the posterior pelvis, all patients underwent both a CT and then a MRI scan of their pelvis. Two board certified radiologists evaluated the CT and MRI scans independently. To estimate the presence of osteoporosis the Hounsfield units of the vertebral body of L5 were measured in each case. RESULTS Fifty-three women and seven men, with a mean age of 74.7+/-15.6 years were included into the study. A fracture of the posterior pelvic ring was found in fourty-eight patients (80%) patients using MRI. Fractures of the posterior pelvic ring would have been missed in eight cases (17%), if only CT had been used. Eighty-five percent of the patients with a posterior fracture had an osteoporosis. The majority of the cases suffered from a low energy trauma. Thirty-eight patients (83%) with positive clinical signs at the posterior pelvic ring actually had a fracture of the posterior pelvic ring in the MRI. The clinical examination proved to be equally effective to CT in detecting posterior pelvic ring fractures. CONCLUSION The significance of both, clinical examination and CT was confirmed in the detection of fractures in the posterior pelvic ring. MRI examination of the pelvis however, was found to be superior in detecting undislocated fractures in a cohort of patients with a high incidence of osteoporosis. Using MRI may be beneficial in select cases, especially when reduced bone density is suspected.", "author" : [ { "dropping-particle" : "V", "family" : "N\u00fcchtern", "given" : "J", "non-dropping-particle" : "", "parse-names" : false, "suffix" : "" }, { "dropping-particle" : "", "family" : "Hartel", "given" : "M J", "non-dropping-particle" : "", "parse-names" : false, "suffix" : "" }, { "dropping-particle" : "", "family" : "Henes", "given" : "F O", "non-dropping-particle" : "", "parse-names" : false, "suffix" : "" }, { "dropping-particle" : "", "family" : "Groth", "given" : "M", "non-dropping-particle" : "", "parse-names" : false, "suffix" : "" }, { "dropping-particle" : "", "family" : "Jauch", "given" : "S Y", "non-dropping-particle" : "", "parse-names" : false, "suffix" : "" }, { "dropping-particle" : "", "family" : "Haegele", "given" : "J", "non-dropping-particle" : "", "parse-names" : false, "suffix" : "" }, { "dropping-particle" : "", "family" : "Briem", "given" : "D", "non-dropping-particle" : "", "parse-names" : false, "suffix" : "" }, { "dropping-particle" : "", "family" : "Hoffmann", "given" : "M", "non-dropping-particle" : "", "parse-names" : false, "suffix" : "" }, { "dropping-particle" : "", "family" : "Lehmann", "given" : "W", "non-dropping-particle" : "", "parse-names" : false, "suffix" : "" }, { "dropping-particle" : "", "family" : "Rueger", "given" : "J M", "non-dropping-particle" : "", "parse-names" : false, "suffix" : "" }, { "dropping-particle" : "", "family" : "Gro\u00dfterlinden", "given" : "L G", "non-dropping-particle" : "", "parse-names" : false, "suffix" : "" } ], "container-title" : "Injury", "id" : "ITEM-1", "issue" : "2", "issued" : { "date-parts" : [ [ "2015", "2" ] ] }, "page" : "315-9", "title" : "Significance of clinical examination, CT and MRI scan in the diagnosis of posterior pelvic ring fractures.", "type" : "article-journal", "volume" : "46" }, "uris" : [ "http://www.mendeley.com/documents/?uuid=d163e000-218b-3b8d-8768-c721688a61ee" ] }, { "id" : "ITEM-2", "itemData" : { "DOI" : "10.1016/j.injury.2012.05.016", "ISSN" : "1879-0267", "PMID" : "22682148", "abstract" : "BACKGROUND Fractures of the pubic rami are associated with prolonged pain, bed rest and increased morbidity and mortality. Often no further diagnostic work-up is undertaken and the pubic rami fractures are classified as stable injuries. However, fractured pubic rami seem to be only part of the picture and are often associated with posterior pelvic ring injury. This retrospective study was designed to evaluate the posterior ring for undetected injury in patients diagnosed with pubic rami fractures. METHODS All patients (n=233) with diagnosed fractures of the pubic rami were retrospectively retrieved. All patients with a CT scan available at time of admission (n=177) were included in the study. RESULTS In 28.8% of the cases a fracture of the acetabulum was found additionally to the pubic rami. In cases without obvious other injury of the ap radiograph, an injury of the posterior pelvic ring was found on CT scans in 96.8% of the patients. Most lesions represented transforaminal sacral fractures, avulsion fractures of ligaments or compression fractures of the lateral mass. All patients with dorsal injuries could initially be treated conservatively, nevertheless 30% of them needed operative treatment in the course. CONCLUSION Nearly all cases with fractures of the pubic rami do have a lesion elsewhere within the pelvic ring. In patients with prolonged pain and immobility following 'pubic rami fractures' one should be aware that they probably represent an undiagnosed pelvic ring injury and further diagnostic work-up - sometimes even surgery - is warranted.", "author" : [ { "dropping-particle" : "", "family" : "Scheyerer", "given" : "Max J", "non-dropping-particle" : "", "parse-names" : false, "suffix" : "" }, { "dropping-particle" : "", "family" : "Osterhoff", "given" : "Georg", "non-dropping-particle" : "", "parse-names" : false, "suffix" : "" }, { "dropping-particle" : "", "family" : "Wehrle", "given" : "Silvio", "non-dropping-particle" : "", "parse-names" : false, "suffix" : "" }, { "dropping-particle" : "", "family" : "Wanner", "given" : "Guido A", "non-dropping-particle" : "", "parse-names" : false, "suffix" : "" }, { "dropping-particle" : "", "family" : "Simmen", "given" : "Hans-Peter", "non-dropping-particle" : "", "parse-names" : false, "suffix" : "" }, { "dropping-particle" : "", "family" : "Werner", "given" : "Clement M L", "non-dropping-particle" : "", "parse-names" : false, "suffix" : "" }, { "dropping-particle" : "", "family" : "Breuil", "given" : "V.", "non-dropping-particle" : "", "parse-names" : false, "suffix" : "" }, { "dropping-particle" : "", "family" : "Roux", "given" : "C.H.", "non-dropping-particle" : "", "parse-names" : false, "suffix" : "" }, { "dropping-particle" : "", "family" : "Testa", "given" : "J.", "non-dropping-particle" : "", "parse-names" : false, "suffix" : "" }, { "dropping-particle" : "", "family" : "Albert", "given" : "C.", "non-dropping-particle" : "", "parse-names" : false, "suffix" : "" }, { "dropping-particle" : "", "family" : "Chassang", "given" : "M.", "non-dropping-particle" : "", "parse-names" : false, "suffix" : "" }, { "dropping-particle" : "", "family" : "Brocq", "given" : "O.", "non-dropping-particle" : "", "parse-names" : false, "suffix" : "" }, { "dropping-particle" : "", "family" : "al.", "given" : "et", "non-dropping-particle" : "", "parse-names" : false, "suffix" : "" }, { "dropping-particle" : "", "family" : "Hill", "given" : "R.M.", "non-dropping-particle" : "", "parse-names" : false, "suffix" : "" }, { "dropping-particle" : "", "family" : "Robinson", "given" : "C.M.", "non-dropping-particle" : "", "parse-names" : false, "suffix" : "" }, { "dropping-particle" : "", "family" : "Keating", "given" : "J.F.", "non-dropping-particle" : "", "parse-names" : false, "suffix" : "" }, { "dropping-particle" : "van", "family" : "Dijk", "given" : "W.A.", "non-dropping-particle" : "", "parse-names" : false, "suffix" : "" }, { "dropping-particle" : "", "family" : "Poeze", "given" : "M.", "non-dropping-particle" : "", "parse-names" : false, "suffix" : "" }, { "dropping-particle" : "van", "family" : "Helden", "given" : "S.H.", "non-dropping-particle" : "", "parse-names" : false, "suffix" : "" }, { "dropping-particle" : "", "family" : "Brink", "given" : "P.R.", "non-dropping-particle" : "", "parse-names" : false, "suffix" : "" }, { "dropping-particle" : "", "family" : "Verbruggen", "given" : "J.P.", "non-dropping-particle" : "", "parse-names" : false, "suffix" : "" }, { "dropping-particle" : "", "family" : "Koval", "given" : "K.J.", "non-dropping-particle" : "", "parse-names" : false, "suffix" : "" }, { "dropping-particle" : "", "family" : "Aharonoff", "given" : "G.B.", "non-dropping-particle" : "", "parse-names" : false, "suffix" : "" }, { "dropping-particle" : "", "family" : "Schwartz", "given" : "M.C.", "non-dropping-particle" : "", "parse-names" : false, "suffix" : "" }, { "dropping-particle" : "", "family" : "Alpert", "given" : "S.", "non-dropping-particle" : "", "parse-names" : false, "suffix" : "" }, { "dropping-particle" : "", "family" : "Cohen", "given" : "G.", "non-dropping-particle" : "", "parse-names" : false, "suffix" : "" }, { "dropping-particle" : "", "family" : "McShinawy", "given" : "A.", "non-dropping-particle" : "", "parse-names" : false, "suffix" : "" }, { "dropping-particle" : "", "family" : "al.", "given" : "et", "non-dropping-particle" : "", "parse-names" : false, "suffix" : "" }, { "dropping-particle" : "", "family" : "Gertzbein", "given" : "S.D.", "non-dropping-particle" : "", "parse-names" : false, "suffix" : "" }, { "dropping-particle" : "", "family" : "Chenoweth", "given" : "D.R.", "non-dropping-particle" : "", "parse-names" : false, "suffix" : "" }, { "dropping-particle" : "", "family" : "Krappinger", "given" : "D.", "non-dropping-particle" : "", "parse-names" : false, "suffix" : "" }, { "dropping-particle" : "", "family" : "Struve", "given" : "P.", "non-dropping-particle" : "", "parse-names" : false, "suffix" : "" }, { "dropping-particle" : "", "family" : "Schmid", "given" : "R.", "non-dropping-particle" : "", "parse-names" : false, "suffix" : "" }, { "dropping-particle" : "", "family" : "Kroesslhuber", "given" : "J.", "non-dropping-particle" : "", "parse-names" : false, "suffix" : "" }, { "dropping-particle" : "", "family" : "Blauth", "given" : "M.", "non-dropping-particle" : "", "parse-names" : false, "suffix" : "" }, { "dropping-particle" : "", "family" : "Buckley", "given" : "S.L.", "non-dropping-particle" : "", "parse-names" : false, "suffix" : "" }, { "dropping-particle" : "", "family" : "Burkus", "given" : "J.K.", "non-dropping-particle" : "", "parse-names" : false, "suffix" : "" }, { "dropping-particle" : "", "family" : "Hoffmeyer", "given" : "P.", "non-dropping-particle" : "", "parse-names" : false, "suffix" : "" }, { "dropping-particle" : "", "family" : "Seigne", "given" : "J.M.", "non-dropping-particle" : "", "parse-names" : false, "suffix" : "" }, { "dropping-particle" : "", "family" : "Garcia", "given" : "J.", "non-dropping-particle" : "", "parse-names" : false, "suffix" : "" }, { "dropping-particle" : "", "family" : "Vasey", "given" : "H.", "non-dropping-particle" : "", "parse-names" : false, "suffix" : "" }, { "dropping-particle" : "", "family" : "Vrahas", "given" : "M.", "non-dropping-particle" : "", "parse-names" : false, "suffix" : "" }, { "dropping-particle" : "", "family" : "Hern", "given" : "T.C.", "non-dropping-particle" : "", "parse-names" : false, "suffix" : "" }, { "dropping-particle" : "", "family" : "Diangelo", "given" : "D.", "non-dropping-particle" : "", "parse-names" : false, "suffix" : "" }, { "dropping-particle" : "", "family" : "Kellam", "given" : "J.", "non-dropping-particle" : "", "parse-names" : false, "suffix" : "" }, { "dropping-particle" : "", "family" : "Tile", "given" : "M.", "non-dropping-particle" : "", "parse-names" : false, "suffix" : "" }, { "dropping-particle" : "", "family" : "Pennal", "given" : "G.F.", "non-dropping-particle" : "", "parse-names" : false, "suffix" : "" }, { "dropping-particle" : "", "family" : "Tile", "given" : "M.", "non-dropping-particle" : "", "parse-names" : false, "suffix" : "" }, { "dropping-particle" : "", "family" : "Waddell", "given" : "J.P.", "non-dropping-particle" : "", "parse-names" : false, "suffix" : "" }, { "dropping-particle" : "", "family" : "Garside", "given" : "H.", "non-dropping-particle" : "", "parse-names" : false, "suffix" : "" }, { "dropping-particle" : "", "family" : "Tile", "given" : "M.", "non-dropping-particle" : "", "parse-names" : false, "suffix" : "" }, { "dropping-particle" : "", "family" : "Isler", "given" : "B.", "non-dropping-particle" : "", "parse-names" : false, "suffix" : "" }, { "dropping-particle" : "", "family" : "Ganz", "given" : "R.", "non-dropping-particle" : "", "parse-names" : false, "suffix" : "" }, { "dropping-particle" : "", "family" : "Obaid", "given" : "A.K.", "non-dropping-particle" : "", "parse-names" : false, "suffix" : "" }, { "dropping-particle" : "", "family" : "Barleben", "given" : "A.", "non-dropping-particle" : "", "parse-names" : false, "suffix" : "" }, { "dropping-particle" : "", "family" : "Porral", "given" : "D.", "non-dropping-particle" : "", "parse-names" : false, "suffix" : "" }, { "dropping-particle" : "", "family" : "Lush", "given" : "S.", "non-dropping-particle" : "", "parse-names" : false, "suffix" : "" }, { "dropping-particle" : "", "family" : "Cinat", "given" : "M.", "non-dropping-particle" : "", "parse-names" : false, "suffix" : "" }, { "dropping-particle" : "", "family" : "Guillamondegui", "given" : "O.D.", "non-dropping-particle" : "", "parse-names" : false, "suffix" : "" }, { "dropping-particle" : "", "family" : "Pryor", "given" : "J.P.", "non-dropping-particle" : "", "parse-names" : false, "suffix" : "" }, { "dropping-particle" : "", "family" : "Garcias", "given" : "V.H.", "non-dropping-particle" : "", "parse-names" : false, "suffix" : "" }, { "dropping-particle" : "", "family" : "Gupta", "given" : "R.", "non-dropping-particle" : "", "parse-names" : false, "suffix" : "" }, { "dropping-particle" : "", "family" : "Reilly", "given" : "P.M.", "non-dropping-particle" : "", "parse-names" : false, "suffix" : "" }, { "dropping-particle" : "", "family" : "Schwab", "given" : "C.W.", "non-dropping-particle" : "", "parse-names" : false, "suffix" : "" }, { "dropping-particle" : "", "family" : "Hilty", "given" : "M.P.", "non-dropping-particle" : "", "parse-names" : false, "suffix" : "" }, { "dropping-particle" : "", "family" : "Behrendt", "given" : "I.", "non-dropping-particle" : "", "parse-names" : false, "suffix" : "" }, { "dropping-particle" : "", "family" : "Benneker", "given" : "L.M.", "non-dropping-particle" : "", "parse-names" : false, "suffix" : "" }, { "dropping-particle" : "", "family" : "Martinolli", "given" : "L.", "non-dropping-particle" : "", "parse-names" : false, "suffix" : "" }, { "dropping-particle" : "", "family" : "Stoupis", "given" : "C.", "non-dropping-particle" : "", "parse-names" : false, "suffix" : "" }, { "dropping-particle" : "", "family" : "Buggy", "given" : "D.J.", "non-dropping-particle" : "", "parse-names" : false, "suffix" : "" }, { "dropping-particle" : "", "family" : "al.", "given" : "et", "non-dropping-particle" : "", "parse-names" : false, "suffix" : "" }, { "dropping-particle" : "", "family" : "Dalinka", "given" : "M.K.", "non-dropping-particle" : "", "parse-names" : false, "suffix" : "" }, { "dropping-particle" : "", "family" : "Arger", "given" : "P.", "non-dropping-particle" : "", "parse-names" : false, "suffix" : "" }, { "dropping-particle" : "", "family" : "Coleman", "given" : "B.", "non-dropping-particle" : "", "parse-names" : false, "suffix" : "" }, { "dropping-particle" : "", "family" : "Albrechtsen", "given" : "J.", "non-dropping-particle" : "", "parse-names" : false, "suffix" : "" }, { "dropping-particle" : "", "family" : "Hede", "given" : "J.", "non-dropping-particle" : "", "parse-names" : false, "suffix" : "" }, { "dropping-particle" : "", "family" : "Jurik", "given" : "A.G.", "non-dropping-particle" : "", "parse-names" : false, "suffix" : "" }, { "dropping-particle" : "", "family" : "Dunn", "given" : "E.L.", "non-dropping-particle" : "", "parse-names" : false, "suffix" : "" }, { "dropping-particle" : "", "family" : "Berry", "given" : "P.H.", "non-dropping-particle" : "", "parse-names" : false, "suffix" : "" }, { "dropping-particle" : "", "family" : "Connally", "given" : "J.D.", "non-dropping-particle" : "", "parse-names" : false, "suffix" : "" }, { "dropping-particle" : "", "family" : "Kessel", "given" : "B.", "non-dropping-particle" : "", "parse-names" : false, "suffix" : "" }, { "dropping-particle" : "", "family" : "Sevi", "given" : "R.", "non-dropping-particle" : "", "parse-names" : false, "suffix" : "" }, { "dropping-particle" : "", "family" : "Jeroukhimov", "given" : "I.", "non-dropping-particle" : "", "parse-names" : false, "suffix" : "" }, { "dropping-particle" : "", "family" : "Kalganov", "given" : "A.", "non-dropping-particle" : "", "parse-names" : false, "suffix" : "" }, { "dropping-particle" : "", "family" : "Khashan", "given" : "T.", "non-dropping-particle" : "", "parse-names" : false, "suffix" : "" }, { "dropping-particle" : "", "family" : "Ashkenazi", "given" : "I.", "non-dropping-particle" : "", "parse-names" : false, "suffix" : "" }, { "dropping-particle" : "", "family" : "Gill", "given" : "K.", "non-dropping-particle" : "", "parse-names" : false, "suffix" : "" }, { "dropping-particle" : "", "family" : "Bucholz", "given" : "R.W.", "non-dropping-particle" : "", "parse-names" : false, "suffix" : "" }, { "dropping-particle" : "", "family" : "Heuck", "given" : "F.", "non-dropping-particle" : "", "parse-names" : false, "suffix" : "" }, { "dropping-particle" : "", "family" : "Schneider", "given" : "R.", "non-dropping-particle" : "", "parse-names" : false, "suffix" : "" }, { "dropping-particle" : "", "family" : "Rommens", "given" : "P.M.", "non-dropping-particle" : "", "parse-names" : false, "suffix" : "" }, { "dropping-particle" : "", "family" : "Vanderschot", "given" : "P.M.", "non-dropping-particle" : "", "parse-names" : false, "suffix" : "" }, { "dropping-particle" : "", "family" : "Broos", "given" : "P.L.", "non-dropping-particle" : "", "parse-names" : false, "suffix" : "" }, { "dropping-particle" : "", "family" : "Sch\u00e4del-H\u00f6pfner", "given" : "M.", "non-dropping-particle" : "", "parse-names" : false, "suffix" : "" }, { "dropping-particle" : "", "family" : "Celik", "given" : "I.", "non-dropping-particle" : "", "parse-names" : false, "suffix" : "" }, { "dropping-particle" : "", "family" : "Stiletto", "given" : "R.", "non-dropping-particle" : "", "parse-names" : false, "suffix" : "" }, { "dropping-particle" : "", "family" : "Giannadakis", "given" : "K.", "non-dropping-particle" : "", "parse-names" : false, "suffix" : "" }, { "dropping-particle" : "", "family" : "Froehlich", "given" : "J.J.", "non-dropping-particle" : "", "parse-names" : false, "suffix" : "" }, { "dropping-particle" : "", "family" : "Gotzen", "given" : "L.", "non-dropping-particle" : "", "parse-names" : false, "suffix" : "" }, { "dropping-particle" : "", "family" : "Pohlemann", "given" : "T.", "non-dropping-particle" : "", "parse-names" : false, "suffix" : "" }, { "dropping-particle" : "", "family" : "Gansslen", "given" : "A.", "non-dropping-particle" : "", "parse-names" : false, "suffix" : "" }, { "dropping-particle" : "", "family" : "Tscherne", "given" : "H.", "non-dropping-particle" : "", "parse-names" : false, "suffix" : "" } ], "container-title" : "Injury", "id" : "ITEM-2", "issue" : "8", "issued" : { "date-parts" : [ [ "2012", "8" ] ] }, "page" : "1326-9", "publisher" : "Elsevier", "title" : "Detection of posterior pelvic injuries in fractures of the pubic rami.", "type" : "article-journal", "volume" : "43" }, "uris" : [ "http://www.mendeley.com/documents/?uuid=18825e18-4e62-3889-a940-750b58ec6f0c" ] } ], "mendeley" : { "formattedCitation" : "&lt;sup&gt;1,5&lt;/sup&gt;", "plainTextFormattedCitation" : "1,5", "previouslyFormattedCitation" : "&lt;sup&gt;1,5&lt;/sup&gt;" }, "properties" : { "noteIndex" : 0 }, "schema" : "https://github.com/citation-style-language/schema/raw/master/csl-citation.json" }</w:instrText>
            </w:r>
            <w:r w:rsidRPr="0008415B">
              <w:rPr>
                <w:rFonts w:ascii="Arial" w:hAnsi="Arial" w:cs="Arial"/>
                <w:sz w:val="24"/>
              </w:rPr>
              <w:fldChar w:fldCharType="separate"/>
            </w:r>
            <w:r w:rsidRPr="0008415B">
              <w:rPr>
                <w:rFonts w:ascii="Arial" w:hAnsi="Arial" w:cs="Arial"/>
                <w:noProof/>
                <w:sz w:val="24"/>
                <w:vertAlign w:val="superscript"/>
              </w:rPr>
              <w:t>1,5</w:t>
            </w:r>
            <w:r w:rsidRPr="0008415B">
              <w:rPr>
                <w:rFonts w:ascii="Arial" w:hAnsi="Arial" w:cs="Arial"/>
                <w:sz w:val="24"/>
              </w:rPr>
              <w:fldChar w:fldCharType="end"/>
            </w:r>
            <w:r w:rsidRPr="0008415B">
              <w:rPr>
                <w:rFonts w:ascii="Arial" w:hAnsi="Arial" w:cs="Arial"/>
                <w:sz w:val="24"/>
              </w:rPr>
              <w:t xml:space="preserve"> ebenfalls eine nicht erkannte Fraktur des hinteren Beckenrings aufwiesen.</w:t>
            </w:r>
          </w:p>
          <w:p w14:paraId="3683DFB7" w14:textId="77777777" w:rsidR="005609D3" w:rsidRPr="0008415B" w:rsidRDefault="005609D3" w:rsidP="007762C8">
            <w:pPr>
              <w:suppressAutoHyphens w:val="0"/>
              <w:spacing w:line="360" w:lineRule="auto"/>
              <w:jc w:val="both"/>
              <w:rPr>
                <w:rFonts w:ascii="Arial" w:hAnsi="Arial" w:cs="Arial"/>
                <w:sz w:val="24"/>
              </w:rPr>
            </w:pPr>
            <w:r w:rsidRPr="0008415B">
              <w:rPr>
                <w:rFonts w:ascii="Arial" w:hAnsi="Arial" w:cs="Arial"/>
                <w:sz w:val="24"/>
              </w:rPr>
              <w:t xml:space="preserve">Die Therapie bestand aus Analgesie und Physiotherapie. Zusammenfassend stellen die Autoren fest, dass vordere und hintere Beckenringfrakturen einen großen Einfluss auf die eigenständige Mobilität und das unabhängige Leben der älteren Patienten haben. 30% der Patienten verloren die Fähigkeit sich eigenständig zuhause zu versorgen, die Zahl der Patienten, die nur noch in einem Pflegeheim versorgt werden konnten stieg nach Fraktur um 170% an. Insgesamt berichten die Autoren von einer posttraumatischen Mortalitätsrate von 23% nach einem und 43% nach 3 Jahren. </w:t>
            </w:r>
          </w:p>
          <w:p w14:paraId="7C2A4B7D" w14:textId="0A9E3191" w:rsidR="005609D3" w:rsidRPr="0008415B" w:rsidRDefault="005609D3" w:rsidP="007762C8">
            <w:pPr>
              <w:suppressAutoHyphens w:val="0"/>
              <w:spacing w:line="360" w:lineRule="auto"/>
              <w:jc w:val="both"/>
              <w:rPr>
                <w:rFonts w:ascii="Arial" w:hAnsi="Arial" w:cs="Arial"/>
                <w:sz w:val="24"/>
              </w:rPr>
            </w:pPr>
            <w:r w:rsidRPr="0008415B">
              <w:rPr>
                <w:rFonts w:ascii="Arial" w:hAnsi="Arial" w:cs="Arial"/>
                <w:sz w:val="24"/>
              </w:rPr>
              <w:t>In anderen retrospektiven Studien, welche sich mit der konservativen Therapie beschäftigten, zeigten sich ebenfalls deutliche Einschnitte bei der Mobilität, Grad der Selbstständigkeit sowie Mortalitätsraten von 14 bis 18%</w:t>
            </w:r>
            <w:r w:rsidRPr="0008415B">
              <w:rPr>
                <w:rFonts w:ascii="Arial" w:hAnsi="Arial" w:cs="Arial"/>
                <w:sz w:val="24"/>
              </w:rPr>
              <w:fldChar w:fldCharType="begin" w:fldLock="1"/>
            </w:r>
            <w:r w:rsidR="000D7ECB">
              <w:rPr>
                <w:rFonts w:ascii="Arial" w:hAnsi="Arial" w:cs="Arial"/>
                <w:sz w:val="24"/>
              </w:rPr>
              <w:instrText>ADDIN CSL_CITATION { "citationItems" : [ { "id" : "ITEM-1", "itemData" : { "ISSN" : "0301-620X", "PMID" : "11764428", "abstract" : "We reviewed 286 consecutive patients with a fracture of a pubic ramus. The overall incidence was 6.9/100,000/year in the total population and 25.6/100,000/year in individuals aged over 60 years. The mean age of the patients was 74.7 years and 24.5% suffered from dementia. Women were affected 4.2 times more often than men. After injury, geriatric rehabilitation was frequently required and although most surviving patients returned to their original place of residence, their level of mobility was often worse. The overall survival rates at one and five years were 86.7% and 45.6%, respectively. Multiple logistic regression analysis showed that age and dementia were the only independent significant factors to be predictive of mortality (p &lt; 0.05). Patients with a fracture of a pubic ramus had a significantly worse survival than an age-matched cohort from the general population (log-rank test, p &lt; 0.001), but this was better than patients with a fracture of the hip during the first year after injury, although their subsequent mortality was higher. Five years after the fracture there was no significant difference in survival between the two groups.", "author" : [ { "dropping-particle" : "", "family" : "Hill", "given" : "R M", "non-dropping-particle" : "", "parse-names" : false, "suffix" : "" }, { "dropping-particle" : "", "family" : "Robinson", "given" : "C M", "non-dropping-particle" : "", "parse-names" : false, "suffix" : "" }, { "dropping-particle" : "", "family" : "Keating", "given" : "J F", "non-dropping-particle" : "", "parse-names" : false, "suffix" : "" } ], "container-title" : "The Journal of bone and joint surgery. British volume", "id" : "ITEM-1", "issue" : "8", "issued" : { "date-parts" : [ [ "2001", "11" ] ] }, "page" : "1141-4", "title" : "Fractures of the pubic rami. Epidemiology and five-year survival.", "type" : "article-journal", "volume" : "83" }, "uris" : [ "http://www.mendeley.com/documents/?uuid=44fcbff9-f6ce-3102-88c4-f91bcc4b05a7" ] }, { "id" : "ITEM-2", "itemData" : { "ISSN" : "1297-319X", "PMID" : "12951312", "abstract" : "OBJECTIVE To evaluate 1-year mortality and functional outcomes after pelvic insufficiency fractures in older patients. PATIENTS AND METHODS Retrospective review of medical records of patients 65 years of age or older admitted to our geriatrics department for pelvic fracture related to bone insufficiency over a 10-year period (1990-1999). For each patient, we recorded the circumstances of the fracture, time to diagnosis and imaging studies needed for diagnosis, functional status, place of residence before and after the fracture, general health status, treatment, short-term outcome, complications if any, length of hospital stay, and 1-year outcome. RESULTS Sixty patients (54 women and 6 men) with a mean age of 83 +/- 7.1 years had 49 pubic rami fractures, 16 sacral fractures, and three acetabular fractures. The sacral fractures were usually found only by radionuclide bone scanning, so that time to diagnosis was longer. A history of fracture or risk factor for fracture was found in 45% of the patients. One patient died during the hospital stay. No thromboembolic events were recorded. Twenty-four patients experienced other intercurrent events (urinary retention, lower respiratory tract infection, or urinary tract infection). Mean hospital length of stay was 45 +/- 28 d overall and was longer in the subset of patients who were not fully self-sufficient before the fracture. At discharge, 50% of patients had not recovered their former level of self-sufficiency and 25% had to be institutionalized. The 1-year mortality rate was 14.3%. Pelvic insufficiency fractures are common in older patients. Although they are rarely life threatening, they deserve special attention as a source of functional disability.", "author" : [ { "dropping-particle" : "", "family" : "Taillandier", "given" : "Jean", "non-dropping-particle" : "", "parse-names" : false, "suffix" : "" }, { "dropping-particle" : "", "family" : "Langue", "given" : "Fabrice", "non-dropping-particle" : "", "parse-names" : false, "suffix" : "" }, { "dropping-particle" : "", "family" : "Alemanni", "given" : "Martine", "non-dropping-particle" : "", "parse-names" : false, "suffix" : "" }, { "dropping-particle" : "", "family" : "Taillandier-Heriche", "given" : "Elodie", "non-dropping-particle" : "", "parse-names" : false, "suffix" : "" } ], "container-title" : "Joint, bone, spine : revue du rhumatisme", "id" : "ITEM-2", "issue" : "4", "issued" : { "date-parts" : [ [ "2003", "8" ] ] }, "page" : "287-9", "title" : "Mortality and functional outcomes of pelvic insufficiency fractures in older patients.", "type" : "article-journal", "volume" : "70" }, "uris" : [ "http://www.mendeley.com/documents/?uuid=acb1665b-7c49-3c4e-a84d-217ef2fdfe98" ] } ], "mendeley" : { "formattedCitation" : "&lt;sup&gt;9,10&lt;/sup&gt;", "plainTextFormattedCitation" : "9,10", "previouslyFormattedCitation" : "&lt;sup&gt;9,10&lt;/sup&gt;" }, "properties" : { "noteIndex" : 0 }, "schema" : "https://github.com/citation-style-language/schema/raw/master/csl-citation.json" }</w:instrText>
            </w:r>
            <w:r w:rsidRPr="0008415B">
              <w:rPr>
                <w:rFonts w:ascii="Arial" w:hAnsi="Arial" w:cs="Arial"/>
                <w:sz w:val="24"/>
              </w:rPr>
              <w:fldChar w:fldCharType="separate"/>
            </w:r>
            <w:r w:rsidR="000D7ECB" w:rsidRPr="000D7ECB">
              <w:rPr>
                <w:rFonts w:ascii="Arial" w:hAnsi="Arial" w:cs="Arial"/>
                <w:noProof/>
                <w:sz w:val="24"/>
                <w:vertAlign w:val="superscript"/>
              </w:rPr>
              <w:t>9,10</w:t>
            </w:r>
            <w:r w:rsidRPr="0008415B">
              <w:rPr>
                <w:rFonts w:ascii="Arial" w:hAnsi="Arial" w:cs="Arial"/>
                <w:sz w:val="24"/>
              </w:rPr>
              <w:fldChar w:fldCharType="end"/>
            </w:r>
            <w:r w:rsidRPr="0008415B">
              <w:rPr>
                <w:rFonts w:ascii="Arial" w:hAnsi="Arial" w:cs="Arial"/>
                <w:sz w:val="24"/>
              </w:rPr>
              <w:t xml:space="preserve">. </w:t>
            </w:r>
          </w:p>
          <w:p w14:paraId="7D9EFCB5" w14:textId="53145254" w:rsidR="005609D3" w:rsidRPr="0008415B" w:rsidRDefault="005609D3" w:rsidP="007762C8">
            <w:pPr>
              <w:suppressAutoHyphens w:val="0"/>
              <w:spacing w:line="360" w:lineRule="auto"/>
              <w:jc w:val="both"/>
              <w:rPr>
                <w:rFonts w:ascii="Arial" w:hAnsi="Arial" w:cs="Arial"/>
                <w:sz w:val="24"/>
              </w:rPr>
            </w:pPr>
            <w:r w:rsidRPr="0008415B">
              <w:rPr>
                <w:rFonts w:ascii="Arial" w:hAnsi="Arial" w:cs="Arial"/>
                <w:sz w:val="24"/>
              </w:rPr>
              <w:t>Studien zum Outcome nach operativer Versorgung mit transiliosakralen Schrauben im Sinne von Funktion, Schmerz und Lebensqualität gibt es zum aktuellen Zeitpunkt für jüngere Patienten mit guten Ergebnissen</w:t>
            </w:r>
            <w:r w:rsidRPr="0008415B">
              <w:rPr>
                <w:rFonts w:ascii="Arial" w:hAnsi="Arial" w:cs="Arial"/>
                <w:sz w:val="24"/>
              </w:rPr>
              <w:fldChar w:fldCharType="begin" w:fldLock="1"/>
            </w:r>
            <w:r w:rsidR="000D7ECB">
              <w:rPr>
                <w:rFonts w:ascii="Arial" w:hAnsi="Arial" w:cs="Arial"/>
                <w:sz w:val="24"/>
              </w:rPr>
              <w:instrText>ADDIN CSL_CITATION { "citationItems" : [ { "id" : "ITEM-1", "itemData" : { "DOI" : "10.1007/s00068-014-0456-x", "ISSN" : "1863-9933", "PMID" : "26037990", "abstract" : "INTRODUCTION A clinical series of patients was studied to compare the functional score after the use of a single versus two percutaneous iliosacral screws for unstable posterior pelvic ring fractures with or without anterior fixation with the aim to explore if the addition of a second screw would provide better results regarding the functional outcome score. MATERIALS AND METHODS This case series includes 77 patients with an average of 32.6 years who suffered unstable posterior pelvic ring fractures. Forty-six were Tile type C and 31 were Tile type B. Patients underwent closed reduction and were fixed using percutaneous fluoroscopic-guided iliosacral screws in the supine position with 1 screw in 50 fractures, 2 screws in 37 fractures, 2 fractures were fixed with plates after ORIF, and in 6 cases (out of the bilateral cases) the undisplaced side was unfixed. Postoperatively three patients were lost to follow up and 74 patients (84 posterior fractures fixed with screws) were followed up for a mean of 37.4 months (range 6-151 months) and were evaluated using the Majeed score (1989). RESULTS Clinical union occurred in all the patients, although in two cases posterior fixation failed and was revised. Radiologically excellent reduction was achieved in 55 patients (71.4%), good in 16 (20.8%), fair in 6 (7.8%) and none had poor reduction. Statistically; among 62 cases that completed the Majeed score evaluation at the last follow-up session, there was no significant difference p value 0.051 between two groups. We also compared Majeed score in Tile B and C fractures fixed with one versus two screws. CONCLUSION The addition of a second screw for posterior fixation did not show any statistically significant difference regarding functional outcome. LEVEL OF EVIDENCE Level IV clinical trial.", "author" : [ { "dropping-particle" : "", "family" : "Khaled", "given" : "S. A.", "non-dropping-particle" : "", "parse-names" : false, "suffix" : "" }, { "dropping-particle" : "", "family" : "Soliman", "given" : "O.", "non-dropping-particle" : "", "parse-names" : false, "suffix" : "" }, { "dropping-particle" : "", "family" : "Wahed", "given" : "M. A.", "non-dropping-particle" : "", "parse-names" : false, "suffix" : "" } ], "container-title" : "European Journal of Trauma and Emergency Surgery", "id" : "ITEM-1", "issue" : "4", "issued" : { "date-parts" : [ [ "2015", "8", "21" ] ] }, "page" : "387-392", "title" : "Functional outcome of unstable pelvic ring injuries after iliosacral screw fixation: single versus two screw fixation", "type" : "article-journal", "volume" : "41" }, "uris" : [ "http://www.mendeley.com/documents/?uuid=f89a8c2e-72f5-38ee-912f-1eae2f5aa083" ] } ], "mendeley" : { "formattedCitation" : "&lt;sup&gt;11&lt;/sup&gt;", "plainTextFormattedCitation" : "11", "previouslyFormattedCitation" : "&lt;sup&gt;11&lt;/sup&gt;" }, "properties" : { "noteIndex" : 0 }, "schema" : "https://github.com/citation-style-language/schema/raw/master/csl-citation.json" }</w:instrText>
            </w:r>
            <w:r w:rsidRPr="0008415B">
              <w:rPr>
                <w:rFonts w:ascii="Arial" w:hAnsi="Arial" w:cs="Arial"/>
                <w:sz w:val="24"/>
              </w:rPr>
              <w:fldChar w:fldCharType="separate"/>
            </w:r>
            <w:r w:rsidR="000D7ECB" w:rsidRPr="000D7ECB">
              <w:rPr>
                <w:rFonts w:ascii="Arial" w:hAnsi="Arial" w:cs="Arial"/>
                <w:noProof/>
                <w:sz w:val="24"/>
                <w:vertAlign w:val="superscript"/>
              </w:rPr>
              <w:t>11</w:t>
            </w:r>
            <w:r w:rsidRPr="0008415B">
              <w:rPr>
                <w:rFonts w:ascii="Arial" w:hAnsi="Arial" w:cs="Arial"/>
                <w:sz w:val="24"/>
              </w:rPr>
              <w:fldChar w:fldCharType="end"/>
            </w:r>
            <w:r w:rsidRPr="0008415B">
              <w:rPr>
                <w:rFonts w:ascii="Arial" w:hAnsi="Arial" w:cs="Arial"/>
                <w:sz w:val="24"/>
              </w:rPr>
              <w:t>. Bei Patienten älter als 60 Jahre mit Sakrumfraktur und operativer Versorgung durch eine transiliosakrale Schraubenosteosynthese fehlt eine wissenschaftliche Auseinandersetzung mit beispielsweise einem Follow-Up von mindestens 12 Monate und einer Kontrollgruppe. Eine Studie beschreibt Schmerzen unmittelbar vor Entlassung ohne Nachuntersuchung und Kontrollgruppe</w:t>
            </w:r>
            <w:r w:rsidRPr="0008415B">
              <w:rPr>
                <w:rFonts w:ascii="Arial" w:hAnsi="Arial" w:cs="Arial"/>
                <w:sz w:val="24"/>
              </w:rPr>
              <w:fldChar w:fldCharType="begin" w:fldLock="1"/>
            </w:r>
            <w:r w:rsidR="000D7ECB">
              <w:rPr>
                <w:rFonts w:ascii="Arial" w:hAnsi="Arial" w:cs="Arial"/>
                <w:sz w:val="24"/>
              </w:rPr>
              <w:instrText>ADDIN CSL_CITATION { "citationItems" : [ { "id" : "ITEM-1", "itemData" : { "DOI" : "10.1016/j.injury.2015.04.036", "ISSN" : "00201383", "PMID" : "26052052", "abstract" : "INTRODUCTION Osteoporotic posterior ring fractures of the pelvis are common injuries in the elderly, but the treatment of these fractures still remains controversial. Percutaneous iliosacral screw fixation is one surgical option if conservative treatment cannot provide sufficient pain reduction. The aim of this study is to provide short-term results of elderly patients with percutaneous screw fixation. METHODS 30 patients with posterior ring fractures were treated between 12/2009 and 01/2014 with percutaneous iliosacral screw fixation. Patients' mean age was 78.4 years. Concerning short-term outcome, we focused on initial pain level and postoperative pain reduction together with intra- and postoperative complications. RESULTS The average hospital stay was 23.7 days, with surgical treatment performed after an average of 9.2 days. 90% of our patients were female. All 30 patients had a lower level of pain at discharge compared with admission or immediately prior to surgery. The difference in pain level at admission compared with the pain level upon discharge showed a mean reduction from 6.8 to 1.8 with a statistically significant change (P\u22640.001). 24 of 30 patients had no registered complications, one screw malpositioning with postoperative nerve irritation occurred. DISCUSSION Conventional percutaneous iliosacral screw fixation is a successful operative treatment for elderly patients with persistent lower back pain after unstable posterior ring fractures of the pelvis. Intra- and postoperative complications are rare, so this treatment can be regarded as a safe procedure. LEVEL OF EVIDENCE IV (retrospective study).", "author" : [ { "dropping-particle" : "", "family" : "Hopf", "given" : "Johannes Christof", "non-dropping-particle" : "", "parse-names" : false, "suffix" : "" }, { "dropping-particle" : "", "family" : "Krieglstein", "given" : "Christian F.", "non-dropping-particle" : "", "parse-names" : false, "suffix" : "" }, { "dropping-particle" : "", "family" : "M\u00fcller", "given" : "Lars P.", "non-dropping-particle" : "", "parse-names" : false, "suffix" : "" }, { "dropping-particle" : "", "family" : "Koslowsky", "given" : "Thomas C.", "non-dropping-particle" : "", "parse-names" : false, "suffix" : "" } ], "container-title" : "Injury", "id" : "ITEM-1", "issue" : "8", "issued" : { "date-parts" : [ [ "2015", "8" ] ] }, "page" : "1631-1636", "title" : "Percutaneous iliosacral screw fixation after osteoporotic posterior ring fractures of the pelvis reduces pain significantly in elderly patients", "type" : "article-journal", "volume" : "46" }, "uris" : [ "http://www.mendeley.com/documents/?uuid=3051f064-0ce6-3763-afd1-6ec2fd593e41" ] } ], "mendeley" : { "formattedCitation" : "&lt;sup&gt;12&lt;/sup&gt;", "plainTextFormattedCitation" : "12", "previouslyFormattedCitation" : "&lt;sup&gt;12&lt;/sup&gt;" }, "properties" : { "noteIndex" : 0 }, "schema" : "https://github.com/citation-style-language/schema/raw/master/csl-citation.json" }</w:instrText>
            </w:r>
            <w:r w:rsidRPr="0008415B">
              <w:rPr>
                <w:rFonts w:ascii="Arial" w:hAnsi="Arial" w:cs="Arial"/>
                <w:sz w:val="24"/>
              </w:rPr>
              <w:fldChar w:fldCharType="separate"/>
            </w:r>
            <w:r w:rsidR="000D7ECB" w:rsidRPr="000D7ECB">
              <w:rPr>
                <w:rFonts w:ascii="Arial" w:hAnsi="Arial" w:cs="Arial"/>
                <w:noProof/>
                <w:sz w:val="24"/>
                <w:vertAlign w:val="superscript"/>
              </w:rPr>
              <w:t>12</w:t>
            </w:r>
            <w:r w:rsidRPr="0008415B">
              <w:rPr>
                <w:rFonts w:ascii="Arial" w:hAnsi="Arial" w:cs="Arial"/>
                <w:sz w:val="24"/>
              </w:rPr>
              <w:fldChar w:fldCharType="end"/>
            </w:r>
            <w:r w:rsidRPr="0008415B">
              <w:rPr>
                <w:rFonts w:ascii="Arial" w:hAnsi="Arial" w:cs="Arial"/>
                <w:sz w:val="24"/>
              </w:rPr>
              <w:t>, hier nahmen die Schmerzen nach operativer Therapie signifikant ab und eine Mobilisation war schneller möglich.</w:t>
            </w:r>
          </w:p>
          <w:p w14:paraId="5751A729" w14:textId="77777777" w:rsidR="005609D3" w:rsidRPr="0008415B" w:rsidRDefault="005609D3" w:rsidP="005609D3">
            <w:pPr>
              <w:suppressAutoHyphens w:val="0"/>
              <w:spacing w:line="360" w:lineRule="auto"/>
              <w:ind w:left="900"/>
              <w:jc w:val="both"/>
              <w:rPr>
                <w:rFonts w:ascii="Arial" w:hAnsi="Arial" w:cs="Arial"/>
                <w:sz w:val="24"/>
              </w:rPr>
            </w:pPr>
          </w:p>
          <w:p w14:paraId="7286B006" w14:textId="53D74A4E" w:rsidR="00416CF8" w:rsidRPr="0008415B" w:rsidRDefault="005609D3" w:rsidP="000D7ECB">
            <w:pPr>
              <w:suppressAutoHyphens w:val="0"/>
              <w:spacing w:line="360" w:lineRule="auto"/>
              <w:jc w:val="both"/>
              <w:rPr>
                <w:rFonts w:ascii="Arial" w:hAnsi="Arial" w:cs="Arial"/>
                <w:sz w:val="24"/>
              </w:rPr>
            </w:pPr>
            <w:r w:rsidRPr="0008415B">
              <w:rPr>
                <w:rFonts w:ascii="Arial" w:hAnsi="Arial" w:cs="Arial"/>
                <w:sz w:val="24"/>
              </w:rPr>
              <w:t xml:space="preserve">Zusammenfassend mangelt es der wissenschaftlichen Gemeinschaft an einem Konzept zur Therapie dieser wachsenden Herausforderung. Im angelsächsischen Raum wird weiterhin ein eher konservatives Therapieregime favorisiert, welches aus unserer Sicht in puncto Mortalität, Verschlechterung der Mobilität und Komorbidität eine unzureichende Behandlung darstellt. Studien zur operativen Therapie mit gutem Evidenzgrad (I-II) sind gegenwärtig nicht </w:t>
            </w:r>
            <w:r w:rsidRPr="0008415B">
              <w:rPr>
                <w:rFonts w:ascii="Arial" w:hAnsi="Arial" w:cs="Arial"/>
                <w:sz w:val="24"/>
              </w:rPr>
              <w:lastRenderedPageBreak/>
              <w:t xml:space="preserve">verfügbar, dennoch weisen einzelne Veröffentlichungen mit aussichtsreichen Ergebnissen </w:t>
            </w:r>
            <w:r w:rsidRPr="0008415B">
              <w:rPr>
                <w:rFonts w:ascii="Arial" w:hAnsi="Arial" w:cs="Arial"/>
                <w:sz w:val="24"/>
              </w:rPr>
              <w:fldChar w:fldCharType="begin" w:fldLock="1"/>
            </w:r>
            <w:r w:rsidR="000D7ECB">
              <w:rPr>
                <w:rFonts w:ascii="Arial" w:hAnsi="Arial" w:cs="Arial"/>
                <w:sz w:val="24"/>
              </w:rPr>
              <w:instrText>ADDIN CSL_CITATION { "citationItems" : [ { "id" : "ITEM-1", "itemData" : { "DOI" : "10.1007/s00068-015-0530-z", "ISSN" : "1863-9941", "PMID" : "26038048", "abstract" : "The increasing prevalence of fragility fractures of the sacrum (FFS) occurring predominantly in osteoporotic individuals poses a diagnostic and therapeutic challenge. The clinical presentation varies from longstanding low back pain without the patient remembering a traumatic event to immobilized patients after suffering a low-energy trauma. FFS are often combined with a fracture of the anterior pelvic ring; hence they are classified as a part of fragility fractures of the pelvis (FFP). If not displaced, the patients are treated with weight bearing as tolerated and analgesics; however, we advocate to treat displaced fractures surgically according to the fracture personality and the patient's comorbidities. Surgical options include minimal invasive sacro-iliac screws, trans-sacral bar osteosynthesis, open reduction and internal fixation, or spinopelvic stabilization. In the light of the high complication rate associated with immobilized patients, an operative approach often is indicated to accelerate the patient's mobility.", "author" : [ { "dropping-particle" : "", "family" : "Wagner", "given" : "D", "non-dropping-particle" : "", "parse-names" : false, "suffix" : "" }, { "dropping-particle" : "", "family" : "Ossendorf", "given" : "C", "non-dropping-particle" : "", "parse-names" : false, "suffix" : "" }, { "dropping-particle" : "", "family" : "Gruszka", "given" : "D", "non-dropping-particle" : "", "parse-names" : false, "suffix" : "" }, { "dropping-particle" : "", "family" : "Hofmann", "given" : "A", "non-dropping-particle" : "", "parse-names" : false, "suffix" : "" }, { "dropping-particle" : "", "family" : "Rommens", "given" : "P M", "non-dropping-particle" : "", "parse-names" : false, "suffix" : "" } ], "container-title" : "European journal of trauma and emergency surgery : official publication of the European Trauma Society", "id" : "ITEM-1", "issue" : "4", "issued" : { "date-parts" : [ [ "2015", "8" ] ] }, "page" : "349-62", "title" : "Fragility fractures of the sacrum: how to identify and when to treat surgically?", "type" : "article-journal", "volume" : "41" }, "uris" : [ "http://www.mendeley.com/documents/?uuid=ad3c7875-8dcf-3daa-8d95-adbe255694ba" ] }, { "id" : "ITEM-2", "itemData" : { "DOI" : "10.1016/j.injury.2015.04.036", "ISSN" : "00201383", "PMID" : "26052052", "abstract" : "INTRODUCTION Osteoporotic posterior ring fractures of the pelvis are common injuries in the elderly, but the treatment of these fractures still remains controversial. Percutaneous iliosacral screw fixation is one surgical option if conservative treatment cannot provide sufficient pain reduction. The aim of this study is to provide short-term results of elderly patients with percutaneous screw fixation. METHODS 30 patients with posterior ring fractures were treated between 12/2009 and 01/2014 with percutaneous iliosacral screw fixation. Patients' mean age was 78.4 years. Concerning short-term outcome, we focused on initial pain level and postoperative pain reduction together with intra- and postoperative complications. RESULTS The average hospital stay was 23.7 days, with surgical treatment performed after an average of 9.2 days. 90% of our patients were female. All 30 patients had a lower level of pain at discharge compared with admission or immediately prior to surgery. The difference in pain level at admission compared with the pain level upon discharge showed a mean reduction from 6.8 to 1.8 with a statistically significant change (P\u22640.001). 24 of 30 patients had no registered complications, one screw malpositioning with postoperative nerve irritation occurred. DISCUSSION Conventional percutaneous iliosacral screw fixation is a successful operative treatment for elderly patients with persistent lower back pain after unstable posterior ring fractures of the pelvis. Intra- and postoperative complications are rare, so this treatment can be regarded as a safe procedure. LEVEL OF EVIDENCE IV (retrospective study).", "author" : [ { "dropping-particle" : "", "family" : "Hopf", "given" : "Johannes Christof", "non-dropping-particle" : "", "parse-names" : false, "suffix" : "" }, { "dropping-particle" : "", "family" : "Krieglstein", "given" : "Christian F.", "non-dropping-particle" : "", "parse-names" : false, "suffix" : "" }, { "dropping-particle" : "", "family" : "M\u00fcller", "given" : "Lars P.", "non-dropping-particle" : "", "parse-names" : false, "suffix" : "" }, { "dropping-particle" : "", "family" : "Koslowsky", "given" : "Thomas C.", "non-dropping-particle" : "", "parse-names" : false, "suffix" : "" } ], "container-title" : "Injury", "id" : "ITEM-2", "issue" : "8", "issued" : { "date-parts" : [ [ "2015", "8" ] ] }, "page" : "1631-1636", "title" : "Percutaneous iliosacral screw fixation after osteoporotic posterior ring fractures of the pelvis reduces pain significantly in elderly patients", "type" : "article-journal", "volume" : "46" }, "uris" : [ "http://www.mendeley.com/documents/?uuid=3051f064-0ce6-3763-afd1-6ec2fd593e41" ] }, { "id" : "ITEM-3", "itemData" : { "DOI" : "10.1177/2151458516681142", "ISSN" : "2151-4585", "PMID" : "28255503", "abstract" : "INTRODUCTION Osteoporotic pelvic ring fractures are a rising problem for surgeons in industrialized countries. There is no evidence-based treatment strategy especially for lateral compression (LC) fractures involving the sacrum. The aim of this study was to evaluate and compare outcome and survival rate of nonoperative and operative treatment strategies for lateral compression fractures. PATIENTS AND METHODS In a retrospective study, 128 patients (aged \u226565 years) with an Orthopedic Trauma Association (OTA) types B2.1 and B3.3 fracture were included and analyzed regarding demographic and treatment data and adverse events. After a follow-up period of at least 2-year survival rate, quality of life and pain were evaluated using the EuroQol-5D and Short Form-12 questionnaires and the visual analog scale. RESULTS Fifty patients (78.3 \u00b1 7.6 years) obtained operative treatment and 77 patients (82.7 \u00b1 7.9 years) obtained nonoperative treatment. One died within 24 hours after admission. High rates of complications occurred in both groups (operative group: 18% and nonoperative group: 8%). Eighteen percent (14 of the 77) of conservatively treated patients needed operative treatment after discharge due to worsening pain and mobilization. The 2-year follow-up showed a high overall mortality (30%), with a significant higher survival rate for operatively treated patients (2-year survival: operatively treated 82% vs conservative 61%). No difference was found in pain and quality of life. DISCUSSION Elderly patients display a high rate and variety of complications and mortality in the aftermath of lateral compression fractures of the pelvis. Although a significantly higher 2-year survival rate for operatively treated patients was found, this study cannot give proof of superior position for operative treatment. Due to lacking data for alternative treatment algorithms especially for fracture-related immobilized patients, we recommended operative treatment with the aim to reduce complications related to prolonged bed rest and ensure early mobilization.", "author" : [ { "dropping-particle" : "", "family" : "H\u00f6ch", "given" : "Andreas", "non-dropping-particle" : "", "parse-names" : false, "suffix" : "" }, { "dropping-particle" : "", "family" : "\u00d6zkurtul", "given" : "Orkun", "non-dropping-particle" : "", "parse-names" : false, "suffix" : "" }, { "dropping-particle" : "", "family" : "Pieroh", "given" : "Philipp", "non-dropping-particle" : "", "parse-names" : false, "suffix" : "" }, { "dropping-particle" : "", "family" : "Josten", "given" : "Christoph", "non-dropping-particle" : "", "parse-names" : false, "suffix" : "" }, { "dropping-particle" : "", "family" : "B\u00f6hme", "given" : "J\u00f6rg", "non-dropping-particle" : "", "parse-names" : false, "suffix" : "" } ], "container-title" : "Geriatric Orthopaedic Surgery &amp; Rehabilitation", "id" : "ITEM-3", "issue" : "1", "issued" : { "date-parts" : [ [ "2017", "3" ] ] }, "page" : "3-9", "title" : "Outcome and 2-Year Survival Rate in Elderly Patients With Lateral Compression Fractures of the Pelvis", "type" : "article-journal", "volume" : "8" }, "uris" : [ "http://www.mendeley.com/documents/?uuid=f8be331a-5392-31c2-ac91-081f9de1a2b5" ] } ], "mendeley" : { "formattedCitation" : "&lt;sup&gt;2,12,13&lt;/sup&gt;", "plainTextFormattedCitation" : "2,12,13", "previouslyFormattedCitation" : "&lt;sup&gt;2,12,13&lt;/sup&gt;" }, "properties" : { "noteIndex" : 0 }, "schema" : "https://github.com/citation-style-language/schema/raw/master/csl-citation.json" }</w:instrText>
            </w:r>
            <w:r w:rsidRPr="0008415B">
              <w:rPr>
                <w:rFonts w:ascii="Arial" w:hAnsi="Arial" w:cs="Arial"/>
                <w:sz w:val="24"/>
              </w:rPr>
              <w:fldChar w:fldCharType="separate"/>
            </w:r>
            <w:r w:rsidR="000D7ECB" w:rsidRPr="000D7ECB">
              <w:rPr>
                <w:rFonts w:ascii="Arial" w:hAnsi="Arial" w:cs="Arial"/>
                <w:noProof/>
                <w:sz w:val="24"/>
                <w:vertAlign w:val="superscript"/>
              </w:rPr>
              <w:t>2,12,13</w:t>
            </w:r>
            <w:r w:rsidRPr="0008415B">
              <w:rPr>
                <w:rFonts w:ascii="Arial" w:hAnsi="Arial" w:cs="Arial"/>
                <w:sz w:val="24"/>
              </w:rPr>
              <w:fldChar w:fldCharType="end"/>
            </w:r>
            <w:r w:rsidRPr="0008415B">
              <w:rPr>
                <w:rFonts w:ascii="Arial" w:hAnsi="Arial" w:cs="Arial"/>
                <w:sz w:val="24"/>
              </w:rPr>
              <w:t xml:space="preserve"> auf eine Verbesserung der Mobilität und Morbidität durch die operative Therapie hin.</w:t>
            </w:r>
          </w:p>
        </w:tc>
      </w:tr>
      <w:tr w:rsidR="00416CF8" w:rsidRPr="0008415B" w14:paraId="1B5E7093" w14:textId="77777777" w:rsidTr="002F2025">
        <w:tc>
          <w:tcPr>
            <w:tcW w:w="9993" w:type="dxa"/>
            <w:tcBorders>
              <w:top w:val="single" w:sz="4" w:space="0" w:color="auto"/>
              <w:left w:val="single" w:sz="4" w:space="0" w:color="auto"/>
              <w:bottom w:val="single" w:sz="4" w:space="0" w:color="auto"/>
              <w:right w:val="single" w:sz="4" w:space="0" w:color="auto"/>
            </w:tcBorders>
          </w:tcPr>
          <w:p w14:paraId="2B3E5C73" w14:textId="77777777" w:rsidR="00416CF8" w:rsidRPr="007762C8" w:rsidRDefault="00416CF8" w:rsidP="002F2025">
            <w:pPr>
              <w:jc w:val="both"/>
              <w:rPr>
                <w:rFonts w:ascii="Arial" w:hAnsi="Arial" w:cs="Arial"/>
              </w:rPr>
            </w:pPr>
            <w:r w:rsidRPr="007762C8">
              <w:rPr>
                <w:rFonts w:ascii="Arial" w:hAnsi="Arial" w:cs="Arial"/>
              </w:rPr>
              <w:lastRenderedPageBreak/>
              <w:t>Literatur:</w:t>
            </w:r>
          </w:p>
          <w:p w14:paraId="126D7D0D" w14:textId="77777777" w:rsidR="00A2356A" w:rsidRPr="007762C8" w:rsidRDefault="00A2356A" w:rsidP="00A2356A">
            <w:pPr>
              <w:tabs>
                <w:tab w:val="num" w:pos="900"/>
              </w:tabs>
              <w:suppressAutoHyphens w:val="0"/>
              <w:spacing w:line="360" w:lineRule="auto"/>
              <w:ind w:left="900"/>
              <w:jc w:val="both"/>
              <w:rPr>
                <w:rFonts w:ascii="Arial" w:hAnsi="Arial" w:cs="Arial"/>
              </w:rPr>
            </w:pPr>
          </w:p>
          <w:p w14:paraId="7CF20818" w14:textId="681888A0" w:rsidR="000D7ECB" w:rsidRPr="000D7ECB" w:rsidRDefault="00A2356A" w:rsidP="000D7ECB">
            <w:pPr>
              <w:widowControl w:val="0"/>
              <w:autoSpaceDE w:val="0"/>
              <w:autoSpaceDN w:val="0"/>
              <w:adjustRightInd w:val="0"/>
              <w:spacing w:line="360" w:lineRule="auto"/>
              <w:ind w:left="640" w:hanging="640"/>
              <w:rPr>
                <w:rFonts w:ascii="Arial" w:hAnsi="Arial" w:cs="Arial"/>
                <w:noProof/>
                <w:lang w:val="en-US"/>
              </w:rPr>
            </w:pPr>
            <w:r w:rsidRPr="007762C8">
              <w:rPr>
                <w:rFonts w:ascii="Arial" w:hAnsi="Arial" w:cs="Arial"/>
              </w:rPr>
              <w:fldChar w:fldCharType="begin" w:fldLock="1"/>
            </w:r>
            <w:r w:rsidR="00CF1259" w:rsidRPr="0008415B">
              <w:rPr>
                <w:rFonts w:ascii="Arial" w:hAnsi="Arial" w:cs="Arial"/>
              </w:rPr>
              <w:instrText>ADDIN</w:instrText>
            </w:r>
            <w:r w:rsidRPr="007762C8">
              <w:rPr>
                <w:rFonts w:ascii="Arial" w:hAnsi="Arial" w:cs="Arial"/>
              </w:rPr>
              <w:instrText xml:space="preserve"> Mendeley Bibliography CSL_BIBLIOGRAPHY </w:instrText>
            </w:r>
            <w:r w:rsidRPr="007762C8">
              <w:rPr>
                <w:rFonts w:ascii="Arial" w:hAnsi="Arial" w:cs="Arial"/>
              </w:rPr>
              <w:fldChar w:fldCharType="separate"/>
            </w:r>
            <w:r w:rsidR="000D7ECB" w:rsidRPr="000D7ECB">
              <w:rPr>
                <w:rFonts w:ascii="Arial" w:hAnsi="Arial" w:cs="Arial"/>
                <w:noProof/>
              </w:rPr>
              <w:t>1.</w:t>
            </w:r>
            <w:r w:rsidR="000D7ECB" w:rsidRPr="000D7ECB">
              <w:rPr>
                <w:rFonts w:ascii="Arial" w:hAnsi="Arial" w:cs="Arial"/>
                <w:noProof/>
              </w:rPr>
              <w:tab/>
              <w:t xml:space="preserve">Nüchtern, J. V </w:t>
            </w:r>
            <w:r w:rsidR="000D7ECB" w:rsidRPr="000D7ECB">
              <w:rPr>
                <w:rFonts w:ascii="Arial" w:hAnsi="Arial" w:cs="Arial"/>
                <w:i/>
                <w:iCs/>
                <w:noProof/>
              </w:rPr>
              <w:t>et al.</w:t>
            </w:r>
            <w:r w:rsidR="000D7ECB" w:rsidRPr="000D7ECB">
              <w:rPr>
                <w:rFonts w:ascii="Arial" w:hAnsi="Arial" w:cs="Arial"/>
                <w:noProof/>
              </w:rPr>
              <w:t xml:space="preserve"> </w:t>
            </w:r>
            <w:r w:rsidR="000D7ECB" w:rsidRPr="000D7ECB">
              <w:rPr>
                <w:rFonts w:ascii="Arial" w:hAnsi="Arial" w:cs="Arial"/>
                <w:noProof/>
                <w:lang w:val="en-US"/>
              </w:rPr>
              <w:t xml:space="preserve">Significance of clinical examination, CT and MRI scan in the diagnosis of posterior pelvic ring fractures. </w:t>
            </w:r>
            <w:r w:rsidR="000D7ECB" w:rsidRPr="000D7ECB">
              <w:rPr>
                <w:rFonts w:ascii="Arial" w:hAnsi="Arial" w:cs="Arial"/>
                <w:i/>
                <w:iCs/>
                <w:noProof/>
                <w:lang w:val="en-US"/>
              </w:rPr>
              <w:t>Injury</w:t>
            </w:r>
            <w:r w:rsidR="000D7ECB" w:rsidRPr="000D7ECB">
              <w:rPr>
                <w:rFonts w:ascii="Arial" w:hAnsi="Arial" w:cs="Arial"/>
                <w:noProof/>
                <w:lang w:val="en-US"/>
              </w:rPr>
              <w:t xml:space="preserve"> </w:t>
            </w:r>
            <w:r w:rsidR="000D7ECB" w:rsidRPr="000D7ECB">
              <w:rPr>
                <w:rFonts w:ascii="Arial" w:hAnsi="Arial" w:cs="Arial"/>
                <w:b/>
                <w:bCs/>
                <w:noProof/>
                <w:lang w:val="en-US"/>
              </w:rPr>
              <w:t>46,</w:t>
            </w:r>
            <w:r w:rsidR="000D7ECB" w:rsidRPr="000D7ECB">
              <w:rPr>
                <w:rFonts w:ascii="Arial" w:hAnsi="Arial" w:cs="Arial"/>
                <w:noProof/>
                <w:lang w:val="en-US"/>
              </w:rPr>
              <w:t xml:space="preserve"> 315–9 (2015).</w:t>
            </w:r>
          </w:p>
          <w:p w14:paraId="6C2D6BF0" w14:textId="77777777" w:rsidR="000D7ECB" w:rsidRPr="000D7ECB" w:rsidRDefault="000D7ECB" w:rsidP="000D7ECB">
            <w:pPr>
              <w:widowControl w:val="0"/>
              <w:autoSpaceDE w:val="0"/>
              <w:autoSpaceDN w:val="0"/>
              <w:adjustRightInd w:val="0"/>
              <w:spacing w:line="360" w:lineRule="auto"/>
              <w:ind w:left="640" w:hanging="640"/>
              <w:rPr>
                <w:rFonts w:ascii="Arial" w:hAnsi="Arial" w:cs="Arial"/>
                <w:noProof/>
                <w:lang w:val="en-US"/>
              </w:rPr>
            </w:pPr>
            <w:r w:rsidRPr="000D7ECB">
              <w:rPr>
                <w:rFonts w:ascii="Arial" w:hAnsi="Arial" w:cs="Arial"/>
                <w:noProof/>
                <w:lang w:val="en-US"/>
              </w:rPr>
              <w:t>2.</w:t>
            </w:r>
            <w:r w:rsidRPr="000D7ECB">
              <w:rPr>
                <w:rFonts w:ascii="Arial" w:hAnsi="Arial" w:cs="Arial"/>
                <w:noProof/>
                <w:lang w:val="en-US"/>
              </w:rPr>
              <w:tab/>
              <w:t xml:space="preserve">Wagner, D., Ossendorf, C., Gruszka, D., Hofmann, A. &amp; Rommens, P. M. Fragility fractures of the sacrum: how to identify and when to treat surgically? </w:t>
            </w:r>
            <w:r w:rsidRPr="000D7ECB">
              <w:rPr>
                <w:rFonts w:ascii="Arial" w:hAnsi="Arial" w:cs="Arial"/>
                <w:i/>
                <w:iCs/>
                <w:noProof/>
                <w:lang w:val="en-US"/>
              </w:rPr>
              <w:t>Eur. J. Trauma Emerg. Surg.</w:t>
            </w:r>
            <w:r w:rsidRPr="000D7ECB">
              <w:rPr>
                <w:rFonts w:ascii="Arial" w:hAnsi="Arial" w:cs="Arial"/>
                <w:noProof/>
                <w:lang w:val="en-US"/>
              </w:rPr>
              <w:t xml:space="preserve"> </w:t>
            </w:r>
            <w:r w:rsidRPr="000D7ECB">
              <w:rPr>
                <w:rFonts w:ascii="Arial" w:hAnsi="Arial" w:cs="Arial"/>
                <w:b/>
                <w:bCs/>
                <w:noProof/>
                <w:lang w:val="en-US"/>
              </w:rPr>
              <w:t>41,</w:t>
            </w:r>
            <w:r w:rsidRPr="000D7ECB">
              <w:rPr>
                <w:rFonts w:ascii="Arial" w:hAnsi="Arial" w:cs="Arial"/>
                <w:noProof/>
                <w:lang w:val="en-US"/>
              </w:rPr>
              <w:t xml:space="preserve"> 349–62 (2015).</w:t>
            </w:r>
          </w:p>
          <w:p w14:paraId="2592D3B2" w14:textId="77777777" w:rsidR="000D7ECB" w:rsidRPr="000D7ECB" w:rsidRDefault="000D7ECB" w:rsidP="000D7ECB">
            <w:pPr>
              <w:widowControl w:val="0"/>
              <w:autoSpaceDE w:val="0"/>
              <w:autoSpaceDN w:val="0"/>
              <w:adjustRightInd w:val="0"/>
              <w:spacing w:line="360" w:lineRule="auto"/>
              <w:ind w:left="640" w:hanging="640"/>
              <w:rPr>
                <w:rFonts w:ascii="Arial" w:hAnsi="Arial" w:cs="Arial"/>
                <w:noProof/>
                <w:lang w:val="en-US"/>
              </w:rPr>
            </w:pPr>
            <w:r w:rsidRPr="000D7ECB">
              <w:rPr>
                <w:rFonts w:ascii="Arial" w:hAnsi="Arial" w:cs="Arial"/>
                <w:noProof/>
                <w:lang w:val="en-US"/>
              </w:rPr>
              <w:t>3.</w:t>
            </w:r>
            <w:r w:rsidRPr="000D7ECB">
              <w:rPr>
                <w:rFonts w:ascii="Arial" w:hAnsi="Arial" w:cs="Arial"/>
                <w:noProof/>
                <w:lang w:val="en-US"/>
              </w:rPr>
              <w:tab/>
              <w:t xml:space="preserve">van den Bergh, J. P., van Geel, T. A. &amp; Geusens, P. P. Osteoporosis, frailty and fracture: implications for case finding and therapy. </w:t>
            </w:r>
            <w:r w:rsidRPr="000D7ECB">
              <w:rPr>
                <w:rFonts w:ascii="Arial" w:hAnsi="Arial" w:cs="Arial"/>
                <w:i/>
                <w:iCs/>
                <w:noProof/>
                <w:lang w:val="en-US"/>
              </w:rPr>
              <w:t>Nat. Rev. Rheumatol.</w:t>
            </w:r>
            <w:r w:rsidRPr="000D7ECB">
              <w:rPr>
                <w:rFonts w:ascii="Arial" w:hAnsi="Arial" w:cs="Arial"/>
                <w:noProof/>
                <w:lang w:val="en-US"/>
              </w:rPr>
              <w:t xml:space="preserve"> </w:t>
            </w:r>
            <w:r w:rsidRPr="000D7ECB">
              <w:rPr>
                <w:rFonts w:ascii="Arial" w:hAnsi="Arial" w:cs="Arial"/>
                <w:b/>
                <w:bCs/>
                <w:noProof/>
                <w:lang w:val="en-US"/>
              </w:rPr>
              <w:t>8,</w:t>
            </w:r>
            <w:r w:rsidRPr="000D7ECB">
              <w:rPr>
                <w:rFonts w:ascii="Arial" w:hAnsi="Arial" w:cs="Arial"/>
                <w:noProof/>
                <w:lang w:val="en-US"/>
              </w:rPr>
              <w:t xml:space="preserve"> 163–172 (2012).</w:t>
            </w:r>
          </w:p>
          <w:p w14:paraId="0CD010BC" w14:textId="77777777" w:rsidR="000D7ECB" w:rsidRPr="000D7ECB" w:rsidRDefault="000D7ECB" w:rsidP="000D7ECB">
            <w:pPr>
              <w:widowControl w:val="0"/>
              <w:autoSpaceDE w:val="0"/>
              <w:autoSpaceDN w:val="0"/>
              <w:adjustRightInd w:val="0"/>
              <w:spacing w:line="360" w:lineRule="auto"/>
              <w:ind w:left="640" w:hanging="640"/>
              <w:rPr>
                <w:rFonts w:ascii="Arial" w:hAnsi="Arial" w:cs="Arial"/>
                <w:noProof/>
                <w:lang w:val="en-US"/>
              </w:rPr>
            </w:pPr>
            <w:r w:rsidRPr="000D7ECB">
              <w:rPr>
                <w:rFonts w:ascii="Arial" w:hAnsi="Arial" w:cs="Arial"/>
                <w:noProof/>
                <w:lang w:val="en-US"/>
              </w:rPr>
              <w:t>4.</w:t>
            </w:r>
            <w:r w:rsidRPr="000D7ECB">
              <w:rPr>
                <w:rFonts w:ascii="Arial" w:hAnsi="Arial" w:cs="Arial"/>
                <w:noProof/>
                <w:lang w:val="en-US"/>
              </w:rPr>
              <w:tab/>
              <w:t xml:space="preserve">Mears, S. C. &amp; Berry, D. J. Outcomes of displaced and nondisplaced pelvic and sacral fractures in elderly adults. </w:t>
            </w:r>
            <w:r w:rsidRPr="000D7ECB">
              <w:rPr>
                <w:rFonts w:ascii="Arial" w:hAnsi="Arial" w:cs="Arial"/>
                <w:i/>
                <w:iCs/>
                <w:noProof/>
                <w:lang w:val="en-US"/>
              </w:rPr>
              <w:t>J. Am. Geriatr. Soc.</w:t>
            </w:r>
            <w:r w:rsidRPr="000D7ECB">
              <w:rPr>
                <w:rFonts w:ascii="Arial" w:hAnsi="Arial" w:cs="Arial"/>
                <w:noProof/>
                <w:lang w:val="en-US"/>
              </w:rPr>
              <w:t xml:space="preserve"> </w:t>
            </w:r>
            <w:r w:rsidRPr="000D7ECB">
              <w:rPr>
                <w:rFonts w:ascii="Arial" w:hAnsi="Arial" w:cs="Arial"/>
                <w:b/>
                <w:bCs/>
                <w:noProof/>
                <w:lang w:val="en-US"/>
              </w:rPr>
              <w:t>59,</w:t>
            </w:r>
            <w:r w:rsidRPr="000D7ECB">
              <w:rPr>
                <w:rFonts w:ascii="Arial" w:hAnsi="Arial" w:cs="Arial"/>
                <w:noProof/>
                <w:lang w:val="en-US"/>
              </w:rPr>
              <w:t xml:space="preserve"> 1309–12 (2011).</w:t>
            </w:r>
          </w:p>
          <w:p w14:paraId="251EB133" w14:textId="77777777" w:rsidR="000D7ECB" w:rsidRPr="000D7ECB" w:rsidRDefault="000D7ECB" w:rsidP="000D7ECB">
            <w:pPr>
              <w:widowControl w:val="0"/>
              <w:autoSpaceDE w:val="0"/>
              <w:autoSpaceDN w:val="0"/>
              <w:adjustRightInd w:val="0"/>
              <w:spacing w:line="360" w:lineRule="auto"/>
              <w:ind w:left="640" w:hanging="640"/>
              <w:rPr>
                <w:rFonts w:ascii="Arial" w:hAnsi="Arial" w:cs="Arial"/>
                <w:noProof/>
                <w:lang w:val="en-US"/>
              </w:rPr>
            </w:pPr>
            <w:r w:rsidRPr="000D7ECB">
              <w:rPr>
                <w:rFonts w:ascii="Arial" w:hAnsi="Arial" w:cs="Arial"/>
                <w:noProof/>
                <w:lang w:val="en-US"/>
              </w:rPr>
              <w:t>5.</w:t>
            </w:r>
            <w:r w:rsidRPr="000D7ECB">
              <w:rPr>
                <w:rFonts w:ascii="Arial" w:hAnsi="Arial" w:cs="Arial"/>
                <w:noProof/>
                <w:lang w:val="en-US"/>
              </w:rPr>
              <w:tab/>
              <w:t xml:space="preserve">Scheyerer, M. J. </w:t>
            </w:r>
            <w:r w:rsidRPr="000D7ECB">
              <w:rPr>
                <w:rFonts w:ascii="Arial" w:hAnsi="Arial" w:cs="Arial"/>
                <w:i/>
                <w:iCs/>
                <w:noProof/>
                <w:lang w:val="en-US"/>
              </w:rPr>
              <w:t>et al.</w:t>
            </w:r>
            <w:r w:rsidRPr="000D7ECB">
              <w:rPr>
                <w:rFonts w:ascii="Arial" w:hAnsi="Arial" w:cs="Arial"/>
                <w:noProof/>
                <w:lang w:val="en-US"/>
              </w:rPr>
              <w:t xml:space="preserve"> Detection of posterior pelvic injuries in fractures of the pubic rami. </w:t>
            </w:r>
            <w:r w:rsidRPr="000D7ECB">
              <w:rPr>
                <w:rFonts w:ascii="Arial" w:hAnsi="Arial" w:cs="Arial"/>
                <w:i/>
                <w:iCs/>
                <w:noProof/>
                <w:lang w:val="en-US"/>
              </w:rPr>
              <w:t>Injury</w:t>
            </w:r>
            <w:r w:rsidRPr="000D7ECB">
              <w:rPr>
                <w:rFonts w:ascii="Arial" w:hAnsi="Arial" w:cs="Arial"/>
                <w:noProof/>
                <w:lang w:val="en-US"/>
              </w:rPr>
              <w:t xml:space="preserve"> </w:t>
            </w:r>
            <w:r w:rsidRPr="000D7ECB">
              <w:rPr>
                <w:rFonts w:ascii="Arial" w:hAnsi="Arial" w:cs="Arial"/>
                <w:b/>
                <w:bCs/>
                <w:noProof/>
                <w:lang w:val="en-US"/>
              </w:rPr>
              <w:t>43,</w:t>
            </w:r>
            <w:r w:rsidRPr="000D7ECB">
              <w:rPr>
                <w:rFonts w:ascii="Arial" w:hAnsi="Arial" w:cs="Arial"/>
                <w:noProof/>
                <w:lang w:val="en-US"/>
              </w:rPr>
              <w:t xml:space="preserve"> 1326–9 (2012).</w:t>
            </w:r>
          </w:p>
          <w:p w14:paraId="2580AE25" w14:textId="77777777" w:rsidR="000D7ECB" w:rsidRPr="000D7ECB" w:rsidRDefault="000D7ECB" w:rsidP="000D7ECB">
            <w:pPr>
              <w:widowControl w:val="0"/>
              <w:autoSpaceDE w:val="0"/>
              <w:autoSpaceDN w:val="0"/>
              <w:adjustRightInd w:val="0"/>
              <w:spacing w:line="360" w:lineRule="auto"/>
              <w:ind w:left="640" w:hanging="640"/>
              <w:rPr>
                <w:rFonts w:ascii="Arial" w:hAnsi="Arial" w:cs="Arial"/>
                <w:noProof/>
                <w:lang w:val="en-US"/>
              </w:rPr>
            </w:pPr>
            <w:r w:rsidRPr="000D7ECB">
              <w:rPr>
                <w:rFonts w:ascii="Arial" w:hAnsi="Arial" w:cs="Arial"/>
                <w:noProof/>
                <w:lang w:val="en-US"/>
              </w:rPr>
              <w:t>6.</w:t>
            </w:r>
            <w:r w:rsidRPr="000D7ECB">
              <w:rPr>
                <w:rFonts w:ascii="Arial" w:hAnsi="Arial" w:cs="Arial"/>
                <w:noProof/>
                <w:lang w:val="en-US"/>
              </w:rPr>
              <w:tab/>
              <w:t xml:space="preserve">Rommens, P. M. &amp; Hofmann, A. Comprehensive classification of fragility fractures of the pelvic ring: Recommendations for surgical treatment. </w:t>
            </w:r>
            <w:r w:rsidRPr="000D7ECB">
              <w:rPr>
                <w:rFonts w:ascii="Arial" w:hAnsi="Arial" w:cs="Arial"/>
                <w:i/>
                <w:iCs/>
                <w:noProof/>
                <w:lang w:val="en-US"/>
              </w:rPr>
              <w:t>Injury</w:t>
            </w:r>
            <w:r w:rsidRPr="000D7ECB">
              <w:rPr>
                <w:rFonts w:ascii="Arial" w:hAnsi="Arial" w:cs="Arial"/>
                <w:noProof/>
                <w:lang w:val="en-US"/>
              </w:rPr>
              <w:t xml:space="preserve"> </w:t>
            </w:r>
            <w:r w:rsidRPr="000D7ECB">
              <w:rPr>
                <w:rFonts w:ascii="Arial" w:hAnsi="Arial" w:cs="Arial"/>
                <w:b/>
                <w:bCs/>
                <w:noProof/>
                <w:lang w:val="en-US"/>
              </w:rPr>
              <w:t>44,</w:t>
            </w:r>
            <w:r w:rsidRPr="000D7ECB">
              <w:rPr>
                <w:rFonts w:ascii="Arial" w:hAnsi="Arial" w:cs="Arial"/>
                <w:noProof/>
                <w:lang w:val="en-US"/>
              </w:rPr>
              <w:t xml:space="preserve"> 1733–44 (2013).</w:t>
            </w:r>
          </w:p>
          <w:p w14:paraId="54A59942" w14:textId="77777777" w:rsidR="000D7ECB" w:rsidRPr="000D7ECB" w:rsidRDefault="000D7ECB" w:rsidP="000D7ECB">
            <w:pPr>
              <w:widowControl w:val="0"/>
              <w:autoSpaceDE w:val="0"/>
              <w:autoSpaceDN w:val="0"/>
              <w:adjustRightInd w:val="0"/>
              <w:spacing w:line="360" w:lineRule="auto"/>
              <w:ind w:left="640" w:hanging="640"/>
              <w:rPr>
                <w:rFonts w:ascii="Arial" w:hAnsi="Arial" w:cs="Arial"/>
                <w:noProof/>
                <w:lang w:val="en-US"/>
              </w:rPr>
            </w:pPr>
            <w:r w:rsidRPr="000D7ECB">
              <w:rPr>
                <w:rFonts w:ascii="Arial" w:hAnsi="Arial" w:cs="Arial"/>
                <w:noProof/>
                <w:lang w:val="en-US"/>
              </w:rPr>
              <w:t>7.</w:t>
            </w:r>
            <w:r w:rsidRPr="000D7ECB">
              <w:rPr>
                <w:rFonts w:ascii="Arial" w:hAnsi="Arial" w:cs="Arial"/>
                <w:noProof/>
                <w:lang w:val="en-US"/>
              </w:rPr>
              <w:tab/>
              <w:t xml:space="preserve">Dodge, G. </w:t>
            </w:r>
            <w:r w:rsidRPr="000D7ECB">
              <w:rPr>
                <w:rFonts w:ascii="Arial" w:hAnsi="Arial" w:cs="Arial"/>
                <w:i/>
                <w:iCs/>
                <w:noProof/>
                <w:lang w:val="en-US"/>
              </w:rPr>
              <w:t>et al.</w:t>
            </w:r>
            <w:r w:rsidRPr="000D7ECB">
              <w:rPr>
                <w:rFonts w:ascii="Arial" w:hAnsi="Arial" w:cs="Arial"/>
                <w:noProof/>
                <w:lang w:val="en-US"/>
              </w:rPr>
              <w:t xml:space="preserve"> Low-impact pelvic fractures in the emergency department. </w:t>
            </w:r>
            <w:r w:rsidRPr="000D7ECB">
              <w:rPr>
                <w:rFonts w:ascii="Arial" w:hAnsi="Arial" w:cs="Arial"/>
                <w:i/>
                <w:iCs/>
                <w:noProof/>
                <w:lang w:val="en-US"/>
              </w:rPr>
              <w:t>CJEM</w:t>
            </w:r>
            <w:r w:rsidRPr="000D7ECB">
              <w:rPr>
                <w:rFonts w:ascii="Arial" w:hAnsi="Arial" w:cs="Arial"/>
                <w:noProof/>
                <w:lang w:val="en-US"/>
              </w:rPr>
              <w:t xml:space="preserve"> </w:t>
            </w:r>
            <w:r w:rsidRPr="000D7ECB">
              <w:rPr>
                <w:rFonts w:ascii="Arial" w:hAnsi="Arial" w:cs="Arial"/>
                <w:b/>
                <w:bCs/>
                <w:noProof/>
                <w:lang w:val="en-US"/>
              </w:rPr>
              <w:t>12,</w:t>
            </w:r>
            <w:r w:rsidRPr="000D7ECB">
              <w:rPr>
                <w:rFonts w:ascii="Arial" w:hAnsi="Arial" w:cs="Arial"/>
                <w:noProof/>
                <w:lang w:val="en-US"/>
              </w:rPr>
              <w:t xml:space="preserve"> 509–513 (2010).</w:t>
            </w:r>
          </w:p>
          <w:p w14:paraId="6FF54E51" w14:textId="77777777" w:rsidR="000D7ECB" w:rsidRPr="000D7ECB" w:rsidRDefault="000D7ECB" w:rsidP="000D7ECB">
            <w:pPr>
              <w:widowControl w:val="0"/>
              <w:autoSpaceDE w:val="0"/>
              <w:autoSpaceDN w:val="0"/>
              <w:adjustRightInd w:val="0"/>
              <w:spacing w:line="360" w:lineRule="auto"/>
              <w:ind w:left="640" w:hanging="640"/>
              <w:rPr>
                <w:rFonts w:ascii="Arial" w:hAnsi="Arial" w:cs="Arial"/>
                <w:noProof/>
                <w:lang w:val="en-US"/>
              </w:rPr>
            </w:pPr>
            <w:r w:rsidRPr="000D7ECB">
              <w:rPr>
                <w:rFonts w:ascii="Arial" w:hAnsi="Arial" w:cs="Arial"/>
                <w:noProof/>
                <w:lang w:val="en-US"/>
              </w:rPr>
              <w:t>8.</w:t>
            </w:r>
            <w:r w:rsidRPr="000D7ECB">
              <w:rPr>
                <w:rFonts w:ascii="Arial" w:hAnsi="Arial" w:cs="Arial"/>
                <w:noProof/>
                <w:lang w:val="en-US"/>
              </w:rPr>
              <w:tab/>
              <w:t xml:space="preserve">Linstrom, N. J. </w:t>
            </w:r>
            <w:r w:rsidRPr="000D7ECB">
              <w:rPr>
                <w:rFonts w:ascii="Arial" w:hAnsi="Arial" w:cs="Arial"/>
                <w:i/>
                <w:iCs/>
                <w:noProof/>
                <w:lang w:val="en-US"/>
              </w:rPr>
              <w:t>et al.</w:t>
            </w:r>
            <w:r w:rsidRPr="000D7ECB">
              <w:rPr>
                <w:rFonts w:ascii="Arial" w:hAnsi="Arial" w:cs="Arial"/>
                <w:noProof/>
                <w:lang w:val="en-US"/>
              </w:rPr>
              <w:t xml:space="preserve"> Anatomical and Biomechanical Analyses of the Unique and Consistent Locations of Sacral Insufficiency Fractures. </w:t>
            </w:r>
            <w:r w:rsidRPr="000D7ECB">
              <w:rPr>
                <w:rFonts w:ascii="Arial" w:hAnsi="Arial" w:cs="Arial"/>
                <w:i/>
                <w:iCs/>
                <w:noProof/>
                <w:lang w:val="en-US"/>
              </w:rPr>
              <w:t>Spine (Phila. Pa. 1976).</w:t>
            </w:r>
            <w:r w:rsidRPr="000D7ECB">
              <w:rPr>
                <w:rFonts w:ascii="Arial" w:hAnsi="Arial" w:cs="Arial"/>
                <w:noProof/>
                <w:lang w:val="en-US"/>
              </w:rPr>
              <w:t xml:space="preserve"> </w:t>
            </w:r>
            <w:r w:rsidRPr="000D7ECB">
              <w:rPr>
                <w:rFonts w:ascii="Arial" w:hAnsi="Arial" w:cs="Arial"/>
                <w:b/>
                <w:bCs/>
                <w:noProof/>
                <w:lang w:val="en-US"/>
              </w:rPr>
              <w:t>34,</w:t>
            </w:r>
            <w:r w:rsidRPr="000D7ECB">
              <w:rPr>
                <w:rFonts w:ascii="Arial" w:hAnsi="Arial" w:cs="Arial"/>
                <w:noProof/>
                <w:lang w:val="en-US"/>
              </w:rPr>
              <w:t xml:space="preserve"> 309–315 (2009).</w:t>
            </w:r>
          </w:p>
          <w:p w14:paraId="30CA755C" w14:textId="77777777" w:rsidR="000D7ECB" w:rsidRPr="000D7ECB" w:rsidRDefault="000D7ECB" w:rsidP="000D7ECB">
            <w:pPr>
              <w:widowControl w:val="0"/>
              <w:autoSpaceDE w:val="0"/>
              <w:autoSpaceDN w:val="0"/>
              <w:adjustRightInd w:val="0"/>
              <w:spacing w:line="360" w:lineRule="auto"/>
              <w:ind w:left="640" w:hanging="640"/>
              <w:rPr>
                <w:rFonts w:ascii="Arial" w:hAnsi="Arial" w:cs="Arial"/>
                <w:noProof/>
                <w:lang w:val="en-US"/>
              </w:rPr>
            </w:pPr>
            <w:r w:rsidRPr="000D7ECB">
              <w:rPr>
                <w:rFonts w:ascii="Arial" w:hAnsi="Arial" w:cs="Arial"/>
                <w:noProof/>
                <w:lang w:val="en-US"/>
              </w:rPr>
              <w:t>9.</w:t>
            </w:r>
            <w:r w:rsidRPr="000D7ECB">
              <w:rPr>
                <w:rFonts w:ascii="Arial" w:hAnsi="Arial" w:cs="Arial"/>
                <w:noProof/>
                <w:lang w:val="en-US"/>
              </w:rPr>
              <w:tab/>
              <w:t xml:space="preserve">Hill, R. M., Robinson, C. M. &amp; Keating, J. F. Fractures of the pubic rami. Epidemiology and five-year survival. </w:t>
            </w:r>
            <w:r w:rsidRPr="000D7ECB">
              <w:rPr>
                <w:rFonts w:ascii="Arial" w:hAnsi="Arial" w:cs="Arial"/>
                <w:i/>
                <w:iCs/>
                <w:noProof/>
                <w:lang w:val="en-US"/>
              </w:rPr>
              <w:t>J. Bone Joint Surg. Br.</w:t>
            </w:r>
            <w:r w:rsidRPr="000D7ECB">
              <w:rPr>
                <w:rFonts w:ascii="Arial" w:hAnsi="Arial" w:cs="Arial"/>
                <w:noProof/>
                <w:lang w:val="en-US"/>
              </w:rPr>
              <w:t xml:space="preserve"> </w:t>
            </w:r>
            <w:r w:rsidRPr="000D7ECB">
              <w:rPr>
                <w:rFonts w:ascii="Arial" w:hAnsi="Arial" w:cs="Arial"/>
                <w:b/>
                <w:bCs/>
                <w:noProof/>
                <w:lang w:val="en-US"/>
              </w:rPr>
              <w:t>83,</w:t>
            </w:r>
            <w:r w:rsidRPr="000D7ECB">
              <w:rPr>
                <w:rFonts w:ascii="Arial" w:hAnsi="Arial" w:cs="Arial"/>
                <w:noProof/>
                <w:lang w:val="en-US"/>
              </w:rPr>
              <w:t xml:space="preserve"> 1141–4 (2001).</w:t>
            </w:r>
          </w:p>
          <w:p w14:paraId="62050EAE" w14:textId="77777777" w:rsidR="000D7ECB" w:rsidRPr="000D7ECB" w:rsidRDefault="000D7ECB" w:rsidP="000D7ECB">
            <w:pPr>
              <w:widowControl w:val="0"/>
              <w:autoSpaceDE w:val="0"/>
              <w:autoSpaceDN w:val="0"/>
              <w:adjustRightInd w:val="0"/>
              <w:spacing w:line="360" w:lineRule="auto"/>
              <w:ind w:left="640" w:hanging="640"/>
              <w:rPr>
                <w:rFonts w:ascii="Arial" w:hAnsi="Arial" w:cs="Arial"/>
                <w:noProof/>
                <w:lang w:val="en-US"/>
              </w:rPr>
            </w:pPr>
            <w:r w:rsidRPr="000D7ECB">
              <w:rPr>
                <w:rFonts w:ascii="Arial" w:hAnsi="Arial" w:cs="Arial"/>
                <w:noProof/>
                <w:lang w:val="en-US"/>
              </w:rPr>
              <w:t>10.</w:t>
            </w:r>
            <w:r w:rsidRPr="000D7ECB">
              <w:rPr>
                <w:rFonts w:ascii="Arial" w:hAnsi="Arial" w:cs="Arial"/>
                <w:noProof/>
                <w:lang w:val="en-US"/>
              </w:rPr>
              <w:tab/>
              <w:t xml:space="preserve">Taillandier, J., Langue, F., Alemanni, M. &amp; Taillandier-Heriche, E. Mortality and functional outcomes of pelvic insufficiency fractures in older patients. </w:t>
            </w:r>
            <w:r w:rsidRPr="000D7ECB">
              <w:rPr>
                <w:rFonts w:ascii="Arial" w:hAnsi="Arial" w:cs="Arial"/>
                <w:i/>
                <w:iCs/>
                <w:noProof/>
                <w:lang w:val="en-US"/>
              </w:rPr>
              <w:t>Joint. Bone. Spine</w:t>
            </w:r>
            <w:r w:rsidRPr="000D7ECB">
              <w:rPr>
                <w:rFonts w:ascii="Arial" w:hAnsi="Arial" w:cs="Arial"/>
                <w:noProof/>
                <w:lang w:val="en-US"/>
              </w:rPr>
              <w:t xml:space="preserve"> </w:t>
            </w:r>
            <w:r w:rsidRPr="000D7ECB">
              <w:rPr>
                <w:rFonts w:ascii="Arial" w:hAnsi="Arial" w:cs="Arial"/>
                <w:b/>
                <w:bCs/>
                <w:noProof/>
                <w:lang w:val="en-US"/>
              </w:rPr>
              <w:t>70,</w:t>
            </w:r>
            <w:r w:rsidRPr="000D7ECB">
              <w:rPr>
                <w:rFonts w:ascii="Arial" w:hAnsi="Arial" w:cs="Arial"/>
                <w:noProof/>
                <w:lang w:val="en-US"/>
              </w:rPr>
              <w:t xml:space="preserve"> 287–9 (2003).</w:t>
            </w:r>
          </w:p>
          <w:p w14:paraId="77111541" w14:textId="77777777" w:rsidR="000D7ECB" w:rsidRPr="000D7ECB" w:rsidRDefault="000D7ECB" w:rsidP="000D7ECB">
            <w:pPr>
              <w:widowControl w:val="0"/>
              <w:autoSpaceDE w:val="0"/>
              <w:autoSpaceDN w:val="0"/>
              <w:adjustRightInd w:val="0"/>
              <w:spacing w:line="360" w:lineRule="auto"/>
              <w:ind w:left="640" w:hanging="640"/>
              <w:rPr>
                <w:rFonts w:ascii="Arial" w:hAnsi="Arial" w:cs="Arial"/>
                <w:noProof/>
                <w:lang w:val="en-US"/>
              </w:rPr>
            </w:pPr>
            <w:r w:rsidRPr="000D7ECB">
              <w:rPr>
                <w:rFonts w:ascii="Arial" w:hAnsi="Arial" w:cs="Arial"/>
                <w:noProof/>
                <w:lang w:val="en-US"/>
              </w:rPr>
              <w:t>11.</w:t>
            </w:r>
            <w:r w:rsidRPr="000D7ECB">
              <w:rPr>
                <w:rFonts w:ascii="Arial" w:hAnsi="Arial" w:cs="Arial"/>
                <w:noProof/>
                <w:lang w:val="en-US"/>
              </w:rPr>
              <w:tab/>
              <w:t xml:space="preserve">Khaled, S. A., Soliman, O. &amp; Wahed, M. A. Functional outcome of unstable pelvic ring injuries after iliosacral screw fixation: single versus two screw fixation. </w:t>
            </w:r>
            <w:r w:rsidRPr="000D7ECB">
              <w:rPr>
                <w:rFonts w:ascii="Arial" w:hAnsi="Arial" w:cs="Arial"/>
                <w:i/>
                <w:iCs/>
                <w:noProof/>
                <w:lang w:val="en-US"/>
              </w:rPr>
              <w:t>Eur. J. Trauma Emerg. Surg.</w:t>
            </w:r>
            <w:r w:rsidRPr="000D7ECB">
              <w:rPr>
                <w:rFonts w:ascii="Arial" w:hAnsi="Arial" w:cs="Arial"/>
                <w:noProof/>
                <w:lang w:val="en-US"/>
              </w:rPr>
              <w:t xml:space="preserve"> </w:t>
            </w:r>
            <w:r w:rsidRPr="000D7ECB">
              <w:rPr>
                <w:rFonts w:ascii="Arial" w:hAnsi="Arial" w:cs="Arial"/>
                <w:b/>
                <w:bCs/>
                <w:noProof/>
                <w:lang w:val="en-US"/>
              </w:rPr>
              <w:t>41,</w:t>
            </w:r>
            <w:r w:rsidRPr="000D7ECB">
              <w:rPr>
                <w:rFonts w:ascii="Arial" w:hAnsi="Arial" w:cs="Arial"/>
                <w:noProof/>
                <w:lang w:val="en-US"/>
              </w:rPr>
              <w:t xml:space="preserve"> 387–392 (2015).</w:t>
            </w:r>
          </w:p>
          <w:p w14:paraId="65695BF7" w14:textId="77777777" w:rsidR="000D7ECB" w:rsidRPr="000D7ECB" w:rsidRDefault="000D7ECB" w:rsidP="000D7ECB">
            <w:pPr>
              <w:widowControl w:val="0"/>
              <w:autoSpaceDE w:val="0"/>
              <w:autoSpaceDN w:val="0"/>
              <w:adjustRightInd w:val="0"/>
              <w:spacing w:line="360" w:lineRule="auto"/>
              <w:ind w:left="640" w:hanging="640"/>
              <w:rPr>
                <w:rFonts w:ascii="Arial" w:hAnsi="Arial" w:cs="Arial"/>
                <w:noProof/>
                <w:lang w:val="en-US"/>
              </w:rPr>
            </w:pPr>
            <w:r w:rsidRPr="000D7ECB">
              <w:rPr>
                <w:rFonts w:ascii="Arial" w:hAnsi="Arial" w:cs="Arial"/>
                <w:noProof/>
                <w:lang w:val="en-US"/>
              </w:rPr>
              <w:t>12.</w:t>
            </w:r>
            <w:r w:rsidRPr="000D7ECB">
              <w:rPr>
                <w:rFonts w:ascii="Arial" w:hAnsi="Arial" w:cs="Arial"/>
                <w:noProof/>
                <w:lang w:val="en-US"/>
              </w:rPr>
              <w:tab/>
              <w:t xml:space="preserve">Hopf, J. C., Krieglstein, C. F., Müller, L. P. &amp; Koslowsky, T. C. Percutaneous iliosacral screw fixation after osteoporotic posterior ring fractures of the pelvis reduces pain significantly in elderly patients. </w:t>
            </w:r>
            <w:r w:rsidRPr="000D7ECB">
              <w:rPr>
                <w:rFonts w:ascii="Arial" w:hAnsi="Arial" w:cs="Arial"/>
                <w:i/>
                <w:iCs/>
                <w:noProof/>
                <w:lang w:val="en-US"/>
              </w:rPr>
              <w:t>Injury</w:t>
            </w:r>
            <w:r w:rsidRPr="000D7ECB">
              <w:rPr>
                <w:rFonts w:ascii="Arial" w:hAnsi="Arial" w:cs="Arial"/>
                <w:noProof/>
                <w:lang w:val="en-US"/>
              </w:rPr>
              <w:t xml:space="preserve"> </w:t>
            </w:r>
            <w:r w:rsidRPr="000D7ECB">
              <w:rPr>
                <w:rFonts w:ascii="Arial" w:hAnsi="Arial" w:cs="Arial"/>
                <w:b/>
                <w:bCs/>
                <w:noProof/>
                <w:lang w:val="en-US"/>
              </w:rPr>
              <w:t>46,</w:t>
            </w:r>
            <w:r w:rsidRPr="000D7ECB">
              <w:rPr>
                <w:rFonts w:ascii="Arial" w:hAnsi="Arial" w:cs="Arial"/>
                <w:noProof/>
                <w:lang w:val="en-US"/>
              </w:rPr>
              <w:t xml:space="preserve"> 1631–1636 (2015).</w:t>
            </w:r>
          </w:p>
          <w:p w14:paraId="15FA0E97" w14:textId="77777777" w:rsidR="000D7ECB" w:rsidRPr="000D7ECB" w:rsidRDefault="000D7ECB" w:rsidP="000D7ECB">
            <w:pPr>
              <w:widowControl w:val="0"/>
              <w:autoSpaceDE w:val="0"/>
              <w:autoSpaceDN w:val="0"/>
              <w:adjustRightInd w:val="0"/>
              <w:spacing w:line="360" w:lineRule="auto"/>
              <w:ind w:left="640" w:hanging="640"/>
              <w:rPr>
                <w:rFonts w:ascii="Arial" w:hAnsi="Arial" w:cs="Arial"/>
                <w:noProof/>
                <w:lang w:val="en-US"/>
              </w:rPr>
            </w:pPr>
            <w:r w:rsidRPr="000D7ECB">
              <w:rPr>
                <w:rFonts w:ascii="Arial" w:hAnsi="Arial" w:cs="Arial"/>
                <w:noProof/>
                <w:lang w:val="en-US"/>
              </w:rPr>
              <w:t>13.</w:t>
            </w:r>
            <w:r w:rsidRPr="000D7ECB">
              <w:rPr>
                <w:rFonts w:ascii="Arial" w:hAnsi="Arial" w:cs="Arial"/>
                <w:noProof/>
                <w:lang w:val="en-US"/>
              </w:rPr>
              <w:tab/>
              <w:t xml:space="preserve">Höch, A., Özkurtul, O., Pieroh, P., Josten, C. &amp; Böhme, J. Outcome and 2-Year Survival Rate in Elderly Patients With Lateral Compression Fractures of the Pelvis. </w:t>
            </w:r>
            <w:r w:rsidRPr="000D7ECB">
              <w:rPr>
                <w:rFonts w:ascii="Arial" w:hAnsi="Arial" w:cs="Arial"/>
                <w:i/>
                <w:iCs/>
                <w:noProof/>
                <w:lang w:val="en-US"/>
              </w:rPr>
              <w:t>Geriatr. Orthop. Surg. Rehabil.</w:t>
            </w:r>
            <w:r w:rsidRPr="000D7ECB">
              <w:rPr>
                <w:rFonts w:ascii="Arial" w:hAnsi="Arial" w:cs="Arial"/>
                <w:noProof/>
                <w:lang w:val="en-US"/>
              </w:rPr>
              <w:t xml:space="preserve"> </w:t>
            </w:r>
            <w:r w:rsidRPr="000D7ECB">
              <w:rPr>
                <w:rFonts w:ascii="Arial" w:hAnsi="Arial" w:cs="Arial"/>
                <w:b/>
                <w:bCs/>
                <w:noProof/>
                <w:lang w:val="en-US"/>
              </w:rPr>
              <w:t>8,</w:t>
            </w:r>
            <w:r w:rsidRPr="000D7ECB">
              <w:rPr>
                <w:rFonts w:ascii="Arial" w:hAnsi="Arial" w:cs="Arial"/>
                <w:noProof/>
                <w:lang w:val="en-US"/>
              </w:rPr>
              <w:t xml:space="preserve"> 3–9 (2017).</w:t>
            </w:r>
          </w:p>
          <w:p w14:paraId="350E73FF" w14:textId="77777777" w:rsidR="000D7ECB" w:rsidRPr="000D7ECB" w:rsidRDefault="000D7ECB" w:rsidP="000D7ECB">
            <w:pPr>
              <w:widowControl w:val="0"/>
              <w:autoSpaceDE w:val="0"/>
              <w:autoSpaceDN w:val="0"/>
              <w:adjustRightInd w:val="0"/>
              <w:spacing w:line="360" w:lineRule="auto"/>
              <w:ind w:left="640" w:hanging="640"/>
              <w:rPr>
                <w:rFonts w:ascii="Arial" w:hAnsi="Arial" w:cs="Arial"/>
                <w:noProof/>
                <w:lang w:val="en-US"/>
              </w:rPr>
            </w:pPr>
            <w:r w:rsidRPr="000D7ECB">
              <w:rPr>
                <w:rFonts w:ascii="Arial" w:hAnsi="Arial" w:cs="Arial"/>
                <w:noProof/>
                <w:lang w:val="en-US"/>
              </w:rPr>
              <w:t>14.</w:t>
            </w:r>
            <w:r w:rsidRPr="000D7ECB">
              <w:rPr>
                <w:rFonts w:ascii="Arial" w:hAnsi="Arial" w:cs="Arial"/>
                <w:noProof/>
                <w:lang w:val="en-US"/>
              </w:rPr>
              <w:tab/>
              <w:t xml:space="preserve">Buller, L. T., Best, M. J. &amp; Quinnan, S. M. A Nationwide Analysis of Pelvic Ring Fractures: Incidence and Trends in Treatment, Length of Stay, and Mortality. </w:t>
            </w:r>
            <w:r w:rsidRPr="000D7ECB">
              <w:rPr>
                <w:rFonts w:ascii="Arial" w:hAnsi="Arial" w:cs="Arial"/>
                <w:i/>
                <w:iCs/>
                <w:noProof/>
                <w:lang w:val="en-US"/>
              </w:rPr>
              <w:t>Geriatr. Orthop. Surg. Rehabil.</w:t>
            </w:r>
            <w:r w:rsidRPr="000D7ECB">
              <w:rPr>
                <w:rFonts w:ascii="Arial" w:hAnsi="Arial" w:cs="Arial"/>
                <w:noProof/>
                <w:lang w:val="en-US"/>
              </w:rPr>
              <w:t xml:space="preserve"> </w:t>
            </w:r>
            <w:r w:rsidRPr="000D7ECB">
              <w:rPr>
                <w:rFonts w:ascii="Arial" w:hAnsi="Arial" w:cs="Arial"/>
                <w:b/>
                <w:bCs/>
                <w:noProof/>
                <w:lang w:val="en-US"/>
              </w:rPr>
              <w:t>7,</w:t>
            </w:r>
            <w:r w:rsidRPr="000D7ECB">
              <w:rPr>
                <w:rFonts w:ascii="Arial" w:hAnsi="Arial" w:cs="Arial"/>
                <w:noProof/>
                <w:lang w:val="en-US"/>
              </w:rPr>
              <w:t xml:space="preserve"> 9–17 (2016).</w:t>
            </w:r>
          </w:p>
          <w:p w14:paraId="0684DFDF" w14:textId="77777777" w:rsidR="000D7ECB" w:rsidRPr="000D7ECB" w:rsidRDefault="000D7ECB" w:rsidP="000D7ECB">
            <w:pPr>
              <w:widowControl w:val="0"/>
              <w:autoSpaceDE w:val="0"/>
              <w:autoSpaceDN w:val="0"/>
              <w:adjustRightInd w:val="0"/>
              <w:spacing w:line="360" w:lineRule="auto"/>
              <w:ind w:left="640" w:hanging="640"/>
              <w:rPr>
                <w:rFonts w:ascii="Arial" w:hAnsi="Arial" w:cs="Arial"/>
                <w:noProof/>
                <w:lang w:val="en-US"/>
              </w:rPr>
            </w:pPr>
            <w:r w:rsidRPr="000D7ECB">
              <w:rPr>
                <w:rFonts w:ascii="Arial" w:hAnsi="Arial" w:cs="Arial"/>
                <w:noProof/>
                <w:lang w:val="en-US"/>
              </w:rPr>
              <w:t>15.</w:t>
            </w:r>
            <w:r w:rsidRPr="000D7ECB">
              <w:rPr>
                <w:rFonts w:ascii="Arial" w:hAnsi="Arial" w:cs="Arial"/>
                <w:noProof/>
                <w:lang w:val="en-US"/>
              </w:rPr>
              <w:tab/>
              <w:t xml:space="preserve">Balogh, Z. </w:t>
            </w:r>
            <w:r w:rsidRPr="000D7ECB">
              <w:rPr>
                <w:rFonts w:ascii="Arial" w:hAnsi="Arial" w:cs="Arial"/>
                <w:i/>
                <w:iCs/>
                <w:noProof/>
                <w:lang w:val="en-US"/>
              </w:rPr>
              <w:t>et al.</w:t>
            </w:r>
            <w:r w:rsidRPr="000D7ECB">
              <w:rPr>
                <w:rFonts w:ascii="Arial" w:hAnsi="Arial" w:cs="Arial"/>
                <w:noProof/>
                <w:lang w:val="en-US"/>
              </w:rPr>
              <w:t xml:space="preserve"> The epidemiology of pelvic ring fractures: a population-based study. </w:t>
            </w:r>
            <w:r w:rsidRPr="000D7ECB">
              <w:rPr>
                <w:rFonts w:ascii="Arial" w:hAnsi="Arial" w:cs="Arial"/>
                <w:i/>
                <w:iCs/>
                <w:noProof/>
                <w:lang w:val="en-US"/>
              </w:rPr>
              <w:t>J. Trauma</w:t>
            </w:r>
            <w:r w:rsidRPr="000D7ECB">
              <w:rPr>
                <w:rFonts w:ascii="Arial" w:hAnsi="Arial" w:cs="Arial"/>
                <w:noProof/>
                <w:lang w:val="en-US"/>
              </w:rPr>
              <w:t xml:space="preserve"> </w:t>
            </w:r>
            <w:r w:rsidRPr="000D7ECB">
              <w:rPr>
                <w:rFonts w:ascii="Arial" w:hAnsi="Arial" w:cs="Arial"/>
                <w:b/>
                <w:bCs/>
                <w:noProof/>
                <w:lang w:val="en-US"/>
              </w:rPr>
              <w:t>63,</w:t>
            </w:r>
            <w:r w:rsidRPr="000D7ECB">
              <w:rPr>
                <w:rFonts w:ascii="Arial" w:hAnsi="Arial" w:cs="Arial"/>
                <w:noProof/>
                <w:lang w:val="en-US"/>
              </w:rPr>
              <w:t xml:space="preserve"> 1066-73–3 (2007).</w:t>
            </w:r>
          </w:p>
          <w:p w14:paraId="328D2682" w14:textId="77777777" w:rsidR="000D7ECB" w:rsidRPr="000D7ECB" w:rsidRDefault="000D7ECB" w:rsidP="000D7ECB">
            <w:pPr>
              <w:widowControl w:val="0"/>
              <w:autoSpaceDE w:val="0"/>
              <w:autoSpaceDN w:val="0"/>
              <w:adjustRightInd w:val="0"/>
              <w:spacing w:line="360" w:lineRule="auto"/>
              <w:ind w:left="640" w:hanging="640"/>
              <w:rPr>
                <w:rFonts w:ascii="Arial" w:hAnsi="Arial" w:cs="Arial"/>
                <w:noProof/>
                <w:lang w:val="en-US"/>
              </w:rPr>
            </w:pPr>
            <w:r w:rsidRPr="000D7ECB">
              <w:rPr>
                <w:rFonts w:ascii="Arial" w:hAnsi="Arial" w:cs="Arial"/>
                <w:noProof/>
                <w:lang w:val="en-US"/>
              </w:rPr>
              <w:t>16.</w:t>
            </w:r>
            <w:r w:rsidRPr="000D7ECB">
              <w:rPr>
                <w:rFonts w:ascii="Arial" w:hAnsi="Arial" w:cs="Arial"/>
                <w:noProof/>
                <w:lang w:val="en-US"/>
              </w:rPr>
              <w:tab/>
              <w:t xml:space="preserve">Kannus, P., Parkkari, J., Niemi, S. &amp; Sievänen, H. Low-Trauma Pelvic Fractures in Elderly Finns in 1970-2013. </w:t>
            </w:r>
            <w:r w:rsidRPr="000D7ECB">
              <w:rPr>
                <w:rFonts w:ascii="Arial" w:hAnsi="Arial" w:cs="Arial"/>
                <w:i/>
                <w:iCs/>
                <w:noProof/>
                <w:lang w:val="en-US"/>
              </w:rPr>
              <w:t>Calcif. Tissue Int.</w:t>
            </w:r>
            <w:r w:rsidRPr="000D7ECB">
              <w:rPr>
                <w:rFonts w:ascii="Arial" w:hAnsi="Arial" w:cs="Arial"/>
                <w:noProof/>
                <w:lang w:val="en-US"/>
              </w:rPr>
              <w:t xml:space="preserve"> </w:t>
            </w:r>
            <w:r w:rsidRPr="000D7ECB">
              <w:rPr>
                <w:rFonts w:ascii="Arial" w:hAnsi="Arial" w:cs="Arial"/>
                <w:b/>
                <w:bCs/>
                <w:noProof/>
                <w:lang w:val="en-US"/>
              </w:rPr>
              <w:t>97,</w:t>
            </w:r>
            <w:r w:rsidRPr="000D7ECB">
              <w:rPr>
                <w:rFonts w:ascii="Arial" w:hAnsi="Arial" w:cs="Arial"/>
                <w:noProof/>
                <w:lang w:val="en-US"/>
              </w:rPr>
              <w:t xml:space="preserve"> 577–80 (2015).</w:t>
            </w:r>
          </w:p>
          <w:p w14:paraId="6C0B216A" w14:textId="77777777" w:rsidR="000D7ECB" w:rsidRPr="000D7ECB" w:rsidRDefault="000D7ECB" w:rsidP="000D7ECB">
            <w:pPr>
              <w:widowControl w:val="0"/>
              <w:autoSpaceDE w:val="0"/>
              <w:autoSpaceDN w:val="0"/>
              <w:adjustRightInd w:val="0"/>
              <w:spacing w:line="360" w:lineRule="auto"/>
              <w:ind w:left="640" w:hanging="640"/>
              <w:rPr>
                <w:rFonts w:ascii="Arial" w:hAnsi="Arial" w:cs="Arial"/>
                <w:noProof/>
                <w:lang w:val="en-US"/>
              </w:rPr>
            </w:pPr>
            <w:r w:rsidRPr="000D7ECB">
              <w:rPr>
                <w:rFonts w:ascii="Arial" w:hAnsi="Arial" w:cs="Arial"/>
                <w:noProof/>
                <w:lang w:val="en-US"/>
              </w:rPr>
              <w:lastRenderedPageBreak/>
              <w:t>17.</w:t>
            </w:r>
            <w:r w:rsidRPr="000D7ECB">
              <w:rPr>
                <w:rFonts w:ascii="Arial" w:hAnsi="Arial" w:cs="Arial"/>
                <w:noProof/>
                <w:lang w:val="en-US"/>
              </w:rPr>
              <w:tab/>
              <w:t xml:space="preserve">Burge, R. </w:t>
            </w:r>
            <w:r w:rsidRPr="000D7ECB">
              <w:rPr>
                <w:rFonts w:ascii="Arial" w:hAnsi="Arial" w:cs="Arial"/>
                <w:i/>
                <w:iCs/>
                <w:noProof/>
                <w:lang w:val="en-US"/>
              </w:rPr>
              <w:t>et al.</w:t>
            </w:r>
            <w:r w:rsidRPr="000D7ECB">
              <w:rPr>
                <w:rFonts w:ascii="Arial" w:hAnsi="Arial" w:cs="Arial"/>
                <w:noProof/>
                <w:lang w:val="en-US"/>
              </w:rPr>
              <w:t xml:space="preserve"> Incidence and Economic Burden of Osteoporosis-Related Fractures in the United States, 2005-2025. </w:t>
            </w:r>
            <w:r w:rsidRPr="000D7ECB">
              <w:rPr>
                <w:rFonts w:ascii="Arial" w:hAnsi="Arial" w:cs="Arial"/>
                <w:i/>
                <w:iCs/>
                <w:noProof/>
                <w:lang w:val="en-US"/>
              </w:rPr>
              <w:t>J. Bone Miner. Res.</w:t>
            </w:r>
            <w:r w:rsidRPr="000D7ECB">
              <w:rPr>
                <w:rFonts w:ascii="Arial" w:hAnsi="Arial" w:cs="Arial"/>
                <w:noProof/>
                <w:lang w:val="en-US"/>
              </w:rPr>
              <w:t xml:space="preserve"> </w:t>
            </w:r>
            <w:r w:rsidRPr="000D7ECB">
              <w:rPr>
                <w:rFonts w:ascii="Arial" w:hAnsi="Arial" w:cs="Arial"/>
                <w:b/>
                <w:bCs/>
                <w:noProof/>
                <w:lang w:val="en-US"/>
              </w:rPr>
              <w:t>22,</w:t>
            </w:r>
            <w:r w:rsidRPr="000D7ECB">
              <w:rPr>
                <w:rFonts w:ascii="Arial" w:hAnsi="Arial" w:cs="Arial"/>
                <w:noProof/>
                <w:lang w:val="en-US"/>
              </w:rPr>
              <w:t xml:space="preserve"> 465–475 (2007).</w:t>
            </w:r>
          </w:p>
          <w:p w14:paraId="020DD7B2" w14:textId="77777777" w:rsidR="000D7ECB" w:rsidRPr="000D7ECB" w:rsidRDefault="000D7ECB" w:rsidP="000D7ECB">
            <w:pPr>
              <w:widowControl w:val="0"/>
              <w:autoSpaceDE w:val="0"/>
              <w:autoSpaceDN w:val="0"/>
              <w:adjustRightInd w:val="0"/>
              <w:spacing w:line="360" w:lineRule="auto"/>
              <w:ind w:left="640" w:hanging="640"/>
              <w:rPr>
                <w:rFonts w:ascii="Arial" w:hAnsi="Arial" w:cs="Arial"/>
                <w:noProof/>
              </w:rPr>
            </w:pPr>
            <w:r w:rsidRPr="000D7ECB">
              <w:rPr>
                <w:rFonts w:ascii="Arial" w:hAnsi="Arial" w:cs="Arial"/>
                <w:noProof/>
                <w:lang w:val="en-US"/>
              </w:rPr>
              <w:t>18.</w:t>
            </w:r>
            <w:r w:rsidRPr="000D7ECB">
              <w:rPr>
                <w:rFonts w:ascii="Arial" w:hAnsi="Arial" w:cs="Arial"/>
                <w:noProof/>
                <w:lang w:val="en-US"/>
              </w:rPr>
              <w:tab/>
              <w:t xml:space="preserve">Hernlund, E. </w:t>
            </w:r>
            <w:r w:rsidRPr="000D7ECB">
              <w:rPr>
                <w:rFonts w:ascii="Arial" w:hAnsi="Arial" w:cs="Arial"/>
                <w:i/>
                <w:iCs/>
                <w:noProof/>
                <w:lang w:val="en-US"/>
              </w:rPr>
              <w:t>et al.</w:t>
            </w:r>
            <w:r w:rsidRPr="000D7ECB">
              <w:rPr>
                <w:rFonts w:ascii="Arial" w:hAnsi="Arial" w:cs="Arial"/>
                <w:noProof/>
                <w:lang w:val="en-US"/>
              </w:rPr>
              <w:t xml:space="preserve"> Osteoporosis in the European Union: medical management, epidemiology and economic burden. A report prepared in collaboration with the International Osteoporosis Foundation (IOF) and the European Federation of Pharmaceutical Industry Associations (EFPIA). </w:t>
            </w:r>
            <w:r w:rsidRPr="000D7ECB">
              <w:rPr>
                <w:rFonts w:ascii="Arial" w:hAnsi="Arial" w:cs="Arial"/>
                <w:i/>
                <w:iCs/>
                <w:noProof/>
              </w:rPr>
              <w:t>Arch. Osteoporos.</w:t>
            </w:r>
            <w:r w:rsidRPr="000D7ECB">
              <w:rPr>
                <w:rFonts w:ascii="Arial" w:hAnsi="Arial" w:cs="Arial"/>
                <w:noProof/>
              </w:rPr>
              <w:t xml:space="preserve"> </w:t>
            </w:r>
            <w:r w:rsidRPr="000D7ECB">
              <w:rPr>
                <w:rFonts w:ascii="Arial" w:hAnsi="Arial" w:cs="Arial"/>
                <w:b/>
                <w:bCs/>
                <w:noProof/>
              </w:rPr>
              <w:t>8,</w:t>
            </w:r>
            <w:r w:rsidRPr="000D7ECB">
              <w:rPr>
                <w:rFonts w:ascii="Arial" w:hAnsi="Arial" w:cs="Arial"/>
                <w:noProof/>
              </w:rPr>
              <w:t xml:space="preserve"> 136 (2013).</w:t>
            </w:r>
          </w:p>
          <w:p w14:paraId="200FDB58" w14:textId="16B8BF49" w:rsidR="00416CF8" w:rsidRPr="007762C8" w:rsidRDefault="00A2356A" w:rsidP="00C4638E">
            <w:pPr>
              <w:suppressAutoHyphens w:val="0"/>
              <w:spacing w:line="360" w:lineRule="auto"/>
              <w:jc w:val="both"/>
              <w:rPr>
                <w:rFonts w:ascii="Arial" w:hAnsi="Arial" w:cs="Arial"/>
              </w:rPr>
            </w:pPr>
            <w:r w:rsidRPr="007762C8">
              <w:rPr>
                <w:rFonts w:ascii="Arial" w:hAnsi="Arial" w:cs="Arial"/>
              </w:rPr>
              <w:fldChar w:fldCharType="end"/>
            </w:r>
          </w:p>
        </w:tc>
      </w:tr>
    </w:tbl>
    <w:p w14:paraId="11117452" w14:textId="77777777" w:rsidR="00416CF8" w:rsidRPr="0008415B" w:rsidRDefault="00416CF8" w:rsidP="00996C9F">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062"/>
      </w:tblGrid>
      <w:tr w:rsidR="00416CF8" w:rsidRPr="0008415B" w14:paraId="01F0B2C3" w14:textId="77777777" w:rsidTr="002F2025">
        <w:tc>
          <w:tcPr>
            <w:tcW w:w="10062" w:type="dxa"/>
          </w:tcPr>
          <w:p w14:paraId="65A83B1D" w14:textId="77777777" w:rsidR="00416CF8" w:rsidRPr="0008415B" w:rsidRDefault="00416CF8" w:rsidP="00D31A10">
            <w:pPr>
              <w:rPr>
                <w:rFonts w:ascii="Arial" w:hAnsi="Arial" w:cs="Arial"/>
                <w:b/>
                <w:sz w:val="24"/>
                <w:szCs w:val="24"/>
              </w:rPr>
            </w:pPr>
            <w:r w:rsidRPr="0008415B">
              <w:rPr>
                <w:rFonts w:ascii="Arial" w:hAnsi="Arial" w:cs="Arial"/>
                <w:b/>
                <w:sz w:val="24"/>
                <w:szCs w:val="24"/>
              </w:rPr>
              <w:t>3. Wissenschaftliche Angaben (Fortsetzung):</w:t>
            </w:r>
          </w:p>
        </w:tc>
      </w:tr>
      <w:tr w:rsidR="00416CF8" w:rsidRPr="0008415B" w14:paraId="395717E3" w14:textId="77777777" w:rsidTr="002F2025">
        <w:tc>
          <w:tcPr>
            <w:tcW w:w="10062" w:type="dxa"/>
          </w:tcPr>
          <w:p w14:paraId="0A06938C" w14:textId="77777777" w:rsidR="00416CF8" w:rsidRPr="0008415B" w:rsidRDefault="00416CF8" w:rsidP="00996C9F">
            <w:pPr>
              <w:rPr>
                <w:rFonts w:ascii="Arial" w:hAnsi="Arial" w:cs="Arial"/>
                <w:i/>
                <w:sz w:val="24"/>
                <w:szCs w:val="24"/>
              </w:rPr>
            </w:pPr>
            <w:r w:rsidRPr="0008415B">
              <w:rPr>
                <w:rFonts w:ascii="Arial" w:hAnsi="Arial" w:cs="Arial"/>
                <w:i/>
                <w:sz w:val="24"/>
                <w:szCs w:val="24"/>
              </w:rPr>
              <w:t>Detaillierte Zielsetzung:</w:t>
            </w:r>
          </w:p>
        </w:tc>
      </w:tr>
      <w:tr w:rsidR="00416CF8" w:rsidRPr="0008415B" w14:paraId="780EE86C" w14:textId="77777777" w:rsidTr="002F2025">
        <w:trPr>
          <w:trHeight w:val="1138"/>
        </w:trPr>
        <w:tc>
          <w:tcPr>
            <w:tcW w:w="10062" w:type="dxa"/>
          </w:tcPr>
          <w:p w14:paraId="5D3C2882" w14:textId="77777777" w:rsidR="00733C7E" w:rsidRPr="0008415B" w:rsidRDefault="00733C7E" w:rsidP="007762C8">
            <w:pPr>
              <w:suppressAutoHyphens w:val="0"/>
              <w:spacing w:line="360" w:lineRule="auto"/>
              <w:jc w:val="both"/>
              <w:rPr>
                <w:rFonts w:ascii="Arial" w:hAnsi="Arial" w:cs="Arial"/>
                <w:sz w:val="24"/>
                <w:szCs w:val="24"/>
              </w:rPr>
            </w:pPr>
            <w:r w:rsidRPr="0008415B">
              <w:rPr>
                <w:rFonts w:ascii="Arial" w:hAnsi="Arial" w:cs="Arial"/>
                <w:sz w:val="24"/>
                <w:szCs w:val="24"/>
              </w:rPr>
              <w:t>Die Studie soll Hinweise mit adäquatem Evidenzlevel zur Therapie der oben genannten Fraktur liefern und die Lebensqualität der betroffenen wie auch zukünftigen Patienten verbessern.</w:t>
            </w:r>
          </w:p>
          <w:p w14:paraId="67EAF7F6" w14:textId="77777777" w:rsidR="00733C7E" w:rsidRPr="0008415B" w:rsidRDefault="00733C7E" w:rsidP="00733C7E">
            <w:pPr>
              <w:suppressAutoHyphens w:val="0"/>
              <w:spacing w:line="360" w:lineRule="auto"/>
              <w:jc w:val="both"/>
              <w:rPr>
                <w:rFonts w:ascii="Arial" w:hAnsi="Arial" w:cs="Arial"/>
                <w:sz w:val="24"/>
                <w:szCs w:val="24"/>
              </w:rPr>
            </w:pPr>
            <w:r w:rsidRPr="0008415B">
              <w:rPr>
                <w:rFonts w:ascii="Arial" w:hAnsi="Arial" w:cs="Arial"/>
                <w:sz w:val="24"/>
                <w:szCs w:val="24"/>
              </w:rPr>
              <w:t xml:space="preserve">Ferner sollen die erhobenen Daten zur Entwicklung eines neuen evidenzbasierten Behandlungsalgorithmus sowie zur wissenschaftlichen Verwertung und Publikation dienen. </w:t>
            </w:r>
          </w:p>
          <w:p w14:paraId="3C37986C" w14:textId="77777777" w:rsidR="00733C7E" w:rsidRPr="0008415B" w:rsidRDefault="00733C7E" w:rsidP="00733C7E">
            <w:pPr>
              <w:suppressAutoHyphens w:val="0"/>
              <w:spacing w:line="360" w:lineRule="auto"/>
              <w:jc w:val="both"/>
              <w:rPr>
                <w:rFonts w:ascii="Arial" w:hAnsi="Arial" w:cs="Arial"/>
                <w:sz w:val="24"/>
                <w:szCs w:val="24"/>
              </w:rPr>
            </w:pPr>
          </w:p>
          <w:p w14:paraId="3BDF2AF8" w14:textId="77777777" w:rsidR="00982679" w:rsidRPr="0008415B" w:rsidRDefault="00982679" w:rsidP="007762C8">
            <w:pPr>
              <w:suppressAutoHyphens w:val="0"/>
              <w:spacing w:line="360" w:lineRule="auto"/>
              <w:jc w:val="both"/>
              <w:rPr>
                <w:rFonts w:ascii="Arial" w:hAnsi="Arial" w:cs="Arial"/>
                <w:sz w:val="24"/>
                <w:szCs w:val="24"/>
              </w:rPr>
            </w:pPr>
            <w:r w:rsidRPr="0008415B">
              <w:rPr>
                <w:rFonts w:ascii="Arial" w:hAnsi="Arial" w:cs="Arial"/>
                <w:sz w:val="24"/>
                <w:szCs w:val="24"/>
              </w:rPr>
              <w:t xml:space="preserve">Der klinische Behandlungspfad am Uniklinikum Hamburg-Eppendorf im Fall von Frakturen des hinteren Beckenrings wurde anhand der vorhandenen Studien und nach bestem klinischen Wissen modifiziert. Ziel ist es durch die Randomisierung eine direkte Kontrolle der operativen Therapie zu ermöglichen, schlussendlich Hinweise auf hohem Evidenzniveau zu sammeln und einen optimalen Behandlungsalgorithmus entwickeln zu können. </w:t>
            </w:r>
          </w:p>
          <w:p w14:paraId="7B804DB9" w14:textId="77777777" w:rsidR="00982679" w:rsidRPr="0008415B" w:rsidRDefault="00982679" w:rsidP="00982679">
            <w:pPr>
              <w:suppressAutoHyphens w:val="0"/>
              <w:spacing w:line="360" w:lineRule="auto"/>
              <w:ind w:left="720"/>
              <w:jc w:val="both"/>
              <w:rPr>
                <w:rFonts w:ascii="Arial" w:hAnsi="Arial" w:cs="Arial"/>
                <w:sz w:val="24"/>
                <w:szCs w:val="24"/>
              </w:rPr>
            </w:pPr>
          </w:p>
          <w:p w14:paraId="0982C010" w14:textId="77777777" w:rsidR="003D19C5" w:rsidRPr="0008415B" w:rsidRDefault="003D19C5" w:rsidP="00020C37">
            <w:pPr>
              <w:rPr>
                <w:rFonts w:ascii="Arial" w:hAnsi="Arial" w:cs="Arial"/>
                <w:sz w:val="24"/>
                <w:szCs w:val="24"/>
              </w:rPr>
            </w:pPr>
          </w:p>
        </w:tc>
      </w:tr>
      <w:tr w:rsidR="00416CF8" w:rsidRPr="0008415B" w14:paraId="23AE57E4" w14:textId="77777777" w:rsidTr="002F2025">
        <w:tc>
          <w:tcPr>
            <w:tcW w:w="10062" w:type="dxa"/>
          </w:tcPr>
          <w:p w14:paraId="6EF7636E" w14:textId="77777777" w:rsidR="00416CF8" w:rsidRPr="0008415B" w:rsidRDefault="00416CF8" w:rsidP="00996C9F">
            <w:pPr>
              <w:rPr>
                <w:rFonts w:ascii="Arial" w:hAnsi="Arial" w:cs="Arial"/>
                <w:i/>
                <w:sz w:val="24"/>
                <w:szCs w:val="24"/>
              </w:rPr>
            </w:pPr>
            <w:r w:rsidRPr="0008415B">
              <w:rPr>
                <w:rFonts w:ascii="Arial" w:hAnsi="Arial" w:cs="Arial"/>
                <w:i/>
                <w:sz w:val="24"/>
                <w:szCs w:val="24"/>
              </w:rPr>
              <w:t>Relevanz:</w:t>
            </w:r>
          </w:p>
        </w:tc>
      </w:tr>
      <w:tr w:rsidR="00416CF8" w:rsidRPr="0008415B" w14:paraId="7FC3D240" w14:textId="77777777" w:rsidTr="002F2025">
        <w:trPr>
          <w:trHeight w:val="887"/>
        </w:trPr>
        <w:tc>
          <w:tcPr>
            <w:tcW w:w="10062" w:type="dxa"/>
          </w:tcPr>
          <w:p w14:paraId="726E9314" w14:textId="77777777" w:rsidR="003134AD" w:rsidRPr="0008415B" w:rsidRDefault="003134AD" w:rsidP="003134AD">
            <w:pPr>
              <w:suppressAutoHyphens w:val="0"/>
              <w:spacing w:line="360" w:lineRule="auto"/>
              <w:jc w:val="both"/>
              <w:rPr>
                <w:rFonts w:ascii="Arial" w:hAnsi="Arial" w:cs="Arial"/>
                <w:sz w:val="24"/>
              </w:rPr>
            </w:pPr>
            <w:r w:rsidRPr="0008415B">
              <w:rPr>
                <w:rFonts w:ascii="Arial" w:hAnsi="Arial" w:cs="Arial"/>
                <w:sz w:val="24"/>
              </w:rPr>
              <w:t>Die Bedeutung der hier untersuchten Verletzung ist für unsere alternde Gesellschaft und medizinisch-traumatologische Ärzteschaft immens.</w:t>
            </w:r>
          </w:p>
          <w:p w14:paraId="170D4A86" w14:textId="69BFEE02" w:rsidR="00733C7E" w:rsidRPr="0008415B" w:rsidRDefault="00733C7E" w:rsidP="007762C8">
            <w:pPr>
              <w:suppressAutoHyphens w:val="0"/>
              <w:spacing w:line="360" w:lineRule="auto"/>
              <w:jc w:val="both"/>
              <w:rPr>
                <w:rFonts w:ascii="Arial" w:hAnsi="Arial" w:cs="Arial"/>
                <w:sz w:val="24"/>
              </w:rPr>
            </w:pPr>
            <w:r w:rsidRPr="0008415B">
              <w:rPr>
                <w:rFonts w:ascii="Arial" w:hAnsi="Arial" w:cs="Arial"/>
                <w:sz w:val="24"/>
              </w:rPr>
              <w:t>Die Angaben zur Häufigkeit in der Literatur schwanken zwischen 23-92 Insuffizienzfrakturen pro 100.000 Einwohner pro Jahr.</w:t>
            </w:r>
            <w:r w:rsidRPr="0008415B">
              <w:rPr>
                <w:rFonts w:ascii="Arial" w:hAnsi="Arial" w:cs="Arial"/>
                <w:sz w:val="24"/>
              </w:rPr>
              <w:fldChar w:fldCharType="begin" w:fldLock="1"/>
            </w:r>
            <w:r w:rsidR="000D7ECB">
              <w:rPr>
                <w:rFonts w:ascii="Arial" w:hAnsi="Arial" w:cs="Arial"/>
                <w:sz w:val="24"/>
              </w:rPr>
              <w:instrText>ADDIN CSL_CITATION { "citationItems" : [ { "id" : "ITEM-1", "itemData" : { "DOI" : "10.1177/2151458515616250", "ISSN" : "2151-4585", "PMID" : "26929851", "abstract" : "BACKGROUND Previous studies evaluating the epidemiology of pelvic ring fractures and predictors of mortality are largely based upon non-US populations, potentially limiting their generalizability. This study sought to analyze trends of pelvic ring fractures and associated complications in the United States using the largest and most recent national data set available. The specific aims of this study were to determine whether the incidence of pelvic ring fractures changed over time, whether in-hospital mortality following pelvic ring fracture changed over time, whether hospital length of stay following pelvic ring fracture changed over time, and whether there are independent predictors of in-hospital mortality, adverse events, or nonroutine discharge following pelvic fracture. METHODS The National Hospital Discharge Survey was queried to identify all patients admitted to US hospitals with pelvic ring fractures between 1990 and 2007. A cohort representative of 1 464 458 patients was identified, and multivariable logistic regression was used to find independent predictors of mortality, adverse events, and nonroutine discharge to another inpatient facility. RESULTS Between 1990 and 2007, the population-adjusted incidence of pelvic ring fractures increased from 27.24 to 34.30 per 100 000 capita (P &lt; .001). Mortality declined from 4.2% to 2.8% (P &lt; .001) paralleling an increase in the proportion of patients treated with surgical fixation (7.22%-10.36%). All forms of internal fixation were associated with decreased odds of mortality, while external fixation was associated with increased odds of mortality. Internal fixation was also associated with lower odds of adverse events and nonroutine discharge to inpatient facilities. The average in-hospital length of stay decreased from 11.2 days to 6.5 days (P &lt; .001). CONCLUSION This study provides the largest and most comprehensive epidemiologic analysis of pelvic ring fractures in the United States. Knowledge of the increasing incidence of pelvic fractures and prognostic factors associated with poor outcomes may improve outcomes.", "author" : [ { "dropping-particle" : "", "family" : "Buller", "given" : "Leonard T", "non-dropping-particle" : "", "parse-names" : false, "suffix" : "" }, { "dropping-particle" : "", "family" : "Best", "given" : "Matthew J", "non-dropping-particle" : "", "parse-names" : false, "suffix" : "" }, { "dropping-particle" : "", "family" : "Quinnan", "given" : "Stephen M", "non-dropping-particle" : "", "parse-names" : false, "suffix" : "" } ], "container-title" : "Geriatric orthopaedic surgery &amp; rehabilitation", "id" : "ITEM-1", "issue" : "1", "issued" : { "date-parts" : [ [ "2016", "3" ] ] }, "page" : "9-17", "title" : "A Nationwide Analysis of Pelvic Ring Fractures: Incidence and Trends in Treatment, Length of Stay, and Mortality.", "type" : "article-journal", "volume" : "7" }, "uris" : [ "http://www.mendeley.com/documents/?uuid=9826f9e1-7e53-3c0a-b861-e0f831685bbc" ] }, { "id" : "ITEM-2", "itemData" : { "DOI" : "10.1097/TA.0b013e3181589fa4", "ISSN" : "1529-8809", "PMID" : "17993952", "abstract" : "BACKGROUND The severity of pelvic ring fractures (PRFs) can range from minor injury with low-energy mechanism to high-energy injury causing prehospital death. The purpose of this study was to prospectively describe the comprehensive pelvic fracture occurrence in an inclusive trauma system. METHODS A 12-month prospective, population-based epidemiologic study was performed in the Hunter Region, New South Wales, Australia (population of 600,000, served by one Level I trauma center and 7 referring hospitals). Patient demographics, mechanism, injury severity, shock parameters, and outcomes were recorded prospectively. The database included all pelvic fractures from the region: high-energy pelvic fractures (HE-PRFs), low-energy pelvic fractures (LE-PRFs), and prehospital deaths (PD-PRFs). RESULTS The incidence of PRF in the trauma system was 23 per 100,000 persons (138 fractures). The incidences of HE-PRF and LE-PRF were each 10 per 100,000 persons, whereas there were 3 PD-PRFs per 100,000. HE-PRF compared with LE-PRF occurred predominantly in men (64% vs. 20%, p &lt; 0.05), younger persons (41 +/- 3 vs. 83 +/- 1 years, p &lt; 0.05), those who had a higher Injury Severity Score (23 +/- 3 vs. 6 +/- 1, p &lt; 0.05), and those with lower blood pressure (111 +/- 1 mm Hg vs. 153 +/- 1 mm Hg, p &lt; 0.05), but the inhospital mortality rate was not statistically different (15% vs. 8%, p = NS). The overall mortality of the cohort was 23% (60% of those were from the PD-PRF group). The PRF-related mortality was 7% (HE-PRF: 7%; LE-PRF: 2%; PD-PRF: 33%), which was always attributable to bleeding. The incidence of demonstrated pelvic fracture-related arterial bleeding was 1.3 per 100,000 persons per year. CONCLUSIONS LE-PRF and HE-PRF are equally frequent among hospital admissions. They represent two distinct demographic groups with similar mortality rate. Most PRF-related deaths occur prehospitally. Bleeding remains the primary cause of PRF-related mortality in all groups.", "author" : [ { "dropping-particle" : "", "family" : "Balogh", "given" : "Zsolt", "non-dropping-particle" : "", "parse-names" : false, "suffix" : "" }, { "dropping-particle" : "", "family" : "King", "given" : "Kate L", "non-dropping-particle" : "", "parse-names" : false, "suffix" : "" }, { "dropping-particle" : "", "family" : "Mackay", "given" : "Peter", "non-dropping-particle" : "", "parse-names" : false, "suffix" : "" }, { "dropping-particle" : "", "family" : "McDougall", "given" : "Debra", "non-dropping-particle" : "", "parse-names" : false, "suffix" : "" }, { "dropping-particle" : "", "family" : "Mackenzie", "given" : "Stuart", "non-dropping-particle" : "", "parse-names" : false, "suffix" : "" }, { "dropping-particle" : "", "family" : "Evans", "given" : "Julie A", "non-dropping-particle" : "", "parse-names" : false, "suffix" : "" }, { "dropping-particle" : "", "family" : "Lyons", "given" : "Timothy", "non-dropping-particle" : "", "parse-names" : false, "suffix" : "" }, { "dropping-particle" : "", "family" : "Deane", "given" : "Stephen A", "non-dropping-particle" : "", "parse-names" : false, "suffix" : "" } ], "container-title" : "The Journal of trauma", "id" : "ITEM-2", "issue" : "5", "issued" : { "date-parts" : [ [ "2007", "11" ] ] }, "page" : "1066-73; discussion 1072-3", "title" : "The epidemiology of pelvic ring fractures: a population-based study.", "type" : "article-journal", "volume" : "63" }, "uris" : [ "http://www.mendeley.com/documents/?uuid=99c98edb-32a3-3a9d-9a3b-8a4e469df4ba" ] }, { "id" : "ITEM-3", "itemData" : { "DOI" : "10.1007/s00223-015-0056-8", "ISSN" : "1432-0827", "PMID" : "26319676", "abstract" : "Low-trauma fractures of elderly persons are a major public health problem. However, epidemiologic knowledge on their fresh secular trends is scarce. Trends in the number and incidence (per 100,000 persons) of low-trauma fractures of the pelvic ring among older Finns were assessed by taking into account individuals 80-year-old or older who were admitted to Finnish hospitals for primary treatment of such injury in 1970-2013. The number and age-adjusted incidence of these fractures increased considerably between 1970 and 2013, from 33 (number) and 73 (incidence) in 1970 to 1055 and 364 in 2013. The age-specific incidence of fracture also increased in all age groups (80-84, 85-89, and 90-) of women and men during the entire study period. If the fracture incidence continues to rise at the same rates as in 1970-2013 and the size of the 80-year-old or older population of Finland increases as predicted (87 % by the year 2030), the number low-trauma pelvic fractures in this population will be 2.4 times higher in the year 2030 (2550 fractures) than it was in 2013 (1055 fractures). The number of low-trauma fractures of the pelvis among Finns 80 years of age or older has risen sharply between 1970 and 2013-with a rate that cannot be explained merely by demographic changes. Further studies are urgently needed to better assess the reasons for the rise and possibilities for fracture prevention.", "author" : [ { "dropping-particle" : "", "family" : "Kannus", "given" : "Pekka", "non-dropping-particle" : "", "parse-names" : false, "suffix" : "" }, { "dropping-particle" : "", "family" : "Parkkari", "given" : "Jari", "non-dropping-particle" : "", "parse-names" : false, "suffix" : "" }, { "dropping-particle" : "", "family" : "Niemi", "given" : "Seppo", "non-dropping-particle" : "", "parse-names" : false, "suffix" : "" }, { "dropping-particle" : "", "family" : "Siev\u00e4nen", "given" : "Harri", "non-dropping-particle" : "", "parse-names" : false, "suffix" : "" } ], "container-title" : "Calcified tissue international", "id" : "ITEM-3", "issue" : "6", "issued" : { "date-parts" : [ [ "2015", "12" ] ] }, "page" : "577-80", "title" : "Low-Trauma Pelvic Fractures in Elderly Finns in 1970-2013.", "type" : "article-journal", "volume" : "97" }, "uris" : [ "http://www.mendeley.com/documents/?uuid=034922de-1cdb-3890-918b-e77f3e41c811" ] } ], "mendeley" : { "formattedCitation" : "&lt;sup&gt;14\u201316&lt;/sup&gt;", "plainTextFormattedCitation" : "14\u201316", "previouslyFormattedCitation" : "&lt;sup&gt;14\u201316&lt;/sup&gt;" }, "properties" : { "noteIndex" : 0 }, "schema" : "https://github.com/citation-style-language/schema/raw/master/csl-citation.json" }</w:instrText>
            </w:r>
            <w:r w:rsidRPr="0008415B">
              <w:rPr>
                <w:rFonts w:ascii="Arial" w:hAnsi="Arial" w:cs="Arial"/>
                <w:sz w:val="24"/>
              </w:rPr>
              <w:fldChar w:fldCharType="separate"/>
            </w:r>
            <w:r w:rsidR="000D7ECB" w:rsidRPr="000D7ECB">
              <w:rPr>
                <w:rFonts w:ascii="Arial" w:hAnsi="Arial" w:cs="Arial"/>
                <w:noProof/>
                <w:sz w:val="24"/>
                <w:vertAlign w:val="superscript"/>
              </w:rPr>
              <w:t>14–16</w:t>
            </w:r>
            <w:r w:rsidRPr="0008415B">
              <w:rPr>
                <w:rFonts w:ascii="Arial" w:hAnsi="Arial" w:cs="Arial"/>
                <w:sz w:val="24"/>
              </w:rPr>
              <w:fldChar w:fldCharType="end"/>
            </w:r>
            <w:r w:rsidRPr="0008415B">
              <w:rPr>
                <w:rFonts w:ascii="Arial" w:hAnsi="Arial" w:cs="Arial"/>
                <w:sz w:val="24"/>
              </w:rPr>
              <w:t xml:space="preserve"> Vor kurzem veröffentlichte Studien zeigen eine deutliche Zunahme dieser Fraktur-Entität. </w:t>
            </w:r>
          </w:p>
          <w:p w14:paraId="73F0ABA7" w14:textId="73F6C2A6" w:rsidR="00733C7E" w:rsidRPr="0008415B" w:rsidRDefault="00733C7E" w:rsidP="007762C8">
            <w:pPr>
              <w:suppressAutoHyphens w:val="0"/>
              <w:spacing w:line="360" w:lineRule="auto"/>
              <w:jc w:val="both"/>
              <w:rPr>
                <w:rFonts w:ascii="Arial" w:hAnsi="Arial" w:cs="Arial"/>
                <w:sz w:val="24"/>
              </w:rPr>
            </w:pPr>
            <w:r w:rsidRPr="0008415B">
              <w:rPr>
                <w:rFonts w:ascii="Arial" w:hAnsi="Arial" w:cs="Arial"/>
                <w:sz w:val="24"/>
              </w:rPr>
              <w:t>In Finnland beispielsweise kam es von 1970 bis 1997 zu einem Anstieg von 470% von osteoporotischen Frakturen des Beckens. Insgesamt sind 7% aller osteoporotisch bedingten Frakturen dem Beckenring zuzuordnen</w:t>
            </w:r>
            <w:r w:rsidRPr="0008415B">
              <w:rPr>
                <w:rFonts w:ascii="Arial" w:hAnsi="Arial" w:cs="Arial"/>
                <w:sz w:val="24"/>
              </w:rPr>
              <w:fldChar w:fldCharType="begin" w:fldLock="1"/>
            </w:r>
            <w:r w:rsidR="000D7ECB">
              <w:rPr>
                <w:rFonts w:ascii="Arial" w:hAnsi="Arial" w:cs="Arial"/>
                <w:sz w:val="24"/>
              </w:rPr>
              <w:instrText>ADDIN CSL_CITATION { "citationItems" : [ { "id" : "ITEM-1", "itemData" : { "DOI" : "10.1359/jbmr.061113", "ISSN" : "08840431", "PMID" : "17144789", "abstract" : "UNLABELLED This study predicts the burden of incident osteoporosis-related fractures and costs in the United States, by sex, age group, race/ethnicity, and fracture type, from 2005 to 2025. Total fractures were &gt;2 million, costing nearly $17 billion in 2005. Men account for &gt;25% of the burden. Rapid growth in the disease burden is projected among nonwhite populations. INTRODUCTION The aging of the U.S. population will likely lead to greater prevalence of osteoporosis. Policy makers require precise projections of the disease burden by demographic subgroups and skeletal sites to effectively target osteoporosis intervention and treatment programs. MATERIALS AND METHODS A state transition Markov decision model was used to estimate total incident fractures and costs by age, sex, race/ethnicity, and skeletal site for the U.S. population 50 years of age for 2005-2025. RESULTS More than 2 million incident fractures at a cost of $17 billion are predicted for 2005. Total costs including prevalent fractures are more than $19 billion. Men account for 29% of fractures and 25% of costs. Total incident fractures by skeletal site were vertebral (27%), wrist (19%), hip (14%), pelvic (7%), and other (33%). Total costs by fracture type were vertebral (6%), hip (72%), wrist (3%), pelvic (5%), and other (14%). By 2025, annual fractures and costs are projected to rise by almost 50%. The most rapid growth is estimated for people 65-74 years of age, with an increase&gt;87%. An increase of nearly 175% is projected for Hispanic and other subpopulations. CONCLUSIONS Osteoporosis prevention, treatment, and education efforts should address all skeletal sites, not just hip and vertebral, and appropriate attention is warranted for men and diverse race/ethnicity subgroups.", "author" : [ { "dropping-particle" : "", "family" : "Burge", "given" : "Russel", "non-dropping-particle" : "", "parse-names" : false, "suffix" : "" }, { "dropping-particle" : "", "family" : "Dawson-Hughes", "given" : "Bess", "non-dropping-particle" : "", "parse-names" : false, "suffix" : "" }, { "dropping-particle" : "", "family" : "Solomon", "given" : "Daniel H", "non-dropping-particle" : "", "parse-names" : false, "suffix" : "" }, { "dropping-particle" : "", "family" : "Wong", "given" : "John B", "non-dropping-particle" : "", "parse-names" : false, "suffix" : "" }, { "dropping-particle" : "", "family" : "King", "given" : "Alison", "non-dropping-particle" : "", "parse-names" : false, "suffix" : "" }, { "dropping-particle" : "", "family" : "Tosteson", "given" : "Anna", "non-dropping-particle" : "", "parse-names" : false, "suffix" : "" } ], "container-title" : "Journal of Bone and Mineral Research", "id" : "ITEM-1", "issue" : "3", "issued" : { "date-parts" : [ [ "2007", "3" ] ] }, "page" : "465-475", "title" : "Incidence and Economic Burden of Osteoporosis-Related Fractures in the United States, 2005-2025", "type" : "article-journal", "volume" : "22" }, "uris" : [ "http://www.mendeley.com/documents/?uuid=c41651bc-4c5b-3304-9748-69ba30896202" ] }, { "id" : "ITEM-2", "itemData" : { "DOI" : "10.1007/s00223-015-0056-8", "ISSN" : "1432-0827", "PMID" : "26319676", "abstract" : "Low-trauma fractures of elderly persons are a major public health problem. However, epidemiologic knowledge on their fresh secular trends is scarce. Trends in the number and incidence (per 100,000 persons) of low-trauma fractures of the pelvic ring among older Finns were assessed by taking into account individuals 80-year-old or older who were admitted to Finnish hospitals for primary treatment of such injury in 1970-2013. The number and age-adjusted incidence of these fractures increased considerably between 1970 and 2013, from 33 (number) and 73 (incidence) in 1970 to 1055 and 364 in 2013. The age-specific incidence of fracture also increased in all age groups (80-84, 85-89, and 90-) of women and men during the entire study period. If the fracture incidence continues to rise at the same rates as in 1970-2013 and the size of the 80-year-old or older population of Finland increases as predicted (87 % by the year 2030), the number low-trauma pelvic fractures in this population will be 2.4 times higher in the year 2030 (2550 fractures) than it was in 2013 (1055 fractures). The number of low-trauma fractures of the pelvis among Finns 80 years of age or older has risen sharply between 1970 and 2013-with a rate that cannot be explained merely by demographic changes. Further studies are urgently needed to better assess the reasons for the rise and possibilities for fracture prevention.", "author" : [ { "dropping-particle" : "", "family" : "Kannus", "given" : "Pekka", "non-dropping-particle" : "", "parse-names" : false, "suffix" : "" }, { "dropping-particle" : "", "family" : "Parkkari", "given" : "Jari", "non-dropping-particle" : "", "parse-names" : false, "suffix" : "" }, { "dropping-particle" : "", "family" : "Niemi", "given" : "Seppo", "non-dropping-particle" : "", "parse-names" : false, "suffix" : "" }, { "dropping-particle" : "", "family" : "Siev\u00e4nen", "given" : "Harri", "non-dropping-particle" : "", "parse-names" : false, "suffix" : "" } ], "container-title" : "Calcified tissue international", "id" : "ITEM-2", "issue" : "6", "issued" : { "date-parts" : [ [ "2015", "12" ] ] }, "page" : "577-80", "title" : "Low-Trauma Pelvic Fractures in Elderly Finns in 1970-2013.", "type" : "article-journal", "volume" : "97" }, "uris" : [ "http://www.mendeley.com/documents/?uuid=034922de-1cdb-3890-918b-e77f3e41c811" ] } ], "mendeley" : { "formattedCitation" : "&lt;sup&gt;16,17&lt;/sup&gt;", "plainTextFormattedCitation" : "16,17", "previouslyFormattedCitation" : "&lt;sup&gt;16,17&lt;/sup&gt;" }, "properties" : { "noteIndex" : 0 }, "schema" : "https://github.com/citation-style-language/schema/raw/master/csl-citation.json" }</w:instrText>
            </w:r>
            <w:r w:rsidRPr="0008415B">
              <w:rPr>
                <w:rFonts w:ascii="Arial" w:hAnsi="Arial" w:cs="Arial"/>
                <w:sz w:val="24"/>
              </w:rPr>
              <w:fldChar w:fldCharType="separate"/>
            </w:r>
            <w:r w:rsidR="000D7ECB" w:rsidRPr="000D7ECB">
              <w:rPr>
                <w:rFonts w:ascii="Arial" w:hAnsi="Arial" w:cs="Arial"/>
                <w:noProof/>
                <w:sz w:val="24"/>
                <w:vertAlign w:val="superscript"/>
              </w:rPr>
              <w:t>16,17</w:t>
            </w:r>
            <w:r w:rsidRPr="0008415B">
              <w:rPr>
                <w:rFonts w:ascii="Arial" w:hAnsi="Arial" w:cs="Arial"/>
                <w:sz w:val="24"/>
              </w:rPr>
              <w:fldChar w:fldCharType="end"/>
            </w:r>
            <w:r w:rsidRPr="0008415B">
              <w:rPr>
                <w:rFonts w:ascii="Arial" w:hAnsi="Arial" w:cs="Arial"/>
                <w:sz w:val="24"/>
              </w:rPr>
              <w:t>. Übertragen auf die Population in der Europäischen Union, deren Einwohner älter als 50 Jahre bis 2025 um 20% zunehmen und Einwohner älter als 80 Jahre um 32%</w:t>
            </w:r>
            <w:r w:rsidRPr="0008415B">
              <w:rPr>
                <w:rFonts w:ascii="Arial" w:hAnsi="Arial" w:cs="Arial"/>
                <w:sz w:val="24"/>
              </w:rPr>
              <w:fldChar w:fldCharType="begin" w:fldLock="1"/>
            </w:r>
            <w:r w:rsidR="000D7ECB">
              <w:rPr>
                <w:rFonts w:ascii="Arial" w:hAnsi="Arial" w:cs="Arial"/>
                <w:sz w:val="24"/>
              </w:rPr>
              <w:instrText>ADDIN CSL_CITATION { "citationItems" : [ { "id" : "ITEM-1", "itemData" : { "DOI" : "10.1007/s11657-013-0136-1", "ISSN" : "1862-3514", "PMID" : "24113837", "abstract" : "UNLABELLED This report describes the epidemiology, burden, and treatment of osteoporosis in the 27 countries of the European Union (EU27). INTRODUCTION Osteoporosis is characterized by reduced bone mass and disruption of bone architecture, resulting in increased risk of fragility fractures which represent the main clinical consequence of the disease. Fragility fractures are associated with substantial pain and suffering, disability and even death for affected patients and substantial costs to society. The aim of this report was to characterize the burden of osteoporosis in the EU27 in 2010 and beyond. METHODS The literature on fracture incidence and costs of fractures in the EU27 was reviewed and incorporated into a model estimating the clinical and economic burden of osteoporotic fractures in 2010. RESULTS Twenty-two million women and 5.5 million men were estimated to have osteoporosis; and 3.5 million new fragility fractures were sustained, comprising 610,000 hip fractures, 520,000 vertebral fractures, 560,000 forearm fractures and 1,800,000 other fractures (i.e. fractures of the pelvis, rib, humerus, tibia, fibula, clavicle, scapula, sternum and other femoral fractures). The economic burden of incident and prior fragility fractures was estimated at &lt;euro&gt; 37 billion. Incident fractures represented 66\u00a0% of this cost, long-term fracture care 29\u00a0% and pharmacological prevention 5\u00a0%. Previous and incident fractures also accounted for 1,180,000 quality-adjusted life years lost during 2010. The costs are expected to increase by 25\u00a0% in 2025. The majority of individuals who have sustained an osteoporosis-related fracture or who are at high risk of fracture are untreated and the number of patients on treatment is declining. CONCLUSIONS In spite of the high social and economic cost of osteoporosis, a substantial treatment gap and projected increase of the economic burden driven by the aging populations, the use of pharmacological interventions to prevent fractures has decreased in recent years, suggesting that a change in healthcare policy is warranted.", "author" : [ { "dropping-particle" : "", "family" : "Hernlund", "given" : "E", "non-dropping-particle" : "", "parse-names" : false, "suffix" : "" }, { "dropping-particle" : "", "family" : "Svedbom", "given" : "A", "non-dropping-particle" : "", "parse-names" : false, "suffix" : "" }, { "dropping-particle" : "", "family" : "Iverg\u00e5rd", "given" : "M", "non-dropping-particle" : "", "parse-names" : false, "suffix" : "" }, { "dropping-particle" : "", "family" : "Compston", "given" : "J", "non-dropping-particle" : "", "parse-names" : false, "suffix" : "" }, { "dropping-particle" : "", "family" : "Cooper", "given" : "C", "non-dropping-particle" : "", "parse-names" : false, "suffix" : "" }, { "dropping-particle" : "", "family" : "Stenmark", "given" : "J", "non-dropping-particle" : "", "parse-names" : false, "suffix" : "" }, { "dropping-particle" : "V", "family" : "McCloskey", "given" : "E", "non-dropping-particle" : "", "parse-names" : false, "suffix" : "" }, { "dropping-particle" : "", "family" : "J\u00f6nsson", "given" : "B", "non-dropping-particle" : "", "parse-names" : false, "suffix" : "" }, { "dropping-particle" : "", "family" : "Kanis", "given" : "J A", "non-dropping-particle" : "", "parse-names" : false, "suffix" : "" } ], "container-title" : "Archives of osteoporosis", "id" : "ITEM-1", "issued" : { "date-parts" : [ [ "2013" ] ] }, "page" : "136", "title" : "Osteoporosis in the European Union: medical management, epidemiology and economic burden. A report prepared in collaboration with the International Osteoporosis Foundation (IOF) and the European Federation of Pharmaceutical Industry Associations (EFPIA).", "type" : "article-journal", "volume" : "8" }, "uris" : [ "http://www.mendeley.com/documents/?uuid=b729a359-e22a-399e-a5ee-428b941ca951" ] } ], "mendeley" : { "formattedCitation" : "&lt;sup&gt;18&lt;/sup&gt;", "plainTextFormattedCitation" : "18", "previouslyFormattedCitation" : "&lt;sup&gt;18&lt;/sup&gt;" }, "properties" : { "noteIndex" : 0 }, "schema" : "https://github.com/citation-style-language/schema/raw/master/csl-citation.json" }</w:instrText>
            </w:r>
            <w:r w:rsidRPr="0008415B">
              <w:rPr>
                <w:rFonts w:ascii="Arial" w:hAnsi="Arial" w:cs="Arial"/>
                <w:sz w:val="24"/>
              </w:rPr>
              <w:fldChar w:fldCharType="separate"/>
            </w:r>
            <w:r w:rsidR="000D7ECB" w:rsidRPr="000D7ECB">
              <w:rPr>
                <w:rFonts w:ascii="Arial" w:hAnsi="Arial" w:cs="Arial"/>
                <w:noProof/>
                <w:sz w:val="24"/>
                <w:vertAlign w:val="superscript"/>
              </w:rPr>
              <w:t>18</w:t>
            </w:r>
            <w:r w:rsidRPr="0008415B">
              <w:rPr>
                <w:rFonts w:ascii="Arial" w:hAnsi="Arial" w:cs="Arial"/>
                <w:sz w:val="24"/>
              </w:rPr>
              <w:fldChar w:fldCharType="end"/>
            </w:r>
            <w:r w:rsidRPr="0008415B">
              <w:rPr>
                <w:rFonts w:ascii="Arial" w:hAnsi="Arial" w:cs="Arial"/>
                <w:sz w:val="24"/>
              </w:rPr>
              <w:t xml:space="preserve"> zunehmen werden, heißt dies, das im Jahr 2025 ca. 34 Millionen Menschen von einer osteoporotischen Fraktur betroffen sein werden. Folgerichtig würde dies das Vorkommen von ca. 2,38 Millionen Insuffizienz-Frakturen des hinteren Beckenrings in der EU in 2025 bedeuten. Da Frakturen des hinteren Beckenrings mit osteoporotischen Veränderungen des Knochens zusammenhängen</w:t>
            </w:r>
            <w:r w:rsidRPr="0008415B">
              <w:rPr>
                <w:rFonts w:ascii="Arial" w:hAnsi="Arial" w:cs="Arial"/>
                <w:sz w:val="24"/>
              </w:rPr>
              <w:fldChar w:fldCharType="begin" w:fldLock="1"/>
            </w:r>
            <w:r w:rsidR="00CF1259" w:rsidRPr="0008415B">
              <w:rPr>
                <w:rFonts w:ascii="Arial" w:hAnsi="Arial" w:cs="Arial"/>
                <w:sz w:val="24"/>
              </w:rPr>
              <w:instrText>ADDIN</w:instrText>
            </w:r>
            <w:r w:rsidRPr="0008415B">
              <w:rPr>
                <w:rFonts w:ascii="Arial" w:hAnsi="Arial" w:cs="Arial"/>
                <w:sz w:val="24"/>
              </w:rPr>
              <w:instrText xml:space="preserve"> CSL_CITATION { "citationItems" : [ { "id" : "ITEM-1", "itemData" : { "DOI" : "10.1007/s00068-015-0530-z", "ISSN" : "1863-9941", "PMID" : "26038048", "abstract" : "The increasing prevalence of fragility fractures of the sacrum (FFS) occurring predominantly in osteoporotic individuals poses a diagnostic and therapeutic challenge. The clinical presentation varies from longstanding low back pain without the patient remembering a traumatic event to immobilized patients after suffering a low-energy trauma. FFS are often combined with a fracture of the anterior pelvic ring; hence they are classified as a part of fragility fractures of the pelvis (FFP). If not displaced, the patients are treated with weight bearing as tolerated and analgesics; however, we advocate to treat displaced fractures surgically according to the fracture personality and the patient's comorbidities. Surgical options include minimal invasive sacro-iliac screws, trans-sacral bar osteosynthesis, open reduction and internal fixation, or spinopelvic stabilization. In the light of the high complication rate associated with immobilized patients, an operative approach often is indicated to accelerate the patient's mobility.", "author" : [ { "dropping-particle" : "", "family" : "Wagner", "given" : "D", "non-dropping-particle" : "", "parse-names" : false, "suffix" : "" }, { "dropping-particle" : "", "family" : "Ossendorf", "given" : "C", "non-dropping-particle" : "", "parse-names" : false, "suffix" : "" }, { "dropping-particle" : "", "family" : "Gruszka", "given" : "D", "non-dropping-particle" : "", "parse-names" : false, "suffix" : "" }, { "dropping-particle" : "", "family" : "Hofmann", "given" : "A", "non-dropping-particle" : "", "parse-names" : false, "suffix" : "" }, { "dropping-particle" : "", "family" : "Rommens", "given" : "P M", "non-dropping-particle" : "", "parse-names" : false, "suffix" : "" } ], "container-title" : "European journal of trauma and emergency surgery : official publication of the European Trauma Society", "id" : "ITEM-1", "issue" : "4", "issued" : { "date-parts" : [ [ "2015", "8" ] ] }, "page" : "349-62", "title" : "Fragility fractures of the sacrum: how to identify and when to treat surgically?", "type" : "article-journal", "volume" : "41" }, "uris" : [ "http://www.mendeley.com/documents/?uuid=ad3c7875-8dcf-3daa-8d95-adbe255694ba" ] } ], "mendeley" : { "formattedCitation" : "&lt;sup&gt;2&lt;/sup&gt;", "plainTextFormattedCitation" : "2", "previouslyFormattedCitation" : "&lt;sup&gt;2&lt;/sup&gt;" }, "properties" : { "noteIndex" : 0 }, "schema" : "https://github.com/citation-style-language/schema/raw/master/csl-citation.json" }</w:instrText>
            </w:r>
            <w:r w:rsidRPr="0008415B">
              <w:rPr>
                <w:rFonts w:ascii="Arial" w:hAnsi="Arial" w:cs="Arial"/>
                <w:sz w:val="24"/>
              </w:rPr>
              <w:fldChar w:fldCharType="separate"/>
            </w:r>
            <w:r w:rsidRPr="0008415B">
              <w:rPr>
                <w:rFonts w:ascii="Arial" w:hAnsi="Arial" w:cs="Arial"/>
                <w:noProof/>
                <w:sz w:val="24"/>
                <w:vertAlign w:val="superscript"/>
              </w:rPr>
              <w:t>2</w:t>
            </w:r>
            <w:r w:rsidRPr="0008415B">
              <w:rPr>
                <w:rFonts w:ascii="Arial" w:hAnsi="Arial" w:cs="Arial"/>
                <w:sz w:val="24"/>
              </w:rPr>
              <w:fldChar w:fldCharType="end"/>
            </w:r>
            <w:r w:rsidRPr="0008415B">
              <w:rPr>
                <w:rFonts w:ascii="Arial" w:hAnsi="Arial" w:cs="Arial"/>
                <w:sz w:val="24"/>
              </w:rPr>
              <w:t xml:space="preserve"> und der demographische Wandel </w:t>
            </w:r>
            <w:r w:rsidRPr="0008415B">
              <w:rPr>
                <w:rFonts w:ascii="Arial" w:hAnsi="Arial" w:cs="Arial"/>
                <w:sz w:val="24"/>
              </w:rPr>
              <w:lastRenderedPageBreak/>
              <w:t xml:space="preserve">fortschreitet wird diese Art von Verletzung die Unfallchirurgie vor eine große Herausforderung stellen. </w:t>
            </w:r>
          </w:p>
          <w:p w14:paraId="64C1F43E" w14:textId="77777777" w:rsidR="009E00B8" w:rsidRPr="0008415B" w:rsidRDefault="009E00B8" w:rsidP="00020C37">
            <w:pPr>
              <w:rPr>
                <w:rFonts w:ascii="Arial" w:hAnsi="Arial" w:cs="Arial"/>
                <w:color w:val="000000"/>
                <w:sz w:val="24"/>
                <w:szCs w:val="24"/>
              </w:rPr>
            </w:pPr>
          </w:p>
        </w:tc>
      </w:tr>
      <w:tr w:rsidR="00416CF8" w:rsidRPr="0008415B" w14:paraId="5C2B209C" w14:textId="77777777" w:rsidTr="002F2025">
        <w:tc>
          <w:tcPr>
            <w:tcW w:w="10062" w:type="dxa"/>
          </w:tcPr>
          <w:p w14:paraId="1665D864" w14:textId="77777777" w:rsidR="00416CF8" w:rsidRPr="0008415B" w:rsidRDefault="00416CF8" w:rsidP="00D31A10">
            <w:pPr>
              <w:rPr>
                <w:rFonts w:ascii="Arial" w:hAnsi="Arial" w:cs="Arial"/>
                <w:i/>
                <w:sz w:val="24"/>
                <w:szCs w:val="24"/>
              </w:rPr>
            </w:pPr>
            <w:r w:rsidRPr="0008415B">
              <w:rPr>
                <w:rFonts w:ascii="Arial" w:hAnsi="Arial" w:cs="Arial"/>
                <w:i/>
                <w:sz w:val="24"/>
                <w:szCs w:val="24"/>
              </w:rPr>
              <w:lastRenderedPageBreak/>
              <w:t>Methoden (Material, Messtechnik, Statistik, etc.):</w:t>
            </w:r>
          </w:p>
        </w:tc>
      </w:tr>
      <w:tr w:rsidR="00416CF8" w:rsidRPr="0008415B" w14:paraId="71C77BA0" w14:textId="77777777" w:rsidTr="002F2025">
        <w:trPr>
          <w:trHeight w:val="698"/>
        </w:trPr>
        <w:tc>
          <w:tcPr>
            <w:tcW w:w="10062" w:type="dxa"/>
          </w:tcPr>
          <w:p w14:paraId="7D8EE7EB" w14:textId="77777777" w:rsidR="00B629FD" w:rsidRPr="0008415B" w:rsidRDefault="00B629FD" w:rsidP="00B629FD">
            <w:pPr>
              <w:suppressAutoHyphens w:val="0"/>
              <w:spacing w:line="360" w:lineRule="auto"/>
              <w:jc w:val="both"/>
              <w:rPr>
                <w:rFonts w:ascii="Arial" w:hAnsi="Arial" w:cs="Arial"/>
                <w:sz w:val="24"/>
                <w:szCs w:val="24"/>
              </w:rPr>
            </w:pPr>
            <w:r w:rsidRPr="0008415B">
              <w:rPr>
                <w:rFonts w:ascii="Arial" w:hAnsi="Arial" w:cs="Arial"/>
                <w:sz w:val="24"/>
                <w:szCs w:val="24"/>
              </w:rPr>
              <w:t xml:space="preserve">Alle Patienten über 60 Jahre mit einer hinteren Beckenringfraktur Typ B2.1 oder FFP II oder unter 60 Jahre mit einer osteoporotisch oder osteopen bedingten hinteren Beckenringfraktur des gleichen Typs, welche am Universitätsklinikum Hamburg-Eppendorf aufgenommen und versorgt werden, sollen prospektiv erfasst und randomisiert werden, sofern eine entsprechende Einwilligungserklärung </w:t>
            </w:r>
            <w:r w:rsidR="003134AD" w:rsidRPr="0008415B">
              <w:rPr>
                <w:rFonts w:ascii="Arial" w:hAnsi="Arial" w:cs="Arial"/>
                <w:sz w:val="24"/>
                <w:szCs w:val="24"/>
              </w:rPr>
              <w:t xml:space="preserve">des Patienten oder gesetzlichen Betreuers </w:t>
            </w:r>
            <w:r w:rsidRPr="0008415B">
              <w:rPr>
                <w:rFonts w:ascii="Arial" w:hAnsi="Arial" w:cs="Arial"/>
                <w:sz w:val="24"/>
                <w:szCs w:val="24"/>
              </w:rPr>
              <w:t xml:space="preserve">vorliegt. </w:t>
            </w:r>
          </w:p>
          <w:p w14:paraId="6E642E1C" w14:textId="77777777" w:rsidR="003134AD" w:rsidRPr="0008415B" w:rsidRDefault="003134AD" w:rsidP="00B629FD">
            <w:pPr>
              <w:suppressAutoHyphens w:val="0"/>
              <w:spacing w:line="360" w:lineRule="auto"/>
              <w:jc w:val="both"/>
              <w:rPr>
                <w:rFonts w:ascii="Arial" w:hAnsi="Arial" w:cs="Arial"/>
                <w:sz w:val="24"/>
                <w:szCs w:val="24"/>
              </w:rPr>
            </w:pPr>
            <w:r w:rsidRPr="0008415B">
              <w:rPr>
                <w:rFonts w:ascii="Arial" w:hAnsi="Arial" w:cs="Arial"/>
                <w:sz w:val="24"/>
                <w:szCs w:val="24"/>
              </w:rPr>
              <w:t xml:space="preserve">Falls der/die Patient/in keine gesetzliche Betreuung hat, aber klinisch nicht mehr Einwilligungsfähig erscheint, wird eine Eilbetreuung binnen 24h eingerichtet. Falls dies ebenfalls nicht gelingt, wird der/die Patientin nicht in die Studie eingeschlossen. </w:t>
            </w:r>
          </w:p>
          <w:p w14:paraId="1449DF3C" w14:textId="39B6C509" w:rsidR="00B629FD" w:rsidRPr="0008415B" w:rsidRDefault="00B629FD" w:rsidP="00B629FD">
            <w:pPr>
              <w:suppressAutoHyphens w:val="0"/>
              <w:spacing w:line="360" w:lineRule="auto"/>
              <w:jc w:val="both"/>
              <w:rPr>
                <w:rFonts w:ascii="Arial" w:hAnsi="Arial" w:cs="Arial"/>
                <w:sz w:val="24"/>
                <w:szCs w:val="24"/>
              </w:rPr>
            </w:pPr>
            <w:r w:rsidRPr="0008415B">
              <w:rPr>
                <w:rFonts w:ascii="Arial" w:hAnsi="Arial" w:cs="Arial"/>
                <w:sz w:val="24"/>
                <w:szCs w:val="24"/>
              </w:rPr>
              <w:t xml:space="preserve">Die Randomisierung wird am Aufnahmetag, spätestens am ersten stationären Tag durch einen der Prüfärzte </w:t>
            </w:r>
            <w:r w:rsidR="002D12D4">
              <w:rPr>
                <w:rFonts w:ascii="Arial" w:hAnsi="Arial" w:cs="Arial"/>
                <w:sz w:val="24"/>
                <w:szCs w:val="24"/>
              </w:rPr>
              <w:t>vorgenommen. Zuvor werden 130</w:t>
            </w:r>
            <w:r w:rsidRPr="0008415B">
              <w:rPr>
                <w:rFonts w:ascii="Arial" w:hAnsi="Arial" w:cs="Arial"/>
                <w:sz w:val="24"/>
                <w:szCs w:val="24"/>
              </w:rPr>
              <w:t xml:space="preserve"> Umschläge (OP oder konservativ) in einem abschließbaren Behälter gefüllt und zufällig vermengt.</w:t>
            </w:r>
          </w:p>
          <w:p w14:paraId="7105CC66" w14:textId="77777777" w:rsidR="00B629FD" w:rsidRPr="0008415B" w:rsidRDefault="00B629FD" w:rsidP="00B629FD">
            <w:pPr>
              <w:suppressAutoHyphens w:val="0"/>
              <w:spacing w:line="360" w:lineRule="auto"/>
              <w:jc w:val="both"/>
              <w:rPr>
                <w:rFonts w:ascii="Arial" w:hAnsi="Arial" w:cs="Arial"/>
                <w:sz w:val="24"/>
                <w:szCs w:val="24"/>
              </w:rPr>
            </w:pPr>
            <w:r w:rsidRPr="0008415B">
              <w:rPr>
                <w:rFonts w:ascii="Arial" w:hAnsi="Arial" w:cs="Arial"/>
                <w:sz w:val="24"/>
                <w:szCs w:val="24"/>
              </w:rPr>
              <w:t xml:space="preserve">Bei beiden Therapiearmen wird jeweils auf klinisch bewährte Behandlungsregimes zurückgegriffen. </w:t>
            </w:r>
          </w:p>
          <w:p w14:paraId="067F4976" w14:textId="4FF4243F" w:rsidR="00B629FD" w:rsidRPr="0008415B" w:rsidRDefault="00B629FD" w:rsidP="00B629FD">
            <w:pPr>
              <w:suppressAutoHyphens w:val="0"/>
              <w:spacing w:line="360" w:lineRule="auto"/>
              <w:ind w:left="900"/>
              <w:jc w:val="both"/>
              <w:rPr>
                <w:rFonts w:ascii="Arial" w:hAnsi="Arial" w:cs="Arial"/>
                <w:sz w:val="24"/>
                <w:szCs w:val="24"/>
              </w:rPr>
            </w:pPr>
          </w:p>
          <w:p w14:paraId="5C31F6A0" w14:textId="6A5AB0A0" w:rsidR="00B629FD" w:rsidRPr="0008415B" w:rsidRDefault="00B629FD" w:rsidP="00B629FD">
            <w:pPr>
              <w:suppressAutoHyphens w:val="0"/>
              <w:spacing w:line="360" w:lineRule="auto"/>
              <w:jc w:val="both"/>
              <w:rPr>
                <w:rFonts w:ascii="Arial" w:hAnsi="Arial" w:cs="Arial"/>
                <w:sz w:val="24"/>
                <w:szCs w:val="24"/>
              </w:rPr>
            </w:pPr>
            <w:r w:rsidRPr="0008415B">
              <w:rPr>
                <w:rFonts w:ascii="Arial" w:hAnsi="Arial" w:cs="Arial"/>
                <w:sz w:val="24"/>
                <w:szCs w:val="24"/>
                <w:u w:val="single"/>
              </w:rPr>
              <w:t>Gruppe I</w:t>
            </w:r>
            <w:r w:rsidRPr="0008415B">
              <w:rPr>
                <w:rFonts w:ascii="Arial" w:hAnsi="Arial" w:cs="Arial"/>
                <w:sz w:val="24"/>
                <w:szCs w:val="24"/>
              </w:rPr>
              <w:t xml:space="preserve">: Es wird innerhalb der ersten 1-3 Tage eine operative perkutan-minimalinvasive Versorgung mittels einer transiliosakralen Schraubenosteosynthese, sowie bei bestehender Indikation Stabilisation des vorderen Beckenringes (üblicherweise: Anlage eines supraacetabulären Fixateur externes) durchgeführt. Am ersten postoperativen Tag wird die Mobilisation mithilfe der Physiotherapie erfolgen. Am zweiten postoperativen Tag wird durch Röntgen und Kontroll-CT die Schraubenfehllage ausgeschlossen. </w:t>
            </w:r>
          </w:p>
          <w:p w14:paraId="03CF5243" w14:textId="3436E143" w:rsidR="00B629FD" w:rsidRPr="0008415B" w:rsidRDefault="00B629FD" w:rsidP="00B629FD">
            <w:pPr>
              <w:suppressAutoHyphens w:val="0"/>
              <w:spacing w:line="360" w:lineRule="auto"/>
              <w:jc w:val="both"/>
              <w:rPr>
                <w:rFonts w:ascii="Arial" w:hAnsi="Arial" w:cs="Arial"/>
                <w:sz w:val="24"/>
                <w:szCs w:val="24"/>
              </w:rPr>
            </w:pPr>
            <w:r w:rsidRPr="0008415B">
              <w:rPr>
                <w:rFonts w:ascii="Arial" w:hAnsi="Arial" w:cs="Arial"/>
                <w:sz w:val="24"/>
                <w:szCs w:val="24"/>
              </w:rPr>
              <w:t>Eine erste Nachuntersuchung wird nach 6 Wochen in unserer Poliklinik erfolgen. Es werden Fragebögen n</w:t>
            </w:r>
            <w:r w:rsidR="002D12D4">
              <w:rPr>
                <w:rFonts w:ascii="Arial" w:hAnsi="Arial" w:cs="Arial"/>
                <w:sz w:val="24"/>
                <w:szCs w:val="24"/>
              </w:rPr>
              <w:t>ach Barthel, Tinetti sowie der VAS Score</w:t>
            </w:r>
            <w:r w:rsidRPr="0008415B">
              <w:rPr>
                <w:rFonts w:ascii="Arial" w:hAnsi="Arial" w:cs="Arial"/>
                <w:sz w:val="24"/>
                <w:szCs w:val="24"/>
              </w:rPr>
              <w:t xml:space="preserve"> erhoben.</w:t>
            </w:r>
            <w:r w:rsidR="002D12D4">
              <w:rPr>
                <w:rFonts w:ascii="Arial" w:hAnsi="Arial" w:cs="Arial"/>
                <w:sz w:val="24"/>
                <w:szCs w:val="24"/>
              </w:rPr>
              <w:t xml:space="preserve"> </w:t>
            </w:r>
          </w:p>
          <w:p w14:paraId="43938AAA" w14:textId="77777777" w:rsidR="00B629FD" w:rsidRPr="0008415B" w:rsidRDefault="00B629FD" w:rsidP="00B629FD">
            <w:pPr>
              <w:suppressAutoHyphens w:val="0"/>
              <w:spacing w:line="360" w:lineRule="auto"/>
              <w:jc w:val="both"/>
              <w:rPr>
                <w:rFonts w:ascii="Arial" w:hAnsi="Arial" w:cs="Arial"/>
                <w:sz w:val="24"/>
                <w:szCs w:val="24"/>
              </w:rPr>
            </w:pPr>
          </w:p>
          <w:p w14:paraId="0E3B69B0" w14:textId="0BEB9DA2" w:rsidR="00B629FD" w:rsidRPr="0008415B" w:rsidRDefault="00B629FD" w:rsidP="00B629FD">
            <w:pPr>
              <w:suppressAutoHyphens w:val="0"/>
              <w:spacing w:line="360" w:lineRule="auto"/>
              <w:jc w:val="both"/>
              <w:rPr>
                <w:rFonts w:ascii="Arial" w:hAnsi="Arial" w:cs="Arial"/>
                <w:sz w:val="24"/>
                <w:szCs w:val="24"/>
              </w:rPr>
            </w:pPr>
            <w:r w:rsidRPr="0008415B">
              <w:rPr>
                <w:rFonts w:ascii="Arial" w:hAnsi="Arial" w:cs="Arial"/>
                <w:sz w:val="24"/>
                <w:szCs w:val="24"/>
                <w:u w:val="single"/>
              </w:rPr>
              <w:t>Gruppe II</w:t>
            </w:r>
            <w:r w:rsidRPr="0008415B">
              <w:rPr>
                <w:rFonts w:ascii="Arial" w:hAnsi="Arial" w:cs="Arial"/>
                <w:sz w:val="24"/>
                <w:szCs w:val="24"/>
              </w:rPr>
              <w:t>: Es wird eine analgetische Abdeckung nach dem WHO Stufenschema und eine Mobilisation nach 1-3 Tagen mithilfe der Physiotherapie durchgeführt. Vor Entlassung und nach Belastung wird eine Röntgen-Verlaufskontrolle zum Ausschluss einer groben Dislokation stattfinden. Eine erste klinisch-CT gra</w:t>
            </w:r>
            <w:r w:rsidRPr="007762C8">
              <w:rPr>
                <w:rFonts w:ascii="Arial" w:hAnsi="Arial" w:cs="Arial"/>
                <w:sz w:val="24"/>
                <w:szCs w:val="24"/>
              </w:rPr>
              <w:t>ph</w:t>
            </w:r>
            <w:r w:rsidRPr="0008415B">
              <w:rPr>
                <w:rFonts w:ascii="Arial" w:hAnsi="Arial" w:cs="Arial"/>
                <w:sz w:val="24"/>
                <w:szCs w:val="24"/>
              </w:rPr>
              <w:t>ische Nachuntersuchung wird nach 2 Wochen in unserer Poliklinik erfolgen, falls hier bislang keine Mobilisation möglich war oder</w:t>
            </w:r>
            <w:r w:rsidR="002D12D4">
              <w:rPr>
                <w:rFonts w:ascii="Arial" w:hAnsi="Arial" w:cs="Arial"/>
                <w:sz w:val="24"/>
                <w:szCs w:val="24"/>
              </w:rPr>
              <w:t xml:space="preserve"> weiterhin starke Schmerzen (VAS</w:t>
            </w:r>
            <w:r w:rsidRPr="0008415B">
              <w:rPr>
                <w:rFonts w:ascii="Arial" w:hAnsi="Arial" w:cs="Arial"/>
                <w:sz w:val="24"/>
                <w:szCs w:val="24"/>
              </w:rPr>
              <w:t xml:space="preserve"> &gt;5) vorliegen wird der/die Teilnehmer/in in eine dritte Gruppe (III = </w:t>
            </w:r>
            <w:r w:rsidRPr="0008415B">
              <w:rPr>
                <w:rFonts w:ascii="Arial" w:hAnsi="Arial" w:cs="Arial"/>
                <w:sz w:val="24"/>
                <w:szCs w:val="24"/>
              </w:rPr>
              <w:lastRenderedPageBreak/>
              <w:t>verzögerte operative Therapie) eingeschlossen. Es wird dann eine operative Therapie nach den oben beschriebenen Maßgaben initiiert, der weitere Ablauf ist entsprechend Gruppe I.</w:t>
            </w:r>
          </w:p>
          <w:p w14:paraId="24C11264" w14:textId="767A3D36" w:rsidR="00B629FD" w:rsidRDefault="00B629FD" w:rsidP="00B629FD">
            <w:pPr>
              <w:suppressAutoHyphens w:val="0"/>
              <w:spacing w:line="360" w:lineRule="auto"/>
              <w:jc w:val="both"/>
              <w:rPr>
                <w:rFonts w:ascii="Arial" w:hAnsi="Arial" w:cs="Arial"/>
                <w:sz w:val="24"/>
                <w:szCs w:val="24"/>
              </w:rPr>
            </w:pPr>
            <w:r w:rsidRPr="0008415B">
              <w:rPr>
                <w:rFonts w:ascii="Arial" w:hAnsi="Arial" w:cs="Arial"/>
                <w:sz w:val="24"/>
                <w:szCs w:val="24"/>
              </w:rPr>
              <w:t>Die zweite Untersuchung der Gruppe II wird nach 6 Wochen stattfinden. Es werden Fragebögen nach Barthel, Tinet</w:t>
            </w:r>
            <w:r w:rsidR="002D12D4">
              <w:rPr>
                <w:rFonts w:ascii="Arial" w:hAnsi="Arial" w:cs="Arial"/>
                <w:sz w:val="24"/>
                <w:szCs w:val="24"/>
              </w:rPr>
              <w:t xml:space="preserve">ti sowie der VAS Score </w:t>
            </w:r>
            <w:r w:rsidRPr="0008415B">
              <w:rPr>
                <w:rFonts w:ascii="Arial" w:hAnsi="Arial" w:cs="Arial"/>
                <w:sz w:val="24"/>
                <w:szCs w:val="24"/>
              </w:rPr>
              <w:t>erhoben.</w:t>
            </w:r>
          </w:p>
          <w:p w14:paraId="0F6E3BC8" w14:textId="77777777" w:rsidR="002D12D4" w:rsidRPr="0008415B" w:rsidRDefault="002D12D4" w:rsidP="00B629FD">
            <w:pPr>
              <w:suppressAutoHyphens w:val="0"/>
              <w:spacing w:line="360" w:lineRule="auto"/>
              <w:jc w:val="both"/>
              <w:rPr>
                <w:rFonts w:ascii="Arial" w:hAnsi="Arial" w:cs="Arial"/>
                <w:sz w:val="24"/>
                <w:szCs w:val="24"/>
              </w:rPr>
            </w:pPr>
          </w:p>
          <w:p w14:paraId="1DEB3F5A" w14:textId="77777777" w:rsidR="00B629FD" w:rsidRPr="0008415B" w:rsidRDefault="00B629FD" w:rsidP="00B629FD">
            <w:pPr>
              <w:suppressAutoHyphens w:val="0"/>
              <w:spacing w:line="360" w:lineRule="auto"/>
              <w:jc w:val="both"/>
              <w:rPr>
                <w:rFonts w:ascii="Arial" w:hAnsi="Arial" w:cs="Arial"/>
                <w:sz w:val="24"/>
                <w:szCs w:val="24"/>
              </w:rPr>
            </w:pPr>
            <w:r w:rsidRPr="0008415B">
              <w:rPr>
                <w:rFonts w:ascii="Arial" w:hAnsi="Arial" w:cs="Arial"/>
                <w:sz w:val="24"/>
                <w:szCs w:val="24"/>
              </w:rPr>
              <w:t xml:space="preserve">Für alle Gruppen sind dann Nachuntersuchungen nach 6, 12 und 24 Monaten mit erneuter Erhebung der Scores geplant. </w:t>
            </w:r>
          </w:p>
          <w:p w14:paraId="043EA187" w14:textId="77777777" w:rsidR="00416CF8" w:rsidRPr="0008415B" w:rsidRDefault="00416CF8" w:rsidP="00020C37">
            <w:pPr>
              <w:rPr>
                <w:rFonts w:ascii="Arial" w:hAnsi="Arial" w:cs="Arial"/>
                <w:sz w:val="24"/>
                <w:szCs w:val="24"/>
              </w:rPr>
            </w:pPr>
          </w:p>
        </w:tc>
      </w:tr>
      <w:tr w:rsidR="00416CF8" w:rsidRPr="0008415B" w14:paraId="542717DE" w14:textId="77777777" w:rsidTr="002F2025">
        <w:trPr>
          <w:trHeight w:val="237"/>
        </w:trPr>
        <w:tc>
          <w:tcPr>
            <w:tcW w:w="10062" w:type="dxa"/>
          </w:tcPr>
          <w:p w14:paraId="0CDEA330" w14:textId="77777777" w:rsidR="00416CF8" w:rsidRPr="0008415B" w:rsidRDefault="00416CF8" w:rsidP="00D31A10">
            <w:pPr>
              <w:rPr>
                <w:rFonts w:ascii="Arial" w:hAnsi="Arial" w:cs="Arial"/>
                <w:i/>
                <w:sz w:val="24"/>
                <w:szCs w:val="24"/>
              </w:rPr>
            </w:pPr>
            <w:r w:rsidRPr="0008415B">
              <w:rPr>
                <w:rFonts w:ascii="Arial" w:hAnsi="Arial" w:cs="Arial"/>
                <w:i/>
                <w:sz w:val="24"/>
                <w:szCs w:val="24"/>
              </w:rPr>
              <w:lastRenderedPageBreak/>
              <w:t>Erwartete Ergebnisse (Hypothese):</w:t>
            </w:r>
          </w:p>
        </w:tc>
      </w:tr>
      <w:tr w:rsidR="00416CF8" w:rsidRPr="0008415B" w14:paraId="0CD2B0C3" w14:textId="77777777" w:rsidTr="002F2025">
        <w:trPr>
          <w:trHeight w:val="1259"/>
        </w:trPr>
        <w:tc>
          <w:tcPr>
            <w:tcW w:w="10062" w:type="dxa"/>
          </w:tcPr>
          <w:p w14:paraId="7ACB78A9" w14:textId="77777777" w:rsidR="00E83760" w:rsidRPr="0008415B" w:rsidRDefault="00291462" w:rsidP="00291462">
            <w:pPr>
              <w:suppressAutoHyphens w:val="0"/>
              <w:spacing w:line="360" w:lineRule="auto"/>
              <w:jc w:val="both"/>
              <w:rPr>
                <w:rFonts w:ascii="Arial" w:hAnsi="Arial" w:cs="Arial"/>
                <w:sz w:val="24"/>
                <w:szCs w:val="24"/>
              </w:rPr>
            </w:pPr>
            <w:r w:rsidRPr="0008415B">
              <w:rPr>
                <w:rFonts w:ascii="Arial" w:hAnsi="Arial" w:cs="Arial"/>
                <w:sz w:val="24"/>
                <w:szCs w:val="24"/>
              </w:rPr>
              <w:t>Aufgrund einschlägiger klinischer Erfahrungen wird angenommen, dass der konservative Arm dem operativen langfristig nicht unterlegen sein wird, jedoch der operative Arm einen kurzfristigen positiven analgetischen Effekt aufweist und damit eine Frühmobilisation ermöglicht, welche im geriatrischen Krankengut bei anderen Verletzungen der unteren Extremität Überlebensvorteile ergab.</w:t>
            </w:r>
          </w:p>
          <w:p w14:paraId="6AE0E381" w14:textId="77777777" w:rsidR="00E83B52" w:rsidRPr="0008415B" w:rsidRDefault="00053704" w:rsidP="00291462">
            <w:pPr>
              <w:suppressAutoHyphens w:val="0"/>
              <w:spacing w:line="360" w:lineRule="auto"/>
              <w:jc w:val="both"/>
              <w:rPr>
                <w:rFonts w:ascii="Arial" w:hAnsi="Arial" w:cs="Arial"/>
                <w:sz w:val="24"/>
                <w:szCs w:val="24"/>
              </w:rPr>
            </w:pPr>
            <w:r w:rsidRPr="0008415B">
              <w:rPr>
                <w:rFonts w:ascii="Arial" w:hAnsi="Arial" w:cs="Arial"/>
                <w:sz w:val="24"/>
                <w:szCs w:val="24"/>
              </w:rPr>
              <w:t>Somit</w:t>
            </w:r>
            <w:r w:rsidR="00DE0C27" w:rsidRPr="0008415B">
              <w:rPr>
                <w:rFonts w:ascii="Arial" w:hAnsi="Arial" w:cs="Arial"/>
                <w:sz w:val="24"/>
                <w:szCs w:val="24"/>
              </w:rPr>
              <w:t xml:space="preserve"> gilt als Hypothese, dass</w:t>
            </w:r>
            <w:r w:rsidRPr="0008415B">
              <w:rPr>
                <w:rFonts w:ascii="Arial" w:hAnsi="Arial" w:cs="Arial"/>
                <w:sz w:val="24"/>
                <w:szCs w:val="24"/>
              </w:rPr>
              <w:t xml:space="preserve"> </w:t>
            </w:r>
            <w:r w:rsidR="00DE0C27" w:rsidRPr="0008415B">
              <w:rPr>
                <w:rFonts w:ascii="Arial" w:hAnsi="Arial" w:cs="Arial"/>
                <w:sz w:val="24"/>
                <w:szCs w:val="24"/>
              </w:rPr>
              <w:t>d</w:t>
            </w:r>
            <w:r w:rsidR="00E83B52" w:rsidRPr="0008415B">
              <w:rPr>
                <w:rFonts w:ascii="Arial" w:hAnsi="Arial" w:cs="Arial"/>
                <w:sz w:val="24"/>
                <w:szCs w:val="24"/>
              </w:rPr>
              <w:t>ie operative minimalinvasive perkutane Schraubenosteosynthese die Liegedauer, die Dauer und Intensität der Schmerzen und die damit verbundene Morbidität und Mortalität im Vergleich zu</w:t>
            </w:r>
            <w:r w:rsidR="00DE0C27" w:rsidRPr="0008415B">
              <w:rPr>
                <w:rFonts w:ascii="Arial" w:hAnsi="Arial" w:cs="Arial"/>
                <w:sz w:val="24"/>
                <w:szCs w:val="24"/>
              </w:rPr>
              <w:t>r konservativen Therapie senken wird.</w:t>
            </w:r>
            <w:r w:rsidR="00E83B52" w:rsidRPr="0008415B">
              <w:rPr>
                <w:rFonts w:ascii="Arial" w:hAnsi="Arial" w:cs="Arial"/>
                <w:sz w:val="24"/>
                <w:szCs w:val="24"/>
              </w:rPr>
              <w:t xml:space="preserve"> Ferner wird von einer Verbesserung der Lebensqualität nach operativer Versorgung ausgegangen.</w:t>
            </w:r>
          </w:p>
          <w:p w14:paraId="5084AC4C" w14:textId="1A3C44CA" w:rsidR="00416CF8" w:rsidRPr="0008415B" w:rsidRDefault="00416CF8" w:rsidP="00D31A10">
            <w:pPr>
              <w:rPr>
                <w:rFonts w:ascii="Arial" w:hAnsi="Arial" w:cs="Arial"/>
                <w:sz w:val="24"/>
                <w:szCs w:val="24"/>
              </w:rPr>
            </w:pPr>
          </w:p>
        </w:tc>
      </w:tr>
    </w:tbl>
    <w:p w14:paraId="09D3D174" w14:textId="77777777" w:rsidR="00416CF8" w:rsidRPr="0008415B" w:rsidRDefault="00416CF8" w:rsidP="00D31A10">
      <w:pPr>
        <w:rPr>
          <w:rFonts w:ascii="Arial" w:hAnsi="Arial" w:cs="Arial"/>
          <w:color w:val="000000"/>
          <w:sz w:val="22"/>
        </w:rPr>
      </w:pPr>
    </w:p>
    <w:p w14:paraId="1E1713DA" w14:textId="77777777" w:rsidR="00416CF8" w:rsidRPr="0008415B" w:rsidRDefault="00416CF8" w:rsidP="00D31A10">
      <w:pPr>
        <w:rPr>
          <w:rFonts w:ascii="Arial" w:hAnsi="Arial" w:cs="Arial"/>
          <w:color w:val="000000"/>
          <w:sz w:val="22"/>
        </w:rPr>
      </w:pPr>
    </w:p>
    <w:p w14:paraId="76615B53" w14:textId="77777777" w:rsidR="00416CF8" w:rsidRPr="0008415B" w:rsidRDefault="00416CF8" w:rsidP="00D31A10">
      <w:pPr>
        <w:rPr>
          <w:rFonts w:ascii="Arial" w:hAnsi="Arial" w:cs="Arial"/>
          <w:color w:val="000000"/>
          <w:sz w:val="22"/>
        </w:rPr>
      </w:pPr>
    </w:p>
    <w:p w14:paraId="0FF963C9" w14:textId="77777777" w:rsidR="00416CF8" w:rsidRPr="0008415B" w:rsidRDefault="00416CF8" w:rsidP="00D31A10">
      <w:pPr>
        <w:rPr>
          <w:rFonts w:ascii="Arial" w:hAnsi="Arial" w:cs="Arial"/>
          <w:color w:val="000000"/>
          <w:sz w:val="22"/>
        </w:rPr>
      </w:pPr>
    </w:p>
    <w:p w14:paraId="6D75C765" w14:textId="77777777" w:rsidR="00416CF8" w:rsidRPr="0008415B" w:rsidRDefault="00416CF8" w:rsidP="00D31A10">
      <w:pPr>
        <w:rPr>
          <w:rFonts w:ascii="Arial" w:hAnsi="Arial" w:cs="Arial"/>
          <w:color w:val="000000"/>
          <w:sz w:val="22"/>
        </w:rPr>
      </w:pPr>
    </w:p>
    <w:p w14:paraId="5A6F626E" w14:textId="77777777" w:rsidR="00416CF8" w:rsidRPr="0008415B" w:rsidRDefault="00416CF8" w:rsidP="00D31A10">
      <w:pPr>
        <w:rPr>
          <w:rFonts w:ascii="Arial" w:hAnsi="Arial" w:cs="Arial"/>
          <w:color w:val="000000"/>
          <w:sz w:val="22"/>
        </w:rPr>
      </w:pPr>
    </w:p>
    <w:p w14:paraId="7E1FEFCC" w14:textId="77777777" w:rsidR="00416CF8" w:rsidRPr="0008415B" w:rsidRDefault="00416CF8" w:rsidP="00D31A10">
      <w:pPr>
        <w:rPr>
          <w:rFonts w:ascii="Arial" w:hAnsi="Arial" w:cs="Arial"/>
          <w:color w:val="000000"/>
          <w:sz w:val="22"/>
        </w:rPr>
      </w:pPr>
    </w:p>
    <w:p w14:paraId="2A3F5D25" w14:textId="77777777" w:rsidR="00416CF8" w:rsidRDefault="00416CF8" w:rsidP="00D31A10">
      <w:pPr>
        <w:rPr>
          <w:rFonts w:ascii="Arial" w:hAnsi="Arial" w:cs="Arial"/>
          <w:color w:val="000000"/>
          <w:sz w:val="22"/>
        </w:rPr>
      </w:pPr>
    </w:p>
    <w:p w14:paraId="7BDD1BF9" w14:textId="77777777" w:rsidR="008B5EAE" w:rsidRDefault="008B5EAE" w:rsidP="00D31A10">
      <w:pPr>
        <w:rPr>
          <w:rFonts w:ascii="Arial" w:hAnsi="Arial" w:cs="Arial"/>
          <w:color w:val="000000"/>
          <w:sz w:val="22"/>
        </w:rPr>
      </w:pPr>
    </w:p>
    <w:p w14:paraId="6C8728A6" w14:textId="77777777" w:rsidR="008B5EAE" w:rsidRDefault="008B5EAE" w:rsidP="00D31A10">
      <w:pPr>
        <w:rPr>
          <w:rFonts w:ascii="Arial" w:hAnsi="Arial" w:cs="Arial"/>
          <w:color w:val="000000"/>
          <w:sz w:val="22"/>
        </w:rPr>
      </w:pPr>
    </w:p>
    <w:p w14:paraId="6B67B063" w14:textId="77777777" w:rsidR="008B5EAE" w:rsidRDefault="008B5EAE" w:rsidP="00D31A10">
      <w:pPr>
        <w:rPr>
          <w:rFonts w:ascii="Arial" w:hAnsi="Arial" w:cs="Arial"/>
          <w:color w:val="000000"/>
          <w:sz w:val="22"/>
        </w:rPr>
      </w:pPr>
    </w:p>
    <w:p w14:paraId="03E6C400" w14:textId="77777777" w:rsidR="008B5EAE" w:rsidRDefault="008B5EAE" w:rsidP="00D31A10">
      <w:pPr>
        <w:rPr>
          <w:rFonts w:ascii="Arial" w:hAnsi="Arial" w:cs="Arial"/>
          <w:color w:val="000000"/>
          <w:sz w:val="22"/>
        </w:rPr>
      </w:pPr>
    </w:p>
    <w:p w14:paraId="46F9D531" w14:textId="77777777" w:rsidR="008B5EAE" w:rsidRDefault="008B5EAE" w:rsidP="00D31A10">
      <w:pPr>
        <w:rPr>
          <w:rFonts w:ascii="Arial" w:hAnsi="Arial" w:cs="Arial"/>
          <w:color w:val="000000"/>
          <w:sz w:val="22"/>
        </w:rPr>
      </w:pPr>
    </w:p>
    <w:p w14:paraId="7974A48B" w14:textId="77777777" w:rsidR="008B5EAE" w:rsidRPr="0008415B" w:rsidRDefault="008B5EAE" w:rsidP="00D31A10">
      <w:pPr>
        <w:rPr>
          <w:rFonts w:ascii="Arial" w:hAnsi="Arial" w:cs="Arial"/>
          <w:color w:val="000000"/>
          <w:sz w:val="22"/>
        </w:rPr>
      </w:pPr>
    </w:p>
    <w:p w14:paraId="5BE52DFB" w14:textId="77777777" w:rsidR="00964203" w:rsidRPr="0008415B" w:rsidRDefault="00964203" w:rsidP="00D31A10">
      <w:pPr>
        <w:rPr>
          <w:rFonts w:ascii="Arial" w:hAnsi="Arial" w:cs="Arial"/>
          <w:color w:val="000000"/>
          <w:sz w:val="22"/>
        </w:rPr>
      </w:pPr>
    </w:p>
    <w:p w14:paraId="0221D259" w14:textId="77777777" w:rsidR="00B626C2" w:rsidRPr="0008415B" w:rsidRDefault="00B626C2" w:rsidP="00D31A10">
      <w:pPr>
        <w:rPr>
          <w:rFonts w:ascii="Arial" w:hAnsi="Arial" w:cs="Arial"/>
        </w:rPr>
      </w:pPr>
    </w:p>
    <w:p w14:paraId="668F63D7" w14:textId="77777777" w:rsidR="00691EB4" w:rsidRPr="0008415B" w:rsidRDefault="00691EB4" w:rsidP="00D31A10">
      <w:pPr>
        <w:rPr>
          <w:rFonts w:ascii="Arial" w:hAnsi="Arial" w:cs="Arial"/>
        </w:rPr>
      </w:pPr>
    </w:p>
    <w:p w14:paraId="25F62233" w14:textId="77777777" w:rsidR="008A5A16" w:rsidRPr="0008415B" w:rsidRDefault="008A5A16" w:rsidP="00D31A10">
      <w:pPr>
        <w:rPr>
          <w:rFonts w:ascii="Arial" w:hAnsi="Arial" w:cs="Arial"/>
          <w:szCs w:val="22"/>
        </w:rPr>
      </w:pPr>
    </w:p>
    <w:p w14:paraId="6E8AC901" w14:textId="77777777" w:rsidR="008A5A16" w:rsidRPr="0008415B" w:rsidRDefault="00C071AB" w:rsidP="00D31A10">
      <w:pPr>
        <w:rPr>
          <w:rFonts w:ascii="Arial" w:hAnsi="Arial" w:cs="Arial"/>
          <w:sz w:val="24"/>
          <w:szCs w:val="24"/>
        </w:rPr>
      </w:pPr>
      <w:r w:rsidRPr="0008415B">
        <w:rPr>
          <w:rFonts w:ascii="Arial" w:hAnsi="Arial" w:cs="Arial"/>
          <w:sz w:val="24"/>
          <w:szCs w:val="24"/>
        </w:rPr>
        <w:t xml:space="preserve">Mit freundlichen Grüßen </w:t>
      </w:r>
    </w:p>
    <w:p w14:paraId="5D4E1A55" w14:textId="77777777" w:rsidR="008A5A16" w:rsidRPr="0008415B" w:rsidRDefault="008A5A16" w:rsidP="00D31A10">
      <w:pPr>
        <w:rPr>
          <w:rFonts w:ascii="Arial" w:hAnsi="Arial" w:cs="Arial"/>
          <w:szCs w:val="22"/>
        </w:rPr>
      </w:pPr>
    </w:p>
    <w:p w14:paraId="1855092C" w14:textId="77777777" w:rsidR="008A5A16" w:rsidRPr="0008415B" w:rsidRDefault="008A5A16" w:rsidP="00D31A10">
      <w:pPr>
        <w:rPr>
          <w:rFonts w:ascii="Arial" w:hAnsi="Arial" w:cs="Arial"/>
          <w:szCs w:val="22"/>
        </w:rPr>
      </w:pPr>
    </w:p>
    <w:p w14:paraId="114D8BBE" w14:textId="77777777" w:rsidR="009820AA" w:rsidRPr="0008415B" w:rsidRDefault="009820AA" w:rsidP="009820AA">
      <w:pPr>
        <w:tabs>
          <w:tab w:val="num" w:pos="900"/>
        </w:tabs>
        <w:jc w:val="both"/>
        <w:rPr>
          <w:rFonts w:ascii="Arial" w:hAnsi="Arial" w:cs="Arial"/>
          <w:sz w:val="24"/>
          <w:szCs w:val="24"/>
        </w:rPr>
      </w:pPr>
      <w:r w:rsidRPr="0008415B">
        <w:rPr>
          <w:rFonts w:ascii="Arial" w:hAnsi="Arial" w:cs="Arial"/>
          <w:sz w:val="24"/>
          <w:szCs w:val="24"/>
        </w:rPr>
        <w:t xml:space="preserve">PD Dr. med. </w:t>
      </w:r>
      <w:r w:rsidR="00E83760" w:rsidRPr="0008415B">
        <w:rPr>
          <w:rFonts w:ascii="Arial" w:hAnsi="Arial" w:cs="Arial"/>
          <w:sz w:val="24"/>
          <w:szCs w:val="24"/>
        </w:rPr>
        <w:t>Maximilian Hartel</w:t>
      </w:r>
      <w:r w:rsidR="00E83760" w:rsidRPr="0008415B">
        <w:rPr>
          <w:rFonts w:ascii="Arial" w:hAnsi="Arial" w:cs="Arial"/>
          <w:sz w:val="24"/>
          <w:szCs w:val="24"/>
        </w:rPr>
        <w:tab/>
      </w:r>
      <w:r w:rsidRPr="0008415B">
        <w:rPr>
          <w:rFonts w:ascii="Arial" w:hAnsi="Arial" w:cs="Arial"/>
          <w:b/>
          <w:sz w:val="24"/>
          <w:szCs w:val="24"/>
        </w:rPr>
        <w:tab/>
      </w:r>
      <w:r w:rsidRPr="0008415B">
        <w:rPr>
          <w:rFonts w:ascii="Arial" w:hAnsi="Arial" w:cs="Arial"/>
          <w:b/>
          <w:sz w:val="24"/>
          <w:szCs w:val="24"/>
        </w:rPr>
        <w:tab/>
      </w:r>
      <w:r w:rsidRPr="0008415B">
        <w:rPr>
          <w:rFonts w:ascii="Arial" w:hAnsi="Arial" w:cs="Arial"/>
          <w:sz w:val="24"/>
          <w:szCs w:val="24"/>
        </w:rPr>
        <w:t xml:space="preserve">Dr. med. </w:t>
      </w:r>
      <w:r w:rsidR="00E83760" w:rsidRPr="0008415B">
        <w:rPr>
          <w:rFonts w:ascii="Arial" w:hAnsi="Arial" w:cs="Arial"/>
          <w:sz w:val="24"/>
          <w:szCs w:val="24"/>
        </w:rPr>
        <w:t>Darius Thiesen</w:t>
      </w:r>
    </w:p>
    <w:p w14:paraId="66F6B8AF" w14:textId="33C31F9B" w:rsidR="009820AA" w:rsidRPr="0008415B" w:rsidRDefault="009820AA" w:rsidP="009820AA">
      <w:pPr>
        <w:ind w:right="-143"/>
        <w:rPr>
          <w:rFonts w:ascii="Arial" w:hAnsi="Arial" w:cs="Arial"/>
          <w:sz w:val="24"/>
          <w:szCs w:val="24"/>
        </w:rPr>
      </w:pPr>
      <w:r w:rsidRPr="0008415B">
        <w:rPr>
          <w:rFonts w:ascii="Arial" w:hAnsi="Arial" w:cs="Arial"/>
          <w:sz w:val="24"/>
          <w:szCs w:val="24"/>
        </w:rPr>
        <w:t>Oberarz</w:t>
      </w:r>
      <w:r w:rsidR="00B629B2">
        <w:rPr>
          <w:rFonts w:ascii="Arial" w:hAnsi="Arial" w:cs="Arial"/>
          <w:sz w:val="24"/>
          <w:szCs w:val="24"/>
        </w:rPr>
        <w:t>t, Klinik für Unfallchirurgie</w:t>
      </w:r>
      <w:r w:rsidR="00B629B2">
        <w:rPr>
          <w:rFonts w:ascii="Arial" w:hAnsi="Arial" w:cs="Arial"/>
          <w:sz w:val="24"/>
          <w:szCs w:val="24"/>
        </w:rPr>
        <w:tab/>
      </w:r>
      <w:r w:rsidR="00B629B2">
        <w:rPr>
          <w:rFonts w:ascii="Arial" w:hAnsi="Arial" w:cs="Arial"/>
          <w:sz w:val="24"/>
          <w:szCs w:val="24"/>
        </w:rPr>
        <w:tab/>
      </w:r>
      <w:r w:rsidR="00E83760" w:rsidRPr="0008415B">
        <w:rPr>
          <w:rFonts w:ascii="Arial" w:hAnsi="Arial" w:cs="Arial"/>
          <w:sz w:val="24"/>
          <w:szCs w:val="24"/>
        </w:rPr>
        <w:t>Assistenzarzt</w:t>
      </w:r>
      <w:r w:rsidRPr="0008415B">
        <w:rPr>
          <w:rFonts w:ascii="Arial" w:hAnsi="Arial" w:cs="Arial"/>
          <w:sz w:val="24"/>
          <w:szCs w:val="24"/>
        </w:rPr>
        <w:t>, Klinik für Unfallchirurgie</w:t>
      </w:r>
    </w:p>
    <w:p w14:paraId="2218086A" w14:textId="007B1748" w:rsidR="002F34C5" w:rsidRDefault="009820AA" w:rsidP="002F34C5">
      <w:pPr>
        <w:ind w:right="-143"/>
        <w:rPr>
          <w:rFonts w:ascii="Arial" w:hAnsi="Arial" w:cs="Arial"/>
          <w:sz w:val="24"/>
          <w:szCs w:val="24"/>
        </w:rPr>
      </w:pPr>
      <w:r w:rsidRPr="0008415B">
        <w:rPr>
          <w:rFonts w:ascii="Arial" w:hAnsi="Arial" w:cs="Arial"/>
          <w:sz w:val="24"/>
          <w:szCs w:val="24"/>
        </w:rPr>
        <w:t>Universitätsklinik Hamburg-Eppendorf</w:t>
      </w:r>
      <w:r w:rsidRPr="0008415B">
        <w:rPr>
          <w:rFonts w:ascii="Arial" w:hAnsi="Arial" w:cs="Arial"/>
          <w:sz w:val="24"/>
          <w:szCs w:val="24"/>
        </w:rPr>
        <w:tab/>
      </w:r>
      <w:r w:rsidRPr="0008415B">
        <w:rPr>
          <w:rFonts w:ascii="Arial" w:hAnsi="Arial" w:cs="Arial"/>
          <w:sz w:val="24"/>
          <w:szCs w:val="24"/>
        </w:rPr>
        <w:tab/>
        <w:t>Universitätsklinik Hamburg</w:t>
      </w:r>
      <w:r w:rsidR="00A7227A">
        <w:rPr>
          <w:rFonts w:ascii="Arial" w:hAnsi="Arial" w:cs="Arial"/>
          <w:sz w:val="24"/>
          <w:szCs w:val="24"/>
        </w:rPr>
        <w:t>-Eppendorf</w:t>
      </w:r>
    </w:p>
    <w:p w14:paraId="2FA0621F" w14:textId="77777777" w:rsidR="00A7227A" w:rsidRPr="0008415B" w:rsidRDefault="00A7227A" w:rsidP="00C475C2">
      <w:pPr>
        <w:rPr>
          <w:rFonts w:ascii="Arial" w:hAnsi="Arial" w:cs="Arial"/>
          <w:color w:val="000000"/>
          <w:szCs w:val="22"/>
        </w:rPr>
      </w:pPr>
    </w:p>
    <w:sectPr w:rsidR="00A7227A" w:rsidRPr="0008415B" w:rsidSect="00C475C2">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5" w:h="16837"/>
      <w:pgMar w:top="680" w:right="1418" w:bottom="1418" w:left="1418" w:header="45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DEA72" w14:textId="77777777" w:rsidR="006537F9" w:rsidRDefault="006537F9">
      <w:r>
        <w:separator/>
      </w:r>
    </w:p>
  </w:endnote>
  <w:endnote w:type="continuationSeparator" w:id="0">
    <w:p w14:paraId="723227AA" w14:textId="77777777" w:rsidR="006537F9" w:rsidRDefault="00653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61ED7" w14:textId="77777777" w:rsidR="007762C8" w:rsidRDefault="007762C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2EFB2" w14:textId="2B812C74" w:rsidR="008A16E4" w:rsidRDefault="008A16E4" w:rsidP="008A16E4">
    <w:r>
      <w:t>V</w:t>
    </w:r>
    <w:r w:rsidR="004501A8">
      <w:t>ersion 2, 29.05</w:t>
    </w:r>
    <w:r>
      <w:t>.2017</w:t>
    </w:r>
    <w:r>
      <w:tab/>
    </w:r>
  </w:p>
  <w:p w14:paraId="4AEA8BEB" w14:textId="77777777" w:rsidR="008A16E4" w:rsidRDefault="008A16E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622E99" w14:textId="2078B655" w:rsidR="00051EA6" w:rsidRDefault="008A16E4">
    <w:r>
      <w:t>V</w:t>
    </w:r>
    <w:r w:rsidR="004501A8">
      <w:t>ersion 2, 29.05</w:t>
    </w:r>
    <w:r>
      <w:t>.2017</w:t>
    </w:r>
    <w:r>
      <w:tab/>
    </w:r>
  </w:p>
  <w:p w14:paraId="0C6AE851" w14:textId="77777777" w:rsidR="00051EA6" w:rsidRDefault="00051EA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CCD3C7" w14:textId="77777777" w:rsidR="006537F9" w:rsidRDefault="006537F9">
      <w:r>
        <w:separator/>
      </w:r>
    </w:p>
  </w:footnote>
  <w:footnote w:type="continuationSeparator" w:id="0">
    <w:p w14:paraId="1151D7F4" w14:textId="77777777" w:rsidR="006537F9" w:rsidRDefault="00653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BE9760" w14:textId="77777777" w:rsidR="007762C8" w:rsidRDefault="007762C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1F7A2" w14:textId="77777777" w:rsidR="00051EA6" w:rsidRDefault="00051EA6"/>
  <w:tbl>
    <w:tblPr>
      <w:tblW w:w="0" w:type="auto"/>
      <w:tblLayout w:type="fixed"/>
      <w:tblCellMar>
        <w:left w:w="0" w:type="dxa"/>
        <w:right w:w="0" w:type="dxa"/>
      </w:tblCellMar>
      <w:tblLook w:val="0000" w:firstRow="0" w:lastRow="0" w:firstColumn="0" w:lastColumn="0" w:noHBand="0" w:noVBand="0"/>
    </w:tblPr>
    <w:tblGrid>
      <w:gridCol w:w="7938"/>
      <w:gridCol w:w="1985"/>
    </w:tblGrid>
    <w:tr w:rsidR="00051EA6" w14:paraId="6E5402AB" w14:textId="77777777">
      <w:tc>
        <w:tcPr>
          <w:tcW w:w="7938" w:type="dxa"/>
        </w:tcPr>
        <w:p w14:paraId="06D5FA91" w14:textId="77777777" w:rsidR="00051EA6" w:rsidRDefault="00051EA6">
          <w:pPr>
            <w:pStyle w:val="Kopfzeile"/>
            <w:tabs>
              <w:tab w:val="clear" w:pos="9072"/>
              <w:tab w:val="right" w:pos="9923"/>
            </w:tabs>
            <w:snapToGrid w:val="0"/>
            <w:rPr>
              <w:b/>
              <w:sz w:val="22"/>
            </w:rPr>
          </w:pPr>
        </w:p>
      </w:tc>
      <w:tc>
        <w:tcPr>
          <w:tcW w:w="1985" w:type="dxa"/>
        </w:tcPr>
        <w:p w14:paraId="59FA31C4" w14:textId="77777777" w:rsidR="00051EA6" w:rsidRDefault="00051EA6">
          <w:pPr>
            <w:pStyle w:val="Kopfzeile"/>
            <w:snapToGrid w:val="0"/>
            <w:jc w:val="right"/>
          </w:pPr>
          <w:r>
            <w:rPr>
              <w:sz w:val="22"/>
            </w:rPr>
            <w:t xml:space="preserve">Seite </w:t>
          </w:r>
          <w:r>
            <w:rPr>
              <w:rStyle w:val="Seitenzahl"/>
            </w:rPr>
            <w:fldChar w:fldCharType="begin"/>
          </w:r>
          <w:r>
            <w:rPr>
              <w:rStyle w:val="Seitenzahl"/>
            </w:rPr>
            <w:instrText xml:space="preserve"> </w:instrText>
          </w:r>
          <w:r w:rsidR="00CF1259">
            <w:rPr>
              <w:rStyle w:val="Seitenzahl"/>
            </w:rPr>
            <w:instrText>PAGE</w:instrText>
          </w:r>
          <w:r>
            <w:rPr>
              <w:rStyle w:val="Seitenzahl"/>
            </w:rPr>
            <w:instrText xml:space="preserve"> </w:instrText>
          </w:r>
          <w:r>
            <w:rPr>
              <w:rStyle w:val="Seitenzahl"/>
            </w:rPr>
            <w:fldChar w:fldCharType="separate"/>
          </w:r>
          <w:r w:rsidR="004501A8">
            <w:rPr>
              <w:rStyle w:val="Seitenzahl"/>
              <w:noProof/>
            </w:rPr>
            <w:t>6</w:t>
          </w:r>
          <w:r>
            <w:rPr>
              <w:rStyle w:val="Seitenzahl"/>
            </w:rPr>
            <w:fldChar w:fldCharType="end"/>
          </w:r>
        </w:p>
      </w:tc>
    </w:tr>
  </w:tbl>
  <w:p w14:paraId="27F74B7D" w14:textId="77777777" w:rsidR="00051EA6" w:rsidRDefault="00051EA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3B891" w14:textId="77777777" w:rsidR="00051EA6" w:rsidRDefault="00885BFD">
    <w:pPr>
      <w:pStyle w:val="Kopfzeile"/>
    </w:pPr>
    <w:r>
      <w:rPr>
        <w:noProof/>
        <w:lang w:eastAsia="de-DE"/>
      </w:rPr>
      <mc:AlternateContent>
        <mc:Choice Requires="wps">
          <w:drawing>
            <wp:anchor distT="0" distB="0" distL="114300" distR="114300" simplePos="0" relativeHeight="251657728" behindDoc="1" locked="0" layoutInCell="1" allowOverlap="1" wp14:anchorId="68FB6955" wp14:editId="1004E083">
              <wp:simplePos x="0" y="0"/>
              <wp:positionH relativeFrom="column">
                <wp:posOffset>-685165</wp:posOffset>
              </wp:positionH>
              <wp:positionV relativeFrom="paragraph">
                <wp:posOffset>3495675</wp:posOffset>
              </wp:positionV>
              <wp:extent cx="228600" cy="0"/>
              <wp:effectExtent l="51435" t="53975" r="62865" b="6032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787FCF12" id="Line 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95pt,275.25pt" to="-35.95pt,275.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" strokeweight=".18mm">
              <v:stroke joinstyle="miter"/>
              <v:shadow opacity="49150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CFB33A4"/>
    <w:multiLevelType w:val="hybridMultilevel"/>
    <w:tmpl w:val="64B023B0"/>
    <w:lvl w:ilvl="0" w:tplc="7BBA1030">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6C54277"/>
    <w:multiLevelType w:val="hybridMultilevel"/>
    <w:tmpl w:val="20F0E97C"/>
    <w:lvl w:ilvl="0" w:tplc="A8E6FC00">
      <w:start w:val="1"/>
      <w:numFmt w:val="decimal"/>
      <w:lvlText w:val="%1."/>
      <w:lvlJc w:val="left"/>
      <w:pPr>
        <w:ind w:left="720" w:hanging="360"/>
      </w:pPr>
      <w:rPr>
        <w:rFonts w:ascii="Calibri" w:hAnsi="Calibri" w:cs="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DB04FF"/>
    <w:multiLevelType w:val="hybridMultilevel"/>
    <w:tmpl w:val="936AD7AA"/>
    <w:lvl w:ilvl="0" w:tplc="36C23B62">
      <w:start w:val="12"/>
      <w:numFmt w:val="bullet"/>
      <w:lvlText w:val="-"/>
      <w:lvlJc w:val="left"/>
      <w:pPr>
        <w:ind w:left="1068" w:hanging="360"/>
      </w:pPr>
      <w:rPr>
        <w:rFonts w:ascii="Arial" w:eastAsia="Times New Roman" w:hAnsi="Arial" w:cs="Arial" w:hint="default"/>
      </w:rPr>
    </w:lvl>
    <w:lvl w:ilvl="1" w:tplc="04070003" w:tentative="1">
      <w:start w:val="1"/>
      <w:numFmt w:val="bullet"/>
      <w:lvlText w:val="o"/>
      <w:lvlJc w:val="left"/>
      <w:pPr>
        <w:ind w:left="1788" w:hanging="360"/>
      </w:pPr>
      <w:rPr>
        <w:rFonts w:ascii="Courier New" w:hAnsi="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25E16ADA"/>
    <w:multiLevelType w:val="multilevel"/>
    <w:tmpl w:val="64B023B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30641BED"/>
    <w:multiLevelType w:val="multilevel"/>
    <w:tmpl w:val="9CE0C764"/>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674"/>
        </w:tabs>
        <w:ind w:left="674"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50D71D07"/>
    <w:multiLevelType w:val="hybridMultilevel"/>
    <w:tmpl w:val="2AEE7332"/>
    <w:lvl w:ilvl="0" w:tplc="0407000F">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885373B"/>
    <w:multiLevelType w:val="hybridMultilevel"/>
    <w:tmpl w:val="A224A5CA"/>
    <w:lvl w:ilvl="0" w:tplc="51AE12B8">
      <w:start w:val="12"/>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595B4DEB"/>
    <w:multiLevelType w:val="multilevel"/>
    <w:tmpl w:val="6C92B8DA"/>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5AAB19A6"/>
    <w:multiLevelType w:val="multilevel"/>
    <w:tmpl w:val="32FC7B6A"/>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5FE9284A"/>
    <w:multiLevelType w:val="singleLevel"/>
    <w:tmpl w:val="0407000F"/>
    <w:lvl w:ilvl="0">
      <w:start w:val="1"/>
      <w:numFmt w:val="decimal"/>
      <w:lvlText w:val="%1."/>
      <w:lvlJc w:val="left"/>
      <w:pPr>
        <w:tabs>
          <w:tab w:val="num" w:pos="360"/>
        </w:tabs>
        <w:ind w:left="360" w:hanging="360"/>
      </w:pPr>
    </w:lvl>
  </w:abstractNum>
  <w:abstractNum w:abstractNumId="11" w15:restartNumberingAfterBreak="0">
    <w:nsid w:val="6EDE1AA1"/>
    <w:multiLevelType w:val="multilevel"/>
    <w:tmpl w:val="88D0237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796731B4"/>
    <w:multiLevelType w:val="hybridMultilevel"/>
    <w:tmpl w:val="1C9A9C22"/>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4"/>
  </w:num>
  <w:num w:numId="4">
    <w:abstractNumId w:val="11"/>
  </w:num>
  <w:num w:numId="5">
    <w:abstractNumId w:val="9"/>
  </w:num>
  <w:num w:numId="6">
    <w:abstractNumId w:val="8"/>
  </w:num>
  <w:num w:numId="7">
    <w:abstractNumId w:val="12"/>
  </w:num>
  <w:num w:numId="8">
    <w:abstractNumId w:val="5"/>
  </w:num>
  <w:num w:numId="9">
    <w:abstractNumId w:val="10"/>
  </w:num>
  <w:num w:numId="10">
    <w:abstractNumId w:val="6"/>
  </w:num>
  <w:num w:numId="11">
    <w:abstractNumId w:val="2"/>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232"/>
    <w:rsid w:val="00000A84"/>
    <w:rsid w:val="000021D9"/>
    <w:rsid w:val="00020C37"/>
    <w:rsid w:val="00027412"/>
    <w:rsid w:val="00032246"/>
    <w:rsid w:val="00040D1A"/>
    <w:rsid w:val="0004754D"/>
    <w:rsid w:val="00051138"/>
    <w:rsid w:val="00051EA6"/>
    <w:rsid w:val="00053704"/>
    <w:rsid w:val="00055EDC"/>
    <w:rsid w:val="00064F83"/>
    <w:rsid w:val="00081A06"/>
    <w:rsid w:val="0008415B"/>
    <w:rsid w:val="00087522"/>
    <w:rsid w:val="00096B0B"/>
    <w:rsid w:val="000A0B7A"/>
    <w:rsid w:val="000A19F7"/>
    <w:rsid w:val="000B248C"/>
    <w:rsid w:val="000B2A7A"/>
    <w:rsid w:val="000B5974"/>
    <w:rsid w:val="000C7644"/>
    <w:rsid w:val="000D1D7A"/>
    <w:rsid w:val="000D20C8"/>
    <w:rsid w:val="000D7ECB"/>
    <w:rsid w:val="000E36B2"/>
    <w:rsid w:val="000E6B47"/>
    <w:rsid w:val="000E713E"/>
    <w:rsid w:val="00102240"/>
    <w:rsid w:val="001266F9"/>
    <w:rsid w:val="00127ABE"/>
    <w:rsid w:val="0013711E"/>
    <w:rsid w:val="001413F0"/>
    <w:rsid w:val="00147720"/>
    <w:rsid w:val="00152AB1"/>
    <w:rsid w:val="00152B20"/>
    <w:rsid w:val="0016077A"/>
    <w:rsid w:val="00165F20"/>
    <w:rsid w:val="00173E96"/>
    <w:rsid w:val="00175630"/>
    <w:rsid w:val="00185BD6"/>
    <w:rsid w:val="001860EA"/>
    <w:rsid w:val="0019454A"/>
    <w:rsid w:val="001C24CD"/>
    <w:rsid w:val="001C2ADC"/>
    <w:rsid w:val="001C72E2"/>
    <w:rsid w:val="001F7D30"/>
    <w:rsid w:val="002120E3"/>
    <w:rsid w:val="002159F5"/>
    <w:rsid w:val="0021694A"/>
    <w:rsid w:val="00216B0B"/>
    <w:rsid w:val="0022450D"/>
    <w:rsid w:val="00236691"/>
    <w:rsid w:val="00236CA1"/>
    <w:rsid w:val="002467BF"/>
    <w:rsid w:val="002500E5"/>
    <w:rsid w:val="002523AF"/>
    <w:rsid w:val="00270EC5"/>
    <w:rsid w:val="00271B1D"/>
    <w:rsid w:val="0028029E"/>
    <w:rsid w:val="00285665"/>
    <w:rsid w:val="00291462"/>
    <w:rsid w:val="002B2788"/>
    <w:rsid w:val="002D12D4"/>
    <w:rsid w:val="002D32A1"/>
    <w:rsid w:val="002E065C"/>
    <w:rsid w:val="002F2025"/>
    <w:rsid w:val="002F34C5"/>
    <w:rsid w:val="002F5390"/>
    <w:rsid w:val="002F7AEA"/>
    <w:rsid w:val="003134AD"/>
    <w:rsid w:val="0031454D"/>
    <w:rsid w:val="00314E1D"/>
    <w:rsid w:val="00323107"/>
    <w:rsid w:val="00325B64"/>
    <w:rsid w:val="003403E4"/>
    <w:rsid w:val="00340D6D"/>
    <w:rsid w:val="00340D8E"/>
    <w:rsid w:val="00345232"/>
    <w:rsid w:val="00345785"/>
    <w:rsid w:val="00346ED0"/>
    <w:rsid w:val="00353E99"/>
    <w:rsid w:val="00357B7D"/>
    <w:rsid w:val="00365528"/>
    <w:rsid w:val="003736E2"/>
    <w:rsid w:val="00384F40"/>
    <w:rsid w:val="003868C6"/>
    <w:rsid w:val="00391A7F"/>
    <w:rsid w:val="003B1AE7"/>
    <w:rsid w:val="003B71E3"/>
    <w:rsid w:val="003C59D0"/>
    <w:rsid w:val="003D19C5"/>
    <w:rsid w:val="003E372E"/>
    <w:rsid w:val="003F1465"/>
    <w:rsid w:val="003F16B6"/>
    <w:rsid w:val="003F3908"/>
    <w:rsid w:val="0040136E"/>
    <w:rsid w:val="00407432"/>
    <w:rsid w:val="00410CC7"/>
    <w:rsid w:val="00412F74"/>
    <w:rsid w:val="00416CF8"/>
    <w:rsid w:val="00427F53"/>
    <w:rsid w:val="0043179E"/>
    <w:rsid w:val="00434C28"/>
    <w:rsid w:val="004501A8"/>
    <w:rsid w:val="00461970"/>
    <w:rsid w:val="00470080"/>
    <w:rsid w:val="00471291"/>
    <w:rsid w:val="0047327E"/>
    <w:rsid w:val="00477F59"/>
    <w:rsid w:val="00480CBA"/>
    <w:rsid w:val="00494E11"/>
    <w:rsid w:val="004974B2"/>
    <w:rsid w:val="004B0B37"/>
    <w:rsid w:val="004B5ADC"/>
    <w:rsid w:val="004B6036"/>
    <w:rsid w:val="004D1433"/>
    <w:rsid w:val="004F10C6"/>
    <w:rsid w:val="00503BE9"/>
    <w:rsid w:val="00506CDA"/>
    <w:rsid w:val="005121C2"/>
    <w:rsid w:val="00515BF4"/>
    <w:rsid w:val="00522C88"/>
    <w:rsid w:val="00524568"/>
    <w:rsid w:val="00525567"/>
    <w:rsid w:val="00533500"/>
    <w:rsid w:val="0053505B"/>
    <w:rsid w:val="0054061F"/>
    <w:rsid w:val="00554C51"/>
    <w:rsid w:val="005609D3"/>
    <w:rsid w:val="00562BF1"/>
    <w:rsid w:val="0056414D"/>
    <w:rsid w:val="0057715C"/>
    <w:rsid w:val="00582002"/>
    <w:rsid w:val="00591325"/>
    <w:rsid w:val="005B7A8C"/>
    <w:rsid w:val="005C0E87"/>
    <w:rsid w:val="005C2C7E"/>
    <w:rsid w:val="005D1E91"/>
    <w:rsid w:val="005D3C5B"/>
    <w:rsid w:val="005D57FF"/>
    <w:rsid w:val="005D6B54"/>
    <w:rsid w:val="005E7214"/>
    <w:rsid w:val="005F51B3"/>
    <w:rsid w:val="0060329C"/>
    <w:rsid w:val="00605C82"/>
    <w:rsid w:val="0061154D"/>
    <w:rsid w:val="006244C4"/>
    <w:rsid w:val="00626F4E"/>
    <w:rsid w:val="00632C13"/>
    <w:rsid w:val="00633644"/>
    <w:rsid w:val="00636D1A"/>
    <w:rsid w:val="006461E7"/>
    <w:rsid w:val="006537F9"/>
    <w:rsid w:val="006554B0"/>
    <w:rsid w:val="006561B4"/>
    <w:rsid w:val="00664FCC"/>
    <w:rsid w:val="00665F20"/>
    <w:rsid w:val="00671BD7"/>
    <w:rsid w:val="006736B1"/>
    <w:rsid w:val="00680556"/>
    <w:rsid w:val="00684EAB"/>
    <w:rsid w:val="00685486"/>
    <w:rsid w:val="00687AE7"/>
    <w:rsid w:val="00691EB4"/>
    <w:rsid w:val="00693F3B"/>
    <w:rsid w:val="006A0E51"/>
    <w:rsid w:val="006A192D"/>
    <w:rsid w:val="006A1935"/>
    <w:rsid w:val="006A1AE1"/>
    <w:rsid w:val="006A3DEA"/>
    <w:rsid w:val="006A691C"/>
    <w:rsid w:val="006A76A4"/>
    <w:rsid w:val="006B1AC5"/>
    <w:rsid w:val="006B1B8A"/>
    <w:rsid w:val="006B591E"/>
    <w:rsid w:val="006D54D2"/>
    <w:rsid w:val="006F18C6"/>
    <w:rsid w:val="006F4520"/>
    <w:rsid w:val="006F4EAC"/>
    <w:rsid w:val="006F61E4"/>
    <w:rsid w:val="00704D06"/>
    <w:rsid w:val="00706D96"/>
    <w:rsid w:val="00725EBE"/>
    <w:rsid w:val="00733C7E"/>
    <w:rsid w:val="0074012F"/>
    <w:rsid w:val="00746F6F"/>
    <w:rsid w:val="00750FB3"/>
    <w:rsid w:val="0075687F"/>
    <w:rsid w:val="00762A4E"/>
    <w:rsid w:val="0076492D"/>
    <w:rsid w:val="00772C02"/>
    <w:rsid w:val="007762C8"/>
    <w:rsid w:val="007809B5"/>
    <w:rsid w:val="007869EE"/>
    <w:rsid w:val="00787D54"/>
    <w:rsid w:val="00790827"/>
    <w:rsid w:val="00790EAD"/>
    <w:rsid w:val="007A12F1"/>
    <w:rsid w:val="007A38B9"/>
    <w:rsid w:val="007A59F8"/>
    <w:rsid w:val="007B287A"/>
    <w:rsid w:val="007C2BC3"/>
    <w:rsid w:val="007D3D78"/>
    <w:rsid w:val="007F373C"/>
    <w:rsid w:val="007F5ED6"/>
    <w:rsid w:val="007F6A60"/>
    <w:rsid w:val="00821313"/>
    <w:rsid w:val="0082619D"/>
    <w:rsid w:val="00846F67"/>
    <w:rsid w:val="008501FF"/>
    <w:rsid w:val="00885BFD"/>
    <w:rsid w:val="00890398"/>
    <w:rsid w:val="00896856"/>
    <w:rsid w:val="008A0925"/>
    <w:rsid w:val="008A16E4"/>
    <w:rsid w:val="008A5A16"/>
    <w:rsid w:val="008B5EAE"/>
    <w:rsid w:val="008C6FA7"/>
    <w:rsid w:val="008C754A"/>
    <w:rsid w:val="008E03EE"/>
    <w:rsid w:val="008E7354"/>
    <w:rsid w:val="00900BDA"/>
    <w:rsid w:val="0090551C"/>
    <w:rsid w:val="00910EA7"/>
    <w:rsid w:val="0091195C"/>
    <w:rsid w:val="00927B58"/>
    <w:rsid w:val="00931DA6"/>
    <w:rsid w:val="00934AE1"/>
    <w:rsid w:val="009362CE"/>
    <w:rsid w:val="009376B1"/>
    <w:rsid w:val="00940FB8"/>
    <w:rsid w:val="00961529"/>
    <w:rsid w:val="009637CD"/>
    <w:rsid w:val="00963F91"/>
    <w:rsid w:val="00964203"/>
    <w:rsid w:val="00965FDA"/>
    <w:rsid w:val="009820AA"/>
    <w:rsid w:val="00982679"/>
    <w:rsid w:val="00996C9F"/>
    <w:rsid w:val="009A209B"/>
    <w:rsid w:val="009A3A5E"/>
    <w:rsid w:val="009A52E7"/>
    <w:rsid w:val="009D2C5A"/>
    <w:rsid w:val="009E00B8"/>
    <w:rsid w:val="009E2A23"/>
    <w:rsid w:val="009E5CE9"/>
    <w:rsid w:val="009F1B92"/>
    <w:rsid w:val="009F2CC7"/>
    <w:rsid w:val="009F66D7"/>
    <w:rsid w:val="009F694D"/>
    <w:rsid w:val="00A01ABB"/>
    <w:rsid w:val="00A2264D"/>
    <w:rsid w:val="00A2356A"/>
    <w:rsid w:val="00A24935"/>
    <w:rsid w:val="00A45D77"/>
    <w:rsid w:val="00A53307"/>
    <w:rsid w:val="00A66D96"/>
    <w:rsid w:val="00A67996"/>
    <w:rsid w:val="00A70D43"/>
    <w:rsid w:val="00A7227A"/>
    <w:rsid w:val="00A81225"/>
    <w:rsid w:val="00AA7DAF"/>
    <w:rsid w:val="00AC155A"/>
    <w:rsid w:val="00AD6922"/>
    <w:rsid w:val="00AE681F"/>
    <w:rsid w:val="00B04510"/>
    <w:rsid w:val="00B20FF9"/>
    <w:rsid w:val="00B23948"/>
    <w:rsid w:val="00B278A0"/>
    <w:rsid w:val="00B626C2"/>
    <w:rsid w:val="00B629B2"/>
    <w:rsid w:val="00B629FD"/>
    <w:rsid w:val="00B6771A"/>
    <w:rsid w:val="00B75AEB"/>
    <w:rsid w:val="00B87314"/>
    <w:rsid w:val="00B874A5"/>
    <w:rsid w:val="00BA5B2A"/>
    <w:rsid w:val="00BA5E8B"/>
    <w:rsid w:val="00BB25B4"/>
    <w:rsid w:val="00BC39B9"/>
    <w:rsid w:val="00BF3C6D"/>
    <w:rsid w:val="00BF4CB4"/>
    <w:rsid w:val="00BF7F7C"/>
    <w:rsid w:val="00C0445A"/>
    <w:rsid w:val="00C066D6"/>
    <w:rsid w:val="00C071AB"/>
    <w:rsid w:val="00C1535A"/>
    <w:rsid w:val="00C4638E"/>
    <w:rsid w:val="00C475C2"/>
    <w:rsid w:val="00C60936"/>
    <w:rsid w:val="00C60EBA"/>
    <w:rsid w:val="00C61489"/>
    <w:rsid w:val="00C63A5A"/>
    <w:rsid w:val="00C63C16"/>
    <w:rsid w:val="00C63F13"/>
    <w:rsid w:val="00C657ED"/>
    <w:rsid w:val="00C72883"/>
    <w:rsid w:val="00C84394"/>
    <w:rsid w:val="00C93A21"/>
    <w:rsid w:val="00CA4C32"/>
    <w:rsid w:val="00CA4FE4"/>
    <w:rsid w:val="00CA785F"/>
    <w:rsid w:val="00CB396D"/>
    <w:rsid w:val="00CC387E"/>
    <w:rsid w:val="00CD14D1"/>
    <w:rsid w:val="00CD353B"/>
    <w:rsid w:val="00CD5D8E"/>
    <w:rsid w:val="00CE32D2"/>
    <w:rsid w:val="00CF1259"/>
    <w:rsid w:val="00CF3D62"/>
    <w:rsid w:val="00CF691E"/>
    <w:rsid w:val="00D10BDD"/>
    <w:rsid w:val="00D2696A"/>
    <w:rsid w:val="00D31A10"/>
    <w:rsid w:val="00D335C3"/>
    <w:rsid w:val="00D41BBE"/>
    <w:rsid w:val="00D43F51"/>
    <w:rsid w:val="00D553C6"/>
    <w:rsid w:val="00D60C6B"/>
    <w:rsid w:val="00D72579"/>
    <w:rsid w:val="00D729E7"/>
    <w:rsid w:val="00D801D0"/>
    <w:rsid w:val="00DC4B9F"/>
    <w:rsid w:val="00DD03BD"/>
    <w:rsid w:val="00DE0C27"/>
    <w:rsid w:val="00DE1AB6"/>
    <w:rsid w:val="00DE5D1E"/>
    <w:rsid w:val="00DE605E"/>
    <w:rsid w:val="00E042B8"/>
    <w:rsid w:val="00E16D58"/>
    <w:rsid w:val="00E268EC"/>
    <w:rsid w:val="00E321B0"/>
    <w:rsid w:val="00E40C8E"/>
    <w:rsid w:val="00E543B7"/>
    <w:rsid w:val="00E55CB8"/>
    <w:rsid w:val="00E65358"/>
    <w:rsid w:val="00E6685A"/>
    <w:rsid w:val="00E71817"/>
    <w:rsid w:val="00E83760"/>
    <w:rsid w:val="00E83B52"/>
    <w:rsid w:val="00E875FA"/>
    <w:rsid w:val="00E87B57"/>
    <w:rsid w:val="00EA17D5"/>
    <w:rsid w:val="00EA3EFB"/>
    <w:rsid w:val="00EB0D23"/>
    <w:rsid w:val="00EB4155"/>
    <w:rsid w:val="00EC03DC"/>
    <w:rsid w:val="00EC6E7A"/>
    <w:rsid w:val="00EE25D8"/>
    <w:rsid w:val="00EE4F2C"/>
    <w:rsid w:val="00EE653B"/>
    <w:rsid w:val="00EF0A6A"/>
    <w:rsid w:val="00EF546A"/>
    <w:rsid w:val="00F04C69"/>
    <w:rsid w:val="00F10A89"/>
    <w:rsid w:val="00F1134E"/>
    <w:rsid w:val="00F13F75"/>
    <w:rsid w:val="00F160E5"/>
    <w:rsid w:val="00F26414"/>
    <w:rsid w:val="00F3116F"/>
    <w:rsid w:val="00F3640D"/>
    <w:rsid w:val="00F44967"/>
    <w:rsid w:val="00F72411"/>
    <w:rsid w:val="00F72BA2"/>
    <w:rsid w:val="00F754DE"/>
    <w:rsid w:val="00F90071"/>
    <w:rsid w:val="00F92798"/>
    <w:rsid w:val="00F94172"/>
    <w:rsid w:val="00FA42CB"/>
    <w:rsid w:val="00FB38DD"/>
    <w:rsid w:val="00FC1467"/>
    <w:rsid w:val="00FC6809"/>
    <w:rsid w:val="00FD5856"/>
    <w:rsid w:val="00FD72D3"/>
    <w:rsid w:val="00FE5BA1"/>
    <w:rsid w:val="00FF1BB4"/>
    <w:rsid w:val="00FF6D36"/>
    <w:rsid w:val="00FF6D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35AA17"/>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pPr>
      <w:suppressAutoHyphens/>
    </w:pPr>
    <w:rPr>
      <w:lang w:eastAsia="ar-SA"/>
    </w:rPr>
  </w:style>
  <w:style w:type="paragraph" w:styleId="berschrift1">
    <w:name w:val="heading 1"/>
    <w:basedOn w:val="Standard"/>
    <w:next w:val="Standard"/>
    <w:qFormat/>
    <w:pPr>
      <w:keepNext/>
      <w:numPr>
        <w:numId w:val="1"/>
      </w:numPr>
      <w:outlineLvl w:val="0"/>
    </w:pPr>
    <w:rPr>
      <w:rFonts w:ascii="Arial" w:hAnsi="Arial"/>
      <w:b/>
      <w:sz w:val="16"/>
    </w:rPr>
  </w:style>
  <w:style w:type="paragraph" w:styleId="berschrift2">
    <w:name w:val="heading 2"/>
    <w:basedOn w:val="Standard"/>
    <w:next w:val="Standard"/>
    <w:qFormat/>
    <w:pPr>
      <w:keepNext/>
      <w:numPr>
        <w:ilvl w:val="1"/>
        <w:numId w:val="1"/>
      </w:numPr>
      <w:ind w:left="2124" w:hanging="2124"/>
      <w:outlineLvl w:val="1"/>
    </w:pPr>
    <w:rPr>
      <w:rFonts w:ascii="Arial" w:hAnsi="Arial"/>
      <w:b/>
      <w:sz w:val="16"/>
    </w:rPr>
  </w:style>
  <w:style w:type="paragraph" w:styleId="berschrift3">
    <w:name w:val="heading 3"/>
    <w:basedOn w:val="Standard"/>
    <w:next w:val="Standard"/>
    <w:qFormat/>
    <w:pPr>
      <w:keepNext/>
      <w:numPr>
        <w:ilvl w:val="2"/>
        <w:numId w:val="1"/>
      </w:numPr>
      <w:outlineLvl w:val="2"/>
    </w:pPr>
    <w:rPr>
      <w:rFonts w:ascii="Arial" w:hAnsi="Arial"/>
      <w:color w:val="000000"/>
      <w:sz w:val="1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
    <w:name w:val="Absatzstandardschriftart"/>
    <w:semiHidden/>
  </w:style>
  <w:style w:type="character" w:customStyle="1" w:styleId="Absatz-Standardschriftart1">
    <w:name w:val="Absatz-Standardschriftart1"/>
  </w:style>
  <w:style w:type="character" w:styleId="Seitenzahl">
    <w:name w:val="page number"/>
    <w:basedOn w:val="Absatz-Standardschriftart1"/>
  </w:style>
  <w:style w:type="character" w:styleId="Hyperlink">
    <w:name w:val="Hyperlink"/>
    <w:rPr>
      <w:color w:val="0000FF"/>
      <w:u w:val="single"/>
    </w:rPr>
  </w:style>
  <w:style w:type="character" w:customStyle="1" w:styleId="GesichteterLink">
    <w:name w:val="GesichteterLink"/>
    <w:rPr>
      <w:color w:val="800080"/>
      <w:u w:val="single"/>
    </w:rPr>
  </w:style>
  <w:style w:type="paragraph" w:customStyle="1" w:styleId="berschrift">
    <w:name w:val="Überschrift"/>
    <w:basedOn w:val="Standard"/>
    <w:next w:val="Textkrper"/>
    <w:pPr>
      <w:keepNext/>
      <w:spacing w:before="240" w:after="120"/>
    </w:pPr>
    <w:rPr>
      <w:rFonts w:ascii="Arial" w:eastAsia="Lucida Sans Unicode" w:hAnsi="Arial" w:cs="Tahoma"/>
      <w:sz w:val="28"/>
      <w:szCs w:val="28"/>
    </w:rPr>
  </w:style>
  <w:style w:type="paragraph" w:styleId="Textkrper">
    <w:name w:val="Body Text"/>
    <w:basedOn w:val="Standard"/>
    <w:pPr>
      <w:spacing w:after="120"/>
    </w:pPr>
  </w:style>
  <w:style w:type="paragraph" w:styleId="Liste">
    <w:name w:val="List"/>
    <w:basedOn w:val="Textkrper"/>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Verzeichnis">
    <w:name w:val="Verzeichnis"/>
    <w:basedOn w:val="Standard"/>
    <w:pPr>
      <w:suppressLineNumbers/>
    </w:pPr>
    <w:rPr>
      <w:rFonts w:cs="Tahoma"/>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Dokumentstruktur1">
    <w:name w:val="Dokumentstruktur1"/>
    <w:basedOn w:val="Standard"/>
    <w:pPr>
      <w:shd w:val="clear" w:color="auto" w:fill="000080"/>
    </w:pPr>
    <w:rPr>
      <w:rFonts w:ascii="Tahoma" w:hAnsi="Tahoma"/>
    </w:rPr>
  </w:style>
  <w:style w:type="paragraph" w:customStyle="1" w:styleId="Textkrpereinzug">
    <w:name w:val="Textkörpereinzug"/>
    <w:basedOn w:val="Standard"/>
    <w:pPr>
      <w:ind w:left="2124" w:hanging="2124"/>
    </w:pPr>
    <w:rPr>
      <w:sz w:val="24"/>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styleId="Dokumentstruktur">
    <w:name w:val="Document Map"/>
    <w:basedOn w:val="Standard"/>
    <w:semiHidden/>
    <w:rsid w:val="00664FCC"/>
    <w:pPr>
      <w:shd w:val="clear" w:color="auto" w:fill="000080"/>
    </w:pPr>
    <w:rPr>
      <w:rFonts w:ascii="Tahoma" w:hAnsi="Tahoma" w:cs="Tahoma"/>
    </w:rPr>
  </w:style>
  <w:style w:type="paragraph" w:styleId="Sprechblasentext">
    <w:name w:val="Balloon Text"/>
    <w:basedOn w:val="Standard"/>
    <w:semiHidden/>
    <w:rsid w:val="002467BF"/>
    <w:rPr>
      <w:rFonts w:ascii="Tahoma" w:hAnsi="Tahoma" w:cs="Tahoma"/>
      <w:sz w:val="16"/>
      <w:szCs w:val="16"/>
    </w:rPr>
  </w:style>
  <w:style w:type="paragraph" w:styleId="NurText">
    <w:name w:val="Plain Text"/>
    <w:basedOn w:val="Standard"/>
    <w:link w:val="NurTextZchn"/>
    <w:uiPriority w:val="99"/>
    <w:unhideWhenUsed/>
    <w:rsid w:val="00B626C2"/>
    <w:pPr>
      <w:suppressAutoHyphens w:val="0"/>
    </w:pPr>
    <w:rPr>
      <w:rFonts w:ascii="Calibri" w:eastAsia="Calibri" w:hAnsi="Calibri"/>
      <w:sz w:val="22"/>
      <w:szCs w:val="21"/>
      <w:lang w:eastAsia="en-US"/>
    </w:rPr>
  </w:style>
  <w:style w:type="character" w:customStyle="1" w:styleId="NurTextZchn">
    <w:name w:val="Nur Text Zchn"/>
    <w:link w:val="NurText"/>
    <w:uiPriority w:val="99"/>
    <w:rsid w:val="00B626C2"/>
    <w:rPr>
      <w:rFonts w:ascii="Calibri" w:eastAsia="Calibri" w:hAnsi="Calibri"/>
      <w:sz w:val="22"/>
      <w:szCs w:val="21"/>
      <w:lang w:eastAsia="en-US"/>
    </w:rPr>
  </w:style>
  <w:style w:type="paragraph" w:customStyle="1" w:styleId="Bearbeitung">
    <w:name w:val="Bearbeitung"/>
    <w:hidden/>
    <w:uiPriority w:val="99"/>
    <w:semiHidden/>
    <w:rsid w:val="00746F6F"/>
    <w:rPr>
      <w:lang w:eastAsia="ar-SA"/>
    </w:rPr>
  </w:style>
  <w:style w:type="paragraph" w:styleId="KeinLeerraum">
    <w:name w:val="No Spacing"/>
    <w:uiPriority w:val="1"/>
    <w:qFormat/>
    <w:rsid w:val="00C066D6"/>
    <w:pPr>
      <w:suppressAutoHyphens/>
    </w:pPr>
    <w:rPr>
      <w:lang w:eastAsia="ar-SA"/>
    </w:rPr>
  </w:style>
  <w:style w:type="paragraph" w:styleId="Untertitel">
    <w:name w:val="Subtitle"/>
    <w:basedOn w:val="Standard"/>
    <w:next w:val="Standard"/>
    <w:link w:val="UntertitelZchn"/>
    <w:uiPriority w:val="11"/>
    <w:qFormat/>
    <w:rsid w:val="00C066D6"/>
    <w:pPr>
      <w:spacing w:after="60"/>
      <w:jc w:val="center"/>
      <w:outlineLvl w:val="1"/>
    </w:pPr>
    <w:rPr>
      <w:rFonts w:ascii="Calibri Light" w:hAnsi="Calibri Light"/>
      <w:sz w:val="24"/>
      <w:szCs w:val="24"/>
    </w:rPr>
  </w:style>
  <w:style w:type="character" w:customStyle="1" w:styleId="UntertitelZchn">
    <w:name w:val="Untertitel Zchn"/>
    <w:link w:val="Untertitel"/>
    <w:uiPriority w:val="11"/>
    <w:rsid w:val="00C066D6"/>
    <w:rPr>
      <w:rFonts w:ascii="Calibri Light" w:eastAsia="Times New Roman" w:hAnsi="Calibri Light"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861943">
      <w:bodyDiv w:val="1"/>
      <w:marLeft w:val="0"/>
      <w:marRight w:val="0"/>
      <w:marTop w:val="0"/>
      <w:marBottom w:val="0"/>
      <w:divBdr>
        <w:top w:val="none" w:sz="0" w:space="0" w:color="auto"/>
        <w:left w:val="none" w:sz="0" w:space="0" w:color="auto"/>
        <w:bottom w:val="none" w:sz="0" w:space="0" w:color="auto"/>
        <w:right w:val="none" w:sz="0" w:space="0" w:color="auto"/>
      </w:divBdr>
      <w:divsChild>
        <w:div w:id="1977560401">
          <w:marLeft w:val="0"/>
          <w:marRight w:val="0"/>
          <w:marTop w:val="0"/>
          <w:marBottom w:val="0"/>
          <w:divBdr>
            <w:top w:val="none" w:sz="0" w:space="0" w:color="auto"/>
            <w:left w:val="none" w:sz="0" w:space="0" w:color="auto"/>
            <w:bottom w:val="none" w:sz="0" w:space="0" w:color="auto"/>
            <w:right w:val="none" w:sz="0" w:space="0" w:color="auto"/>
          </w:divBdr>
          <w:divsChild>
            <w:div w:id="184877149">
              <w:marLeft w:val="0"/>
              <w:marRight w:val="0"/>
              <w:marTop w:val="0"/>
              <w:marBottom w:val="0"/>
              <w:divBdr>
                <w:top w:val="none" w:sz="0" w:space="0" w:color="auto"/>
                <w:left w:val="none" w:sz="0" w:space="0" w:color="auto"/>
                <w:bottom w:val="none" w:sz="0" w:space="0" w:color="auto"/>
                <w:right w:val="none" w:sz="0" w:space="0" w:color="auto"/>
              </w:divBdr>
              <w:divsChild>
                <w:div w:id="501042025">
                  <w:marLeft w:val="360"/>
                  <w:marRight w:val="96"/>
                  <w:marTop w:val="0"/>
                  <w:marBottom w:val="0"/>
                  <w:divBdr>
                    <w:top w:val="none" w:sz="0" w:space="0" w:color="auto"/>
                    <w:left w:val="none" w:sz="0" w:space="0" w:color="auto"/>
                    <w:bottom w:val="none" w:sz="0" w:space="0" w:color="auto"/>
                    <w:right w:val="none" w:sz="0" w:space="0" w:color="auto"/>
                  </w:divBdr>
                </w:div>
              </w:divsChild>
            </w:div>
            <w:div w:id="1099107319">
              <w:marLeft w:val="0"/>
              <w:marRight w:val="0"/>
              <w:marTop w:val="0"/>
              <w:marBottom w:val="0"/>
              <w:divBdr>
                <w:top w:val="none" w:sz="0" w:space="0" w:color="auto"/>
                <w:left w:val="none" w:sz="0" w:space="0" w:color="auto"/>
                <w:bottom w:val="none" w:sz="0" w:space="0" w:color="auto"/>
                <w:right w:val="none" w:sz="0" w:space="0" w:color="auto"/>
              </w:divBdr>
              <w:divsChild>
                <w:div w:id="129047645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338041978">
      <w:bodyDiv w:val="1"/>
      <w:marLeft w:val="0"/>
      <w:marRight w:val="0"/>
      <w:marTop w:val="0"/>
      <w:marBottom w:val="0"/>
      <w:divBdr>
        <w:top w:val="none" w:sz="0" w:space="0" w:color="auto"/>
        <w:left w:val="none" w:sz="0" w:space="0" w:color="auto"/>
        <w:bottom w:val="none" w:sz="0" w:space="0" w:color="auto"/>
        <w:right w:val="none" w:sz="0" w:space="0" w:color="auto"/>
      </w:divBdr>
      <w:divsChild>
        <w:div w:id="1568029787">
          <w:marLeft w:val="0"/>
          <w:marRight w:val="0"/>
          <w:marTop w:val="0"/>
          <w:marBottom w:val="0"/>
          <w:divBdr>
            <w:top w:val="none" w:sz="0" w:space="0" w:color="auto"/>
            <w:left w:val="none" w:sz="0" w:space="0" w:color="auto"/>
            <w:bottom w:val="none" w:sz="0" w:space="0" w:color="auto"/>
            <w:right w:val="none" w:sz="0" w:space="0" w:color="auto"/>
          </w:divBdr>
          <w:divsChild>
            <w:div w:id="1254588340">
              <w:marLeft w:val="0"/>
              <w:marRight w:val="0"/>
              <w:marTop w:val="0"/>
              <w:marBottom w:val="0"/>
              <w:divBdr>
                <w:top w:val="none" w:sz="0" w:space="0" w:color="auto"/>
                <w:left w:val="none" w:sz="0" w:space="0" w:color="auto"/>
                <w:bottom w:val="none" w:sz="0" w:space="0" w:color="auto"/>
                <w:right w:val="none" w:sz="0" w:space="0" w:color="auto"/>
              </w:divBdr>
              <w:divsChild>
                <w:div w:id="65460525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79735372">
      <w:bodyDiv w:val="1"/>
      <w:marLeft w:val="0"/>
      <w:marRight w:val="0"/>
      <w:marTop w:val="0"/>
      <w:marBottom w:val="0"/>
      <w:divBdr>
        <w:top w:val="none" w:sz="0" w:space="0" w:color="auto"/>
        <w:left w:val="none" w:sz="0" w:space="0" w:color="auto"/>
        <w:bottom w:val="none" w:sz="0" w:space="0" w:color="auto"/>
        <w:right w:val="none" w:sz="0" w:space="0" w:color="auto"/>
      </w:divBdr>
    </w:div>
    <w:div w:id="632978971">
      <w:bodyDiv w:val="1"/>
      <w:marLeft w:val="0"/>
      <w:marRight w:val="0"/>
      <w:marTop w:val="0"/>
      <w:marBottom w:val="0"/>
      <w:divBdr>
        <w:top w:val="none" w:sz="0" w:space="0" w:color="auto"/>
        <w:left w:val="none" w:sz="0" w:space="0" w:color="auto"/>
        <w:bottom w:val="none" w:sz="0" w:space="0" w:color="auto"/>
        <w:right w:val="none" w:sz="0" w:space="0" w:color="auto"/>
      </w:divBdr>
      <w:divsChild>
        <w:div w:id="2114203479">
          <w:marLeft w:val="0"/>
          <w:marRight w:val="0"/>
          <w:marTop w:val="0"/>
          <w:marBottom w:val="0"/>
          <w:divBdr>
            <w:top w:val="none" w:sz="0" w:space="0" w:color="auto"/>
            <w:left w:val="none" w:sz="0" w:space="0" w:color="auto"/>
            <w:bottom w:val="none" w:sz="0" w:space="0" w:color="auto"/>
            <w:right w:val="none" w:sz="0" w:space="0" w:color="auto"/>
          </w:divBdr>
          <w:divsChild>
            <w:div w:id="478763751">
              <w:marLeft w:val="0"/>
              <w:marRight w:val="0"/>
              <w:marTop w:val="0"/>
              <w:marBottom w:val="0"/>
              <w:divBdr>
                <w:top w:val="none" w:sz="0" w:space="0" w:color="auto"/>
                <w:left w:val="none" w:sz="0" w:space="0" w:color="auto"/>
                <w:bottom w:val="none" w:sz="0" w:space="0" w:color="auto"/>
                <w:right w:val="none" w:sz="0" w:space="0" w:color="auto"/>
              </w:divBdr>
              <w:divsChild>
                <w:div w:id="209219621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641008635">
      <w:bodyDiv w:val="1"/>
      <w:marLeft w:val="0"/>
      <w:marRight w:val="0"/>
      <w:marTop w:val="0"/>
      <w:marBottom w:val="0"/>
      <w:divBdr>
        <w:top w:val="none" w:sz="0" w:space="0" w:color="auto"/>
        <w:left w:val="none" w:sz="0" w:space="0" w:color="auto"/>
        <w:bottom w:val="none" w:sz="0" w:space="0" w:color="auto"/>
        <w:right w:val="none" w:sz="0" w:space="0" w:color="auto"/>
      </w:divBdr>
      <w:divsChild>
        <w:div w:id="1711343968">
          <w:marLeft w:val="0"/>
          <w:marRight w:val="0"/>
          <w:marTop w:val="0"/>
          <w:marBottom w:val="0"/>
          <w:divBdr>
            <w:top w:val="none" w:sz="0" w:space="0" w:color="auto"/>
            <w:left w:val="none" w:sz="0" w:space="0" w:color="auto"/>
            <w:bottom w:val="none" w:sz="0" w:space="0" w:color="auto"/>
            <w:right w:val="none" w:sz="0" w:space="0" w:color="auto"/>
          </w:divBdr>
          <w:divsChild>
            <w:div w:id="1714190083">
              <w:marLeft w:val="0"/>
              <w:marRight w:val="0"/>
              <w:marTop w:val="0"/>
              <w:marBottom w:val="0"/>
              <w:divBdr>
                <w:top w:val="none" w:sz="0" w:space="0" w:color="auto"/>
                <w:left w:val="none" w:sz="0" w:space="0" w:color="auto"/>
                <w:bottom w:val="none" w:sz="0" w:space="0" w:color="auto"/>
                <w:right w:val="none" w:sz="0" w:space="0" w:color="auto"/>
              </w:divBdr>
              <w:divsChild>
                <w:div w:id="37161906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645665133">
      <w:bodyDiv w:val="1"/>
      <w:marLeft w:val="0"/>
      <w:marRight w:val="0"/>
      <w:marTop w:val="0"/>
      <w:marBottom w:val="0"/>
      <w:divBdr>
        <w:top w:val="none" w:sz="0" w:space="0" w:color="auto"/>
        <w:left w:val="none" w:sz="0" w:space="0" w:color="auto"/>
        <w:bottom w:val="none" w:sz="0" w:space="0" w:color="auto"/>
        <w:right w:val="none" w:sz="0" w:space="0" w:color="auto"/>
      </w:divBdr>
      <w:divsChild>
        <w:div w:id="1408965061">
          <w:marLeft w:val="0"/>
          <w:marRight w:val="0"/>
          <w:marTop w:val="0"/>
          <w:marBottom w:val="0"/>
          <w:divBdr>
            <w:top w:val="none" w:sz="0" w:space="0" w:color="auto"/>
            <w:left w:val="none" w:sz="0" w:space="0" w:color="auto"/>
            <w:bottom w:val="none" w:sz="0" w:space="0" w:color="auto"/>
            <w:right w:val="none" w:sz="0" w:space="0" w:color="auto"/>
          </w:divBdr>
          <w:divsChild>
            <w:div w:id="1046679328">
              <w:marLeft w:val="0"/>
              <w:marRight w:val="0"/>
              <w:marTop w:val="0"/>
              <w:marBottom w:val="0"/>
              <w:divBdr>
                <w:top w:val="none" w:sz="0" w:space="0" w:color="auto"/>
                <w:left w:val="none" w:sz="0" w:space="0" w:color="auto"/>
                <w:bottom w:val="none" w:sz="0" w:space="0" w:color="auto"/>
                <w:right w:val="none" w:sz="0" w:space="0" w:color="auto"/>
              </w:divBdr>
              <w:divsChild>
                <w:div w:id="202535214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53629276">
      <w:bodyDiv w:val="1"/>
      <w:marLeft w:val="0"/>
      <w:marRight w:val="0"/>
      <w:marTop w:val="0"/>
      <w:marBottom w:val="0"/>
      <w:divBdr>
        <w:top w:val="none" w:sz="0" w:space="0" w:color="auto"/>
        <w:left w:val="none" w:sz="0" w:space="0" w:color="auto"/>
        <w:bottom w:val="none" w:sz="0" w:space="0" w:color="auto"/>
        <w:right w:val="none" w:sz="0" w:space="0" w:color="auto"/>
      </w:divBdr>
      <w:divsChild>
        <w:div w:id="1944219707">
          <w:marLeft w:val="0"/>
          <w:marRight w:val="0"/>
          <w:marTop w:val="0"/>
          <w:marBottom w:val="0"/>
          <w:divBdr>
            <w:top w:val="none" w:sz="0" w:space="0" w:color="auto"/>
            <w:left w:val="none" w:sz="0" w:space="0" w:color="auto"/>
            <w:bottom w:val="none" w:sz="0" w:space="0" w:color="auto"/>
            <w:right w:val="none" w:sz="0" w:space="0" w:color="auto"/>
          </w:divBdr>
          <w:divsChild>
            <w:div w:id="1944220142">
              <w:marLeft w:val="0"/>
              <w:marRight w:val="0"/>
              <w:marTop w:val="0"/>
              <w:marBottom w:val="0"/>
              <w:divBdr>
                <w:top w:val="none" w:sz="0" w:space="0" w:color="auto"/>
                <w:left w:val="none" w:sz="0" w:space="0" w:color="auto"/>
                <w:bottom w:val="none" w:sz="0" w:space="0" w:color="auto"/>
                <w:right w:val="none" w:sz="0" w:space="0" w:color="auto"/>
              </w:divBdr>
              <w:divsChild>
                <w:div w:id="194533685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76308821">
      <w:bodyDiv w:val="1"/>
      <w:marLeft w:val="0"/>
      <w:marRight w:val="0"/>
      <w:marTop w:val="0"/>
      <w:marBottom w:val="0"/>
      <w:divBdr>
        <w:top w:val="none" w:sz="0" w:space="0" w:color="auto"/>
        <w:left w:val="none" w:sz="0" w:space="0" w:color="auto"/>
        <w:bottom w:val="none" w:sz="0" w:space="0" w:color="auto"/>
        <w:right w:val="none" w:sz="0" w:space="0" w:color="auto"/>
      </w:divBdr>
      <w:divsChild>
        <w:div w:id="1888445065">
          <w:marLeft w:val="0"/>
          <w:marRight w:val="0"/>
          <w:marTop w:val="0"/>
          <w:marBottom w:val="0"/>
          <w:divBdr>
            <w:top w:val="none" w:sz="0" w:space="0" w:color="auto"/>
            <w:left w:val="none" w:sz="0" w:space="0" w:color="auto"/>
            <w:bottom w:val="none" w:sz="0" w:space="0" w:color="auto"/>
            <w:right w:val="none" w:sz="0" w:space="0" w:color="auto"/>
          </w:divBdr>
          <w:divsChild>
            <w:div w:id="946305432">
              <w:marLeft w:val="0"/>
              <w:marRight w:val="0"/>
              <w:marTop w:val="0"/>
              <w:marBottom w:val="0"/>
              <w:divBdr>
                <w:top w:val="none" w:sz="0" w:space="0" w:color="auto"/>
                <w:left w:val="none" w:sz="0" w:space="0" w:color="auto"/>
                <w:bottom w:val="none" w:sz="0" w:space="0" w:color="auto"/>
                <w:right w:val="none" w:sz="0" w:space="0" w:color="auto"/>
              </w:divBdr>
              <w:divsChild>
                <w:div w:id="138795146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13472259">
      <w:bodyDiv w:val="1"/>
      <w:marLeft w:val="0"/>
      <w:marRight w:val="0"/>
      <w:marTop w:val="0"/>
      <w:marBottom w:val="0"/>
      <w:divBdr>
        <w:top w:val="none" w:sz="0" w:space="0" w:color="auto"/>
        <w:left w:val="none" w:sz="0" w:space="0" w:color="auto"/>
        <w:bottom w:val="none" w:sz="0" w:space="0" w:color="auto"/>
        <w:right w:val="none" w:sz="0" w:space="0" w:color="auto"/>
      </w:divBdr>
      <w:divsChild>
        <w:div w:id="308676947">
          <w:marLeft w:val="0"/>
          <w:marRight w:val="0"/>
          <w:marTop w:val="0"/>
          <w:marBottom w:val="0"/>
          <w:divBdr>
            <w:top w:val="none" w:sz="0" w:space="0" w:color="auto"/>
            <w:left w:val="none" w:sz="0" w:space="0" w:color="auto"/>
            <w:bottom w:val="none" w:sz="0" w:space="0" w:color="auto"/>
            <w:right w:val="none" w:sz="0" w:space="0" w:color="auto"/>
          </w:divBdr>
          <w:divsChild>
            <w:div w:id="2061585033">
              <w:marLeft w:val="0"/>
              <w:marRight w:val="0"/>
              <w:marTop w:val="0"/>
              <w:marBottom w:val="0"/>
              <w:divBdr>
                <w:top w:val="none" w:sz="0" w:space="0" w:color="auto"/>
                <w:left w:val="none" w:sz="0" w:space="0" w:color="auto"/>
                <w:bottom w:val="none" w:sz="0" w:space="0" w:color="auto"/>
                <w:right w:val="none" w:sz="0" w:space="0" w:color="auto"/>
              </w:divBdr>
              <w:divsChild>
                <w:div w:id="170809587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398551125">
      <w:bodyDiv w:val="1"/>
      <w:marLeft w:val="0"/>
      <w:marRight w:val="0"/>
      <w:marTop w:val="0"/>
      <w:marBottom w:val="0"/>
      <w:divBdr>
        <w:top w:val="none" w:sz="0" w:space="0" w:color="auto"/>
        <w:left w:val="none" w:sz="0" w:space="0" w:color="auto"/>
        <w:bottom w:val="none" w:sz="0" w:space="0" w:color="auto"/>
        <w:right w:val="none" w:sz="0" w:space="0" w:color="auto"/>
      </w:divBdr>
    </w:div>
    <w:div w:id="1618562137">
      <w:bodyDiv w:val="1"/>
      <w:marLeft w:val="0"/>
      <w:marRight w:val="0"/>
      <w:marTop w:val="0"/>
      <w:marBottom w:val="0"/>
      <w:divBdr>
        <w:top w:val="none" w:sz="0" w:space="0" w:color="auto"/>
        <w:left w:val="none" w:sz="0" w:space="0" w:color="auto"/>
        <w:bottom w:val="none" w:sz="0" w:space="0" w:color="auto"/>
        <w:right w:val="none" w:sz="0" w:space="0" w:color="auto"/>
      </w:divBdr>
      <w:divsChild>
        <w:div w:id="1516769817">
          <w:marLeft w:val="0"/>
          <w:marRight w:val="0"/>
          <w:marTop w:val="0"/>
          <w:marBottom w:val="0"/>
          <w:divBdr>
            <w:top w:val="none" w:sz="0" w:space="0" w:color="auto"/>
            <w:left w:val="none" w:sz="0" w:space="0" w:color="auto"/>
            <w:bottom w:val="none" w:sz="0" w:space="0" w:color="auto"/>
            <w:right w:val="none" w:sz="0" w:space="0" w:color="auto"/>
          </w:divBdr>
          <w:divsChild>
            <w:div w:id="1200126063">
              <w:marLeft w:val="0"/>
              <w:marRight w:val="0"/>
              <w:marTop w:val="0"/>
              <w:marBottom w:val="0"/>
              <w:divBdr>
                <w:top w:val="none" w:sz="0" w:space="0" w:color="auto"/>
                <w:left w:val="none" w:sz="0" w:space="0" w:color="auto"/>
                <w:bottom w:val="none" w:sz="0" w:space="0" w:color="auto"/>
                <w:right w:val="none" w:sz="0" w:space="0" w:color="auto"/>
              </w:divBdr>
              <w:divsChild>
                <w:div w:id="183634016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87052411">
      <w:bodyDiv w:val="1"/>
      <w:marLeft w:val="0"/>
      <w:marRight w:val="0"/>
      <w:marTop w:val="0"/>
      <w:marBottom w:val="0"/>
      <w:divBdr>
        <w:top w:val="none" w:sz="0" w:space="0" w:color="auto"/>
        <w:left w:val="none" w:sz="0" w:space="0" w:color="auto"/>
        <w:bottom w:val="none" w:sz="0" w:space="0" w:color="auto"/>
        <w:right w:val="none" w:sz="0" w:space="0" w:color="auto"/>
      </w:divBdr>
      <w:divsChild>
        <w:div w:id="454251248">
          <w:marLeft w:val="0"/>
          <w:marRight w:val="0"/>
          <w:marTop w:val="0"/>
          <w:marBottom w:val="0"/>
          <w:divBdr>
            <w:top w:val="none" w:sz="0" w:space="0" w:color="auto"/>
            <w:left w:val="none" w:sz="0" w:space="0" w:color="auto"/>
            <w:bottom w:val="none" w:sz="0" w:space="0" w:color="auto"/>
            <w:right w:val="none" w:sz="0" w:space="0" w:color="auto"/>
          </w:divBdr>
          <w:divsChild>
            <w:div w:id="70935486">
              <w:marLeft w:val="0"/>
              <w:marRight w:val="0"/>
              <w:marTop w:val="0"/>
              <w:marBottom w:val="0"/>
              <w:divBdr>
                <w:top w:val="none" w:sz="0" w:space="0" w:color="auto"/>
                <w:left w:val="none" w:sz="0" w:space="0" w:color="auto"/>
                <w:bottom w:val="none" w:sz="0" w:space="0" w:color="auto"/>
                <w:right w:val="none" w:sz="0" w:space="0" w:color="auto"/>
              </w:divBdr>
              <w:divsChild>
                <w:div w:id="50783975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80249875">
      <w:bodyDiv w:val="1"/>
      <w:marLeft w:val="0"/>
      <w:marRight w:val="0"/>
      <w:marTop w:val="0"/>
      <w:marBottom w:val="0"/>
      <w:divBdr>
        <w:top w:val="none" w:sz="0" w:space="0" w:color="auto"/>
        <w:left w:val="none" w:sz="0" w:space="0" w:color="auto"/>
        <w:bottom w:val="none" w:sz="0" w:space="0" w:color="auto"/>
        <w:right w:val="none" w:sz="0" w:space="0" w:color="auto"/>
      </w:divBdr>
      <w:divsChild>
        <w:div w:id="1462462130">
          <w:marLeft w:val="0"/>
          <w:marRight w:val="0"/>
          <w:marTop w:val="0"/>
          <w:marBottom w:val="0"/>
          <w:divBdr>
            <w:top w:val="none" w:sz="0" w:space="0" w:color="auto"/>
            <w:left w:val="none" w:sz="0" w:space="0" w:color="auto"/>
            <w:bottom w:val="none" w:sz="0" w:space="0" w:color="auto"/>
            <w:right w:val="none" w:sz="0" w:space="0" w:color="auto"/>
          </w:divBdr>
          <w:divsChild>
            <w:div w:id="1771270014">
              <w:marLeft w:val="0"/>
              <w:marRight w:val="0"/>
              <w:marTop w:val="0"/>
              <w:marBottom w:val="0"/>
              <w:divBdr>
                <w:top w:val="none" w:sz="0" w:space="0" w:color="auto"/>
                <w:left w:val="none" w:sz="0" w:space="0" w:color="auto"/>
                <w:bottom w:val="none" w:sz="0" w:space="0" w:color="auto"/>
                <w:right w:val="none" w:sz="0" w:space="0" w:color="auto"/>
              </w:divBdr>
              <w:divsChild>
                <w:div w:id="86567458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031222787">
      <w:bodyDiv w:val="1"/>
      <w:marLeft w:val="0"/>
      <w:marRight w:val="0"/>
      <w:marTop w:val="0"/>
      <w:marBottom w:val="0"/>
      <w:divBdr>
        <w:top w:val="none" w:sz="0" w:space="0" w:color="auto"/>
        <w:left w:val="none" w:sz="0" w:space="0" w:color="auto"/>
        <w:bottom w:val="none" w:sz="0" w:space="0" w:color="auto"/>
        <w:right w:val="none" w:sz="0" w:space="0" w:color="auto"/>
      </w:divBdr>
      <w:divsChild>
        <w:div w:id="154034359">
          <w:marLeft w:val="0"/>
          <w:marRight w:val="0"/>
          <w:marTop w:val="0"/>
          <w:marBottom w:val="0"/>
          <w:divBdr>
            <w:top w:val="none" w:sz="0" w:space="0" w:color="auto"/>
            <w:left w:val="none" w:sz="0" w:space="0" w:color="auto"/>
            <w:bottom w:val="none" w:sz="0" w:space="0" w:color="auto"/>
            <w:right w:val="none" w:sz="0" w:space="0" w:color="auto"/>
          </w:divBdr>
          <w:divsChild>
            <w:div w:id="1310862286">
              <w:marLeft w:val="0"/>
              <w:marRight w:val="0"/>
              <w:marTop w:val="0"/>
              <w:marBottom w:val="0"/>
              <w:divBdr>
                <w:top w:val="none" w:sz="0" w:space="0" w:color="auto"/>
                <w:left w:val="none" w:sz="0" w:space="0" w:color="auto"/>
                <w:bottom w:val="none" w:sz="0" w:space="0" w:color="auto"/>
                <w:right w:val="none" w:sz="0" w:space="0" w:color="auto"/>
              </w:divBdr>
              <w:divsChild>
                <w:div w:id="33083348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145350939">
      <w:bodyDiv w:val="1"/>
      <w:marLeft w:val="0"/>
      <w:marRight w:val="0"/>
      <w:marTop w:val="0"/>
      <w:marBottom w:val="0"/>
      <w:divBdr>
        <w:top w:val="none" w:sz="0" w:space="0" w:color="auto"/>
        <w:left w:val="none" w:sz="0" w:space="0" w:color="auto"/>
        <w:bottom w:val="none" w:sz="0" w:space="0" w:color="auto"/>
        <w:right w:val="none" w:sz="0" w:space="0" w:color="auto"/>
      </w:divBdr>
      <w:divsChild>
        <w:div w:id="1758868343">
          <w:marLeft w:val="0"/>
          <w:marRight w:val="0"/>
          <w:marTop w:val="0"/>
          <w:marBottom w:val="0"/>
          <w:divBdr>
            <w:top w:val="none" w:sz="0" w:space="0" w:color="auto"/>
            <w:left w:val="none" w:sz="0" w:space="0" w:color="auto"/>
            <w:bottom w:val="none" w:sz="0" w:space="0" w:color="auto"/>
            <w:right w:val="none" w:sz="0" w:space="0" w:color="auto"/>
          </w:divBdr>
          <w:divsChild>
            <w:div w:id="1604150462">
              <w:marLeft w:val="0"/>
              <w:marRight w:val="0"/>
              <w:marTop w:val="0"/>
              <w:marBottom w:val="0"/>
              <w:divBdr>
                <w:top w:val="none" w:sz="0" w:space="0" w:color="auto"/>
                <w:left w:val="none" w:sz="0" w:space="0" w:color="auto"/>
                <w:bottom w:val="none" w:sz="0" w:space="0" w:color="auto"/>
                <w:right w:val="none" w:sz="0" w:space="0" w:color="auto"/>
              </w:divBdr>
              <w:divsChild>
                <w:div w:id="42546920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B64F0FD-2271-5E42-93D3-59FC22742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18102</Words>
  <Characters>114047</Characters>
  <Application>Microsoft Office Word</Application>
  <DocSecurity>0</DocSecurity>
  <Lines>950</Lines>
  <Paragraphs>263</Paragraphs>
  <ScaleCrop>false</ScaleCrop>
  <HeadingPairs>
    <vt:vector size="2" baseType="variant">
      <vt:variant>
        <vt:lpstr>Titel</vt:lpstr>
      </vt:variant>
      <vt:variant>
        <vt:i4>1</vt:i4>
      </vt:variant>
    </vt:vector>
  </HeadingPairs>
  <TitlesOfParts>
    <vt:vector size="1" baseType="lpstr">
      <vt:lpstr>     </vt:lpstr>
    </vt:vector>
  </TitlesOfParts>
  <Company>UKE UCH</Company>
  <LinksUpToDate>false</LinksUpToDate>
  <CharactersWithSpaces>131886</CharactersWithSpaces>
  <SharedDoc>false</SharedDoc>
  <HLinks>
    <vt:vector size="12" baseType="variant">
      <vt:variant>
        <vt:i4>3604591</vt:i4>
      </vt:variant>
      <vt:variant>
        <vt:i4>284280</vt:i4>
      </vt:variant>
      <vt:variant>
        <vt:i4>1026</vt:i4>
      </vt:variant>
      <vt:variant>
        <vt:i4>1</vt:i4>
      </vt:variant>
      <vt:variant>
        <vt:lpwstr>Folie1</vt:lpwstr>
      </vt:variant>
      <vt:variant>
        <vt:lpwstr/>
      </vt:variant>
      <vt:variant>
        <vt:i4>196710</vt:i4>
      </vt:variant>
      <vt:variant>
        <vt:i4>284321</vt:i4>
      </vt:variant>
      <vt:variant>
        <vt:i4>1027</vt:i4>
      </vt:variant>
      <vt:variant>
        <vt:i4>1</vt:i4>
      </vt:variant>
      <vt:variant>
        <vt:lpwstr>GL_Pruefsiegel-ISO9001-ISO14001_CMYK 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Administrator</dc:creator>
  <cp:keywords/>
  <cp:lastModifiedBy>Darius Thiesen</cp:lastModifiedBy>
  <cp:revision>9</cp:revision>
  <cp:lastPrinted>2017-03-28T07:09:00Z</cp:lastPrinted>
  <dcterms:created xsi:type="dcterms:W3CDTF">2017-04-27T08:49:00Z</dcterms:created>
  <dcterms:modified xsi:type="dcterms:W3CDTF">2019-07-24T11:15:00Z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zotero-version="4.0.14"&gt;&lt;session id="gqvVWIG8"/&gt;&lt;style id="http://www.zotero.org/styles/injury" hasBibliography="1" bibliographyStyleHasBeenSet="0"/&gt;&lt;prefs&gt;&lt;pref name="fieldType" value="Field"/&gt;&lt;pref name="storeReferences" value="tr</vt:lpwstr>
  </property>
  <property fmtid="{D5CDD505-2E9C-101B-9397-08002B2CF9AE}" pid="3" name="ZOTERO_PREF_2">
    <vt:lpwstr>ue"/&gt;&lt;pref name="automaticJournalAbbreviations" value="true"/&gt;&lt;pref name="noteType" value="0"/&gt;&lt;/prefs&gt;&lt;/data&gt;</vt:lpwstr>
  </property>
  <property fmtid="{D5CDD505-2E9C-101B-9397-08002B2CF9AE}" pid="4" name="Mendeley Document_1">
    <vt:lpwstr>True</vt:lpwstr>
  </property>
  <property fmtid="{D5CDD505-2E9C-101B-9397-08002B2CF9AE}" pid="5" name="Mendeley Unique User Id_1">
    <vt:lpwstr>80a0d6d3-9f04-3c24-bcc4-bef084022526</vt:lpwstr>
  </property>
  <property fmtid="{D5CDD505-2E9C-101B-9397-08002B2CF9AE}" pid="6" name="Mendeley Citation Style_1">
    <vt:lpwstr>http://www.zotero.org/styles/nature</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http://www.zotero.org/styles/american-sociological-association</vt:lpwstr>
  </property>
  <property fmtid="{D5CDD505-2E9C-101B-9397-08002B2CF9AE}" pid="12" name="Mendeley Recent Style Name 2_1">
    <vt:lpwstr>American Sociological Association</vt:lpwstr>
  </property>
  <property fmtid="{D5CDD505-2E9C-101B-9397-08002B2CF9AE}" pid="13" name="Mendeley Recent Style Id 3_1">
    <vt:lpwstr>http://www.zotero.org/styles/chicago-author-date</vt:lpwstr>
  </property>
  <property fmtid="{D5CDD505-2E9C-101B-9397-08002B2CF9AE}" pid="14" name="Mendeley Recent Style Name 3_1">
    <vt:lpwstr>Chicago Manual of Style 16th edition (author-date)</vt:lpwstr>
  </property>
  <property fmtid="{D5CDD505-2E9C-101B-9397-08002B2CF9AE}" pid="15" name="Mendeley Recent Style Id 4_1">
    <vt:lpwstr>http://www.zotero.org/styles/harvard-cite-them-right</vt:lpwstr>
  </property>
  <property fmtid="{D5CDD505-2E9C-101B-9397-08002B2CF9AE}" pid="16" name="Mendeley Recent Style Name 4_1">
    <vt:lpwstr>Harvard - Cite Them Right 9th edition</vt:lpwstr>
  </property>
  <property fmtid="{D5CDD505-2E9C-101B-9397-08002B2CF9AE}" pid="17" name="Mendeley Recent Style Id 5_1">
    <vt:lpwstr>http://www.zotero.org/styles/harvard1</vt:lpwstr>
  </property>
  <property fmtid="{D5CDD505-2E9C-101B-9397-08002B2CF9AE}" pid="18" name="Mendeley Recent Style Name 5_1">
    <vt:lpwstr>Harvard Reference format 1 (author-date)</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7th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